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58.xml" ContentType="application/vnd.openxmlformats-officedocument.drawingml.chartshapes+xml"/>
  <Override PartName="/word/drawings/drawing6.xml" ContentType="application/vnd.openxmlformats-officedocument.drawingml.chartshapes+xml"/>
  <Override PartName="/word/theme/themeOverride1.xml" ContentType="application/vnd.openxmlformats-officedocument.themeOverride+xml"/>
  <Override PartName="/word/drawings/drawing18.xml" ContentType="application/vnd.openxmlformats-officedocument.drawingml.chartshapes+xml"/>
  <Override PartName="/word/drawings/drawing29.xml" ContentType="application/vnd.openxmlformats-officedocument.drawingml.chartshapes+xml"/>
  <Override PartName="/word/charts/chart59.xml" ContentType="application/vnd.openxmlformats-officedocument.drawingml.chart+xml"/>
  <Override PartName="/word/drawings/drawing47.xml" ContentType="application/vnd.openxmlformats-officedocument.drawingml.chartshape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drawings/drawing25.xml" ContentType="application/vnd.openxmlformats-officedocument.drawingml.chartshapes+xml"/>
  <Override PartName="/word/charts/chart48.xml" ContentType="application/vnd.openxmlformats-officedocument.drawingml.chart+xml"/>
  <Override PartName="/word/drawings/drawing36.xml" ContentType="application/vnd.openxmlformats-officedocument.drawingml.chartshapes+xml"/>
  <Override PartName="/word/charts/chart66.xml" ContentType="application/vnd.openxmlformats-officedocument.drawingml.chart+xml"/>
  <Override PartName="/word/drawings/drawing54.xml" ContentType="application/vnd.openxmlformats-officedocument.drawingml.chartshapes+xml"/>
  <Override PartName="/word/drawings/drawing2.xml" ContentType="application/vnd.openxmlformats-officedocument.drawingml.chartshapes+xml"/>
  <Override PartName="/word/drawings/drawing14.xml" ContentType="application/vnd.openxmlformats-officedocument.drawingml.chartshapes+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43.xml" ContentType="application/vnd.openxmlformats-officedocument.drawingml.chartshapes+xml"/>
  <Override PartName="/word/charts/chart73.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drawings/drawing21.xml" ContentType="application/vnd.openxmlformats-officedocument.drawingml.chartshapes+xml"/>
  <Override PartName="/word/charts/chart44.xml" ContentType="application/vnd.openxmlformats-officedocument.drawingml.chart+xml"/>
  <Override PartName="/word/drawings/drawing32.xml" ContentType="application/vnd.openxmlformats-officedocument.drawingml.chartshapes+xml"/>
  <Override PartName="/word/charts/chart62.xml" ContentType="application/vnd.openxmlformats-officedocument.drawingml.chart+xml"/>
  <Override PartName="/word/drawings/drawing50.xml" ContentType="application/vnd.openxmlformats-officedocument.drawingml.chartshapes+xml"/>
  <Default Extension="xlsx" ContentType="application/vnd.openxmlformats-officedocument.spreadsheetml.sheet"/>
  <Override PartName="/word/drawings/drawing10.xml" ContentType="application/vnd.openxmlformats-officedocument.drawingml.chartshapes+xml"/>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Default Extension="png" ContentType="image/png"/>
  <Override PartName="/word/drawings/drawing48.xml" ContentType="application/vnd.openxmlformats-officedocument.drawingml.chartshapes+xml"/>
  <Default Extension="jpeg" ContentType="image/jpeg"/>
  <Default Extension="emf" ContentType="image/x-emf"/>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charts/chart49.xml" ContentType="application/vnd.openxmlformats-officedocument.drawingml.chart+xml"/>
  <Override PartName="/word/drawings/drawing37.xml" ContentType="application/vnd.openxmlformats-officedocument.drawingml.chartshapes+xml"/>
  <Override PartName="/word/drawings/drawing46.xml" ContentType="application/vnd.openxmlformats-officedocument.drawingml.chartshapes+xml"/>
  <Override PartName="/word/charts/chart69.xml" ContentType="application/vnd.openxmlformats-officedocument.drawingml.chart+xml"/>
  <Override PartName="/word/drawings/drawing5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charts/chart29.xml" ContentType="application/vnd.openxmlformats-officedocument.drawingml.chart+xml"/>
  <Override PartName="/word/charts/chart38.xml" ContentType="application/vnd.openxmlformats-officedocument.drawingml.chart+xml"/>
  <Override PartName="/word/drawings/drawing26.xml" ContentType="application/vnd.openxmlformats-officedocument.drawingml.chartshapes+xml"/>
  <Override PartName="/word/charts/chart47.xml" ContentType="application/vnd.openxmlformats-officedocument.drawingml.chart+xml"/>
  <Override PartName="/word/drawings/drawing35.xml" ContentType="application/vnd.openxmlformats-officedocument.drawingml.chartshapes+xml"/>
  <Override PartName="/word/drawings/drawing44.xml" ContentType="application/vnd.openxmlformats-officedocument.drawingml.chartshapes+xml"/>
  <Override PartName="/word/charts/chart58.xml" ContentType="application/vnd.openxmlformats-officedocument.drawingml.chart+xml"/>
  <Override PartName="/word/charts/chart67.xml" ContentType="application/vnd.openxmlformats-officedocument.drawingml.chart+xml"/>
  <Override PartName="/word/drawings/drawing55.xml" ContentType="application/vnd.openxmlformats-officedocument.drawingml.chartshap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charts/chart18.xml" ContentType="application/vnd.openxmlformats-officedocument.drawingml.chart+xml"/>
  <Override PartName="/word/drawings/drawing15.xml" ContentType="application/vnd.openxmlformats-officedocument.drawingml.chartshapes+xml"/>
  <Override PartName="/word/charts/chart27.xml" ContentType="application/vnd.openxmlformats-officedocument.drawingml.chart+xml"/>
  <Override PartName="/word/charts/chart36.xml" ContentType="application/vnd.openxmlformats-officedocument.drawingml.chart+xml"/>
  <Override PartName="/word/drawings/drawing24.xml" ContentType="application/vnd.openxmlformats-officedocument.drawingml.chartshapes+xml"/>
  <Override PartName="/word/charts/chart45.xml" ContentType="application/vnd.openxmlformats-officedocument.drawingml.chart+xml"/>
  <Override PartName="/word/drawings/drawing33.xml" ContentType="application/vnd.openxmlformats-officedocument.drawingml.chartshapes+xml"/>
  <Override PartName="/word/charts/chart54.xml" ContentType="application/vnd.openxmlformats-officedocument.drawingml.chart+xml"/>
  <Override PartName="/word/drawings/drawing42.xml" ContentType="application/vnd.openxmlformats-officedocument.drawingml.chartshapes+xml"/>
  <Override PartName="/word/charts/chart56.xml" ContentType="application/vnd.openxmlformats-officedocument.drawingml.chart+xml"/>
  <Override PartName="/word/footer2.xml" ContentType="application/vnd.openxmlformats-officedocument.wordprocessingml.footer+xml"/>
  <Override PartName="/word/charts/chart65.xml" ContentType="application/vnd.openxmlformats-officedocument.drawingml.chart+xml"/>
  <Override PartName="/word/drawings/drawing53.xml" ContentType="application/vnd.openxmlformats-officedocument.drawingml.chartshapes+xml"/>
  <Override PartName="/word/charts/chart7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drawings/drawing13.xml" ContentType="application/vnd.openxmlformats-officedocument.drawingml.chartshapes+xml"/>
  <Override PartName="/word/charts/chart25.xml" ContentType="application/vnd.openxmlformats-officedocument.drawingml.chart+xml"/>
  <Override PartName="/word/charts/chart34.xml" ContentType="application/vnd.openxmlformats-officedocument.drawingml.chart+xml"/>
  <Override PartName="/word/drawings/drawing22.xml" ContentType="application/vnd.openxmlformats-officedocument.drawingml.chartshapes+xml"/>
  <Override PartName="/word/charts/chart43.xml" ContentType="application/vnd.openxmlformats-officedocument.drawingml.chart+xml"/>
  <Override PartName="/word/drawings/drawing31.xml" ContentType="application/vnd.openxmlformats-officedocument.drawingml.chartshapes+xml"/>
  <Override PartName="/word/charts/chart52.xml" ContentType="application/vnd.openxmlformats-officedocument.drawingml.chart+xml"/>
  <Override PartName="/word/drawings/drawing40.xml" ContentType="application/vnd.openxmlformats-officedocument.drawingml.chartshapes+xml"/>
  <Override PartName="/word/charts/chart63.xml" ContentType="application/vnd.openxmlformats-officedocument.drawingml.chart+xml"/>
  <Override PartName="/word/drawings/drawing51.xml" ContentType="application/vnd.openxmlformats-officedocument.drawingml.chartshapes+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drawings/drawing11.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drawings/drawing20.xml" ContentType="application/vnd.openxmlformats-officedocument.drawingml.chartshapes+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Override PartName="/word/drawings/drawing49.xml" ContentType="application/vnd.openxmlformats-officedocument.drawingml.chartshapes+xml"/>
  <Override PartName="/word/drawings/drawing38.xml" ContentType="application/vnd.openxmlformats-officedocument.drawingml.chartshapes+xml"/>
  <Override PartName="/word/charts/chart68.xml" ContentType="application/vnd.openxmlformats-officedocument.drawingml.chart+xml"/>
  <Override PartName="/word/drawings/drawing56.xml" ContentType="application/vnd.openxmlformats-officedocument.drawingml.chartshapes+xml"/>
  <Default Extension="rels" ContentType="application/vnd.openxmlformats-package.relationships+xml"/>
  <Override PartName="/word/drawings/drawing4.xml" ContentType="application/vnd.openxmlformats-officedocument.drawingml.chartshapes+xml"/>
  <Override PartName="/word/drawings/drawing16.xml" ContentType="application/vnd.openxmlformats-officedocument.drawingml.chartshapes+xml"/>
  <Override PartName="/word/charts/chart28.xml" ContentType="application/vnd.openxmlformats-officedocument.drawingml.chart+xml"/>
  <Override PartName="/word/charts/chart39.xml" ContentType="application/vnd.openxmlformats-officedocument.drawingml.chart+xml"/>
  <Override PartName="/word/drawings/drawing27.xml" ContentType="application/vnd.openxmlformats-officedocument.drawingml.chartshapes+xml"/>
  <Override PartName="/word/charts/chart57.xml" ContentType="application/vnd.openxmlformats-officedocument.drawingml.chart+xml"/>
  <Override PartName="/word/drawings/drawing45.xml" ContentType="application/vnd.openxmlformats-officedocument.drawingml.chartshapes+xml"/>
  <Override PartName="/word/charts/chart7.xml" ContentType="application/vnd.openxmlformats-officedocument.drawingml.chart+xml"/>
  <Override PartName="/word/charts/chart17.xml" ContentType="application/vnd.openxmlformats-officedocument.drawingml.chart+xml"/>
  <Override PartName="/word/drawings/drawing23.xml" ContentType="application/vnd.openxmlformats-officedocument.drawingml.chartshapes+xml"/>
  <Override PartName="/word/charts/chart46.xml" ContentType="application/vnd.openxmlformats-officedocument.drawingml.chart+xml"/>
  <Override PartName="/word/drawings/drawing34.xml" ContentType="application/vnd.openxmlformats-officedocument.drawingml.chartshapes+xml"/>
  <Override PartName="/word/charts/chart64.xml" ContentType="application/vnd.openxmlformats-officedocument.drawingml.chart+xml"/>
  <Override PartName="/word/drawings/drawing52.xml" ContentType="application/vnd.openxmlformats-officedocument.drawingml.chartshapes+xml"/>
  <Override PartName="/word/drawings/drawing12.xml" ContentType="application/vnd.openxmlformats-officedocument.drawingml.chartshapes+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drawings/drawing41.xml" ContentType="application/vnd.openxmlformats-officedocument.drawingml.chartshapes+xml"/>
  <Override PartName="/word/footer1.xml" ContentType="application/vnd.openxmlformats-officedocument.wordprocessingml.footer+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drawings/drawing30.xml" ContentType="application/vnd.openxmlformats-officedocument.drawingml.chartshapes+xml"/>
  <Override PartName="/word/charts/chart60.xml" ContentType="application/vnd.openxmlformats-officedocument.drawingml.chart+xml"/>
  <Override PartName="/word/charts/chart20.xml" ContentType="application/vnd.openxmlformats-officedocument.drawingml.chart+xml"/>
  <Override PartName="/word/drawings/drawing9.xml" ContentType="application/vnd.openxmlformats-officedocument.drawingml.chartshapes+xml"/>
  <Override PartName="/word/drawings/drawing39.xml" ContentType="application/vnd.openxmlformats-officedocument.drawingml.chartshap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78DB" w:rsidRPr="00A81F9F" w:rsidRDefault="00B913F1" w:rsidP="00EE1A61">
      <w:pPr>
        <w:jc w:val="center"/>
        <w:rPr>
          <w:b/>
          <w:sz w:val="40"/>
          <w:szCs w:val="40"/>
        </w:rPr>
      </w:pPr>
      <w:r>
        <w:rPr>
          <w:b/>
          <w:sz w:val="40"/>
          <w:szCs w:val="40"/>
        </w:rPr>
        <w:t>Сообщество Потребителей Электроэнергии</w:t>
      </w:r>
      <w:r w:rsidR="009478DB" w:rsidRPr="00A81F9F">
        <w:rPr>
          <w:b/>
          <w:sz w:val="40"/>
          <w:szCs w:val="40"/>
        </w:rPr>
        <w:t xml:space="preserve"> (</w:t>
      </w:r>
      <w:r>
        <w:rPr>
          <w:b/>
          <w:sz w:val="40"/>
          <w:szCs w:val="40"/>
        </w:rPr>
        <w:t>СПЭ</w:t>
      </w:r>
      <w:r w:rsidR="009478DB" w:rsidRPr="00A81F9F">
        <w:rPr>
          <w:b/>
          <w:sz w:val="40"/>
          <w:szCs w:val="40"/>
        </w:rPr>
        <w:t>)</w:t>
      </w:r>
    </w:p>
    <w:p w:rsidR="009478DB" w:rsidRPr="00A81F9F" w:rsidRDefault="009478DB" w:rsidP="00EE1A61">
      <w:pPr>
        <w:ind w:firstLine="709"/>
        <w:jc w:val="both"/>
        <w:outlineLvl w:val="0"/>
        <w:rPr>
          <w:sz w:val="40"/>
          <w:szCs w:val="40"/>
        </w:rPr>
      </w:pPr>
    </w:p>
    <w:p w:rsidR="009478DB" w:rsidRPr="00A81F9F" w:rsidRDefault="009478DB" w:rsidP="00EE1A61">
      <w:pPr>
        <w:ind w:firstLine="709"/>
        <w:jc w:val="center"/>
        <w:outlineLvl w:val="0"/>
        <w:rPr>
          <w:b/>
          <w:bCs/>
          <w:sz w:val="36"/>
          <w:szCs w:val="36"/>
        </w:rPr>
      </w:pPr>
    </w:p>
    <w:p w:rsidR="009478DB" w:rsidRPr="00A81F9F" w:rsidRDefault="009478DB" w:rsidP="00EE1A61">
      <w:pPr>
        <w:ind w:firstLine="709"/>
        <w:jc w:val="center"/>
        <w:outlineLvl w:val="0"/>
        <w:rPr>
          <w:b/>
          <w:bCs/>
          <w:sz w:val="36"/>
          <w:szCs w:val="36"/>
        </w:rPr>
      </w:pPr>
    </w:p>
    <w:p w:rsidR="009478DB" w:rsidRPr="00A81F9F" w:rsidRDefault="009478DB" w:rsidP="00EE1A61">
      <w:pPr>
        <w:ind w:firstLine="709"/>
        <w:jc w:val="center"/>
        <w:outlineLvl w:val="0"/>
        <w:rPr>
          <w:b/>
          <w:bCs/>
          <w:sz w:val="36"/>
          <w:szCs w:val="36"/>
        </w:rPr>
      </w:pPr>
    </w:p>
    <w:p w:rsidR="009478DB" w:rsidRPr="00A81F9F" w:rsidRDefault="009478DB" w:rsidP="00EE1A61">
      <w:pPr>
        <w:ind w:firstLine="709"/>
        <w:jc w:val="center"/>
        <w:outlineLvl w:val="0"/>
        <w:rPr>
          <w:b/>
          <w:bCs/>
          <w:sz w:val="36"/>
          <w:szCs w:val="36"/>
        </w:rPr>
      </w:pPr>
    </w:p>
    <w:p w:rsidR="009478DB" w:rsidRPr="00A81F9F" w:rsidRDefault="009478DB" w:rsidP="00EE1A61">
      <w:pPr>
        <w:ind w:firstLine="709"/>
        <w:jc w:val="center"/>
        <w:outlineLvl w:val="0"/>
        <w:rPr>
          <w:b/>
          <w:bCs/>
          <w:sz w:val="36"/>
          <w:szCs w:val="36"/>
        </w:rPr>
      </w:pPr>
    </w:p>
    <w:p w:rsidR="009478DB" w:rsidRPr="00A81F9F" w:rsidRDefault="009478DB" w:rsidP="00EE1A61">
      <w:pPr>
        <w:ind w:firstLine="709"/>
        <w:jc w:val="center"/>
        <w:outlineLvl w:val="0"/>
        <w:rPr>
          <w:b/>
          <w:bCs/>
          <w:sz w:val="32"/>
          <w:szCs w:val="32"/>
        </w:rPr>
      </w:pPr>
    </w:p>
    <w:p w:rsidR="009478DB" w:rsidRPr="00A81F9F" w:rsidRDefault="009478DB" w:rsidP="00EE1A61">
      <w:pPr>
        <w:ind w:firstLine="709"/>
        <w:jc w:val="center"/>
        <w:outlineLvl w:val="0"/>
        <w:rPr>
          <w:b/>
          <w:bCs/>
          <w:sz w:val="32"/>
          <w:szCs w:val="32"/>
        </w:rPr>
      </w:pPr>
    </w:p>
    <w:p w:rsidR="009478DB" w:rsidRPr="00A81F9F" w:rsidRDefault="009478DB" w:rsidP="00EE1A61">
      <w:pPr>
        <w:ind w:firstLine="709"/>
        <w:jc w:val="center"/>
        <w:outlineLvl w:val="0"/>
        <w:rPr>
          <w:b/>
          <w:bCs/>
          <w:sz w:val="32"/>
          <w:szCs w:val="32"/>
        </w:rPr>
      </w:pPr>
    </w:p>
    <w:p w:rsidR="009478DB" w:rsidRPr="00A81F9F" w:rsidRDefault="009478DB" w:rsidP="00EE1A61">
      <w:pPr>
        <w:ind w:firstLine="709"/>
        <w:jc w:val="center"/>
        <w:outlineLvl w:val="0"/>
        <w:rPr>
          <w:b/>
          <w:bCs/>
          <w:sz w:val="32"/>
          <w:szCs w:val="32"/>
        </w:rPr>
      </w:pPr>
    </w:p>
    <w:p w:rsidR="009478DB" w:rsidRPr="00A81F9F" w:rsidRDefault="009478DB" w:rsidP="00832129">
      <w:pPr>
        <w:jc w:val="center"/>
        <w:rPr>
          <w:b/>
          <w:sz w:val="40"/>
          <w:szCs w:val="40"/>
        </w:rPr>
      </w:pPr>
      <w:r w:rsidRPr="00A81F9F">
        <w:rPr>
          <w:b/>
          <w:sz w:val="40"/>
          <w:szCs w:val="40"/>
        </w:rPr>
        <w:t>Экспертное заключение</w:t>
      </w:r>
    </w:p>
    <w:p w:rsidR="009478DB" w:rsidRDefault="009478DB" w:rsidP="00021B0D">
      <w:pPr>
        <w:jc w:val="center"/>
        <w:rPr>
          <w:b/>
          <w:sz w:val="40"/>
          <w:szCs w:val="40"/>
        </w:rPr>
      </w:pPr>
      <w:r>
        <w:rPr>
          <w:b/>
          <w:sz w:val="40"/>
          <w:szCs w:val="40"/>
        </w:rPr>
        <w:t xml:space="preserve"> «Схемы и </w:t>
      </w:r>
      <w:r w:rsidR="00B913F1">
        <w:rPr>
          <w:b/>
          <w:sz w:val="40"/>
          <w:szCs w:val="40"/>
        </w:rPr>
        <w:t>П</w:t>
      </w:r>
      <w:r w:rsidRPr="00A81F9F">
        <w:rPr>
          <w:b/>
          <w:sz w:val="40"/>
          <w:szCs w:val="40"/>
        </w:rPr>
        <w:t>рограммы развития Единой энергетической системы России на 201</w:t>
      </w:r>
      <w:r w:rsidR="00B913F1">
        <w:rPr>
          <w:b/>
          <w:sz w:val="40"/>
          <w:szCs w:val="40"/>
        </w:rPr>
        <w:t>3</w:t>
      </w:r>
      <w:r w:rsidRPr="00A81F9F">
        <w:rPr>
          <w:b/>
          <w:sz w:val="40"/>
          <w:szCs w:val="40"/>
        </w:rPr>
        <w:t xml:space="preserve"> – 201</w:t>
      </w:r>
      <w:r w:rsidR="00B913F1">
        <w:rPr>
          <w:b/>
          <w:sz w:val="40"/>
          <w:szCs w:val="40"/>
        </w:rPr>
        <w:t>9</w:t>
      </w:r>
      <w:r w:rsidRPr="00A81F9F">
        <w:rPr>
          <w:b/>
          <w:sz w:val="40"/>
          <w:szCs w:val="40"/>
        </w:rPr>
        <w:t xml:space="preserve"> гг.» утвержденной Минэнерго, </w:t>
      </w:r>
      <w:r w:rsidR="00B913F1">
        <w:rPr>
          <w:b/>
          <w:sz w:val="40"/>
          <w:szCs w:val="40"/>
        </w:rPr>
        <w:t>апрель</w:t>
      </w:r>
      <w:r w:rsidRPr="00A81F9F">
        <w:rPr>
          <w:b/>
          <w:sz w:val="40"/>
          <w:szCs w:val="40"/>
        </w:rPr>
        <w:t xml:space="preserve"> 201</w:t>
      </w:r>
      <w:r w:rsidR="00B913F1">
        <w:rPr>
          <w:b/>
          <w:sz w:val="40"/>
          <w:szCs w:val="40"/>
        </w:rPr>
        <w:t>3</w:t>
      </w:r>
      <w:r w:rsidRPr="00A81F9F">
        <w:rPr>
          <w:b/>
          <w:sz w:val="40"/>
          <w:szCs w:val="40"/>
        </w:rPr>
        <w:t xml:space="preserve"> г.</w:t>
      </w:r>
      <w:r w:rsidR="007C1CDB">
        <w:rPr>
          <w:b/>
          <w:sz w:val="40"/>
          <w:szCs w:val="40"/>
        </w:rPr>
        <w:t xml:space="preserve"> </w:t>
      </w:r>
    </w:p>
    <w:p w:rsidR="007C1CDB" w:rsidRDefault="007C1CDB"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Default="003B634C" w:rsidP="007C1CDB">
      <w:pPr>
        <w:jc w:val="center"/>
        <w:rPr>
          <w:b/>
          <w:sz w:val="40"/>
          <w:szCs w:val="40"/>
        </w:rPr>
      </w:pPr>
    </w:p>
    <w:p w:rsidR="003B634C" w:rsidRPr="007C1CDB" w:rsidRDefault="007C1ADE" w:rsidP="007C1CDB">
      <w:pPr>
        <w:jc w:val="center"/>
        <w:rPr>
          <w:b/>
          <w:sz w:val="40"/>
          <w:szCs w:val="40"/>
        </w:rPr>
      </w:pPr>
      <w:r>
        <w:rPr>
          <w:b/>
          <w:bCs/>
          <w:noProof/>
          <w:sz w:val="36"/>
          <w:szCs w:val="36"/>
        </w:rPr>
        <w:drawing>
          <wp:anchor distT="0" distB="0" distL="114300" distR="114300" simplePos="0" relativeHeight="251658752" behindDoc="1" locked="0" layoutInCell="1" allowOverlap="1">
            <wp:simplePos x="0" y="0"/>
            <wp:positionH relativeFrom="column">
              <wp:posOffset>2948940</wp:posOffset>
            </wp:positionH>
            <wp:positionV relativeFrom="paragraph">
              <wp:posOffset>114935</wp:posOffset>
            </wp:positionV>
            <wp:extent cx="1514475" cy="685800"/>
            <wp:effectExtent l="19050" t="0" r="9525" b="0"/>
            <wp:wrapNone/>
            <wp:docPr id="292" name="Рисунок 292" descr="подписть_Б_И_2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подписть_Б_И_2 rgb"/>
                    <pic:cNvPicPr>
                      <a:picLocks noChangeAspect="1" noChangeArrowheads="1"/>
                    </pic:cNvPicPr>
                  </pic:nvPicPr>
                  <pic:blipFill>
                    <a:blip r:embed="rId8" cstate="print"/>
                    <a:srcRect/>
                    <a:stretch>
                      <a:fillRect/>
                    </a:stretch>
                  </pic:blipFill>
                  <pic:spPr bwMode="auto">
                    <a:xfrm>
                      <a:off x="0" y="0"/>
                      <a:ext cx="1514475" cy="685800"/>
                    </a:xfrm>
                    <a:prstGeom prst="rect">
                      <a:avLst/>
                    </a:prstGeom>
                    <a:noFill/>
                    <a:ln w="9525">
                      <a:noFill/>
                      <a:miter lim="800000"/>
                      <a:headEnd/>
                      <a:tailEnd/>
                    </a:ln>
                  </pic:spPr>
                </pic:pic>
              </a:graphicData>
            </a:graphic>
          </wp:anchor>
        </w:drawing>
      </w:r>
    </w:p>
    <w:p w:rsidR="009478DB" w:rsidRDefault="003B634C" w:rsidP="003B634C">
      <w:pPr>
        <w:rPr>
          <w:sz w:val="28"/>
          <w:szCs w:val="28"/>
        </w:rPr>
      </w:pPr>
      <w:r w:rsidRPr="003B634C">
        <w:rPr>
          <w:sz w:val="28"/>
          <w:szCs w:val="28"/>
        </w:rPr>
        <w:t>Председатель экспертного совета СПЭ</w:t>
      </w:r>
    </w:p>
    <w:p w:rsidR="009478DB" w:rsidRDefault="003B634C" w:rsidP="00B522FE">
      <w:pPr>
        <w:rPr>
          <w:sz w:val="28"/>
          <w:szCs w:val="28"/>
        </w:rPr>
      </w:pPr>
      <w:r>
        <w:rPr>
          <w:sz w:val="28"/>
          <w:szCs w:val="28"/>
        </w:rPr>
        <w:t>проф. д.т.н.</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Нигматулин Б.И.</w:t>
      </w:r>
    </w:p>
    <w:p w:rsidR="00B522FE" w:rsidRPr="00B522FE" w:rsidRDefault="00B522FE" w:rsidP="00B522FE">
      <w:pPr>
        <w:rPr>
          <w:sz w:val="28"/>
          <w:szCs w:val="28"/>
        </w:rPr>
      </w:pPr>
    </w:p>
    <w:p w:rsidR="003B634C" w:rsidRDefault="00D951B8" w:rsidP="00B522FE">
      <w:pPr>
        <w:jc w:val="center"/>
      </w:pPr>
      <w:r>
        <w:t xml:space="preserve">                         </w:t>
      </w:r>
      <w:r w:rsidR="00B522FE">
        <w:t xml:space="preserve"> </w:t>
      </w:r>
      <w:r>
        <w:t>12.12</w:t>
      </w:r>
      <w:r w:rsidR="00FF0903">
        <w:t>.2013 г.</w:t>
      </w:r>
    </w:p>
    <w:p w:rsidR="003B634C" w:rsidRDefault="003B634C" w:rsidP="00DC68D3">
      <w:pPr>
        <w:ind w:firstLine="709"/>
        <w:jc w:val="center"/>
      </w:pPr>
    </w:p>
    <w:p w:rsidR="003B634C" w:rsidRDefault="003B634C" w:rsidP="00DC68D3">
      <w:pPr>
        <w:ind w:firstLine="709"/>
        <w:jc w:val="center"/>
      </w:pPr>
    </w:p>
    <w:p w:rsidR="003B634C" w:rsidRDefault="003B634C" w:rsidP="00DC68D3">
      <w:pPr>
        <w:ind w:firstLine="709"/>
        <w:jc w:val="center"/>
      </w:pPr>
    </w:p>
    <w:p w:rsidR="003B634C" w:rsidRDefault="003B634C" w:rsidP="00DC68D3">
      <w:pPr>
        <w:ind w:firstLine="709"/>
        <w:jc w:val="center"/>
      </w:pPr>
    </w:p>
    <w:p w:rsidR="003B634C" w:rsidRDefault="003B634C" w:rsidP="00DC68D3">
      <w:pPr>
        <w:ind w:firstLine="709"/>
        <w:jc w:val="center"/>
      </w:pPr>
    </w:p>
    <w:p w:rsidR="00DC68D3" w:rsidRDefault="003B634C" w:rsidP="00DC68D3">
      <w:pPr>
        <w:ind w:firstLine="709"/>
        <w:jc w:val="center"/>
      </w:pPr>
      <w:r>
        <w:t>М</w:t>
      </w:r>
      <w:r w:rsidR="009478DB" w:rsidRPr="00A81F9F">
        <w:t>осква, 201</w:t>
      </w:r>
      <w:r w:rsidR="00C7190E">
        <w:t>3</w:t>
      </w:r>
      <w:r w:rsidR="009478DB" w:rsidRPr="00A81F9F">
        <w:t>г.</w:t>
      </w:r>
    </w:p>
    <w:p w:rsidR="00B522FE" w:rsidRDefault="00B522FE" w:rsidP="00DC68D3">
      <w:pPr>
        <w:ind w:firstLine="709"/>
        <w:jc w:val="center"/>
      </w:pPr>
    </w:p>
    <w:p w:rsidR="00B522FE" w:rsidRDefault="00B522FE" w:rsidP="00DC68D3">
      <w:pPr>
        <w:ind w:firstLine="709"/>
        <w:jc w:val="center"/>
      </w:pPr>
    </w:p>
    <w:sdt>
      <w:sdtPr>
        <w:id w:val="28443835"/>
        <w:docPartObj>
          <w:docPartGallery w:val="Table of Contents"/>
          <w:docPartUnique/>
        </w:docPartObj>
      </w:sdtPr>
      <w:sdtContent>
        <w:p w:rsidR="00A13BBA" w:rsidRPr="009E44B6" w:rsidRDefault="00A13BBA" w:rsidP="009E44B6">
          <w:pPr>
            <w:ind w:firstLine="709"/>
            <w:rPr>
              <w:color w:val="548DD4"/>
              <w:sz w:val="36"/>
              <w:szCs w:val="36"/>
            </w:rPr>
          </w:pPr>
          <w:r w:rsidRPr="00B522FE">
            <w:rPr>
              <w:b/>
              <w:sz w:val="32"/>
              <w:szCs w:val="32"/>
            </w:rPr>
            <w:t>Оглавление</w:t>
          </w:r>
        </w:p>
        <w:p w:rsidR="00AE362F" w:rsidRDefault="003B0104">
          <w:pPr>
            <w:pStyle w:val="10"/>
            <w:rPr>
              <w:rFonts w:asciiTheme="minorHAnsi" w:eastAsiaTheme="minorEastAsia" w:hAnsiTheme="minorHAnsi" w:cstheme="minorBidi"/>
              <w:b w:val="0"/>
              <w:bCs w:val="0"/>
              <w:caps w:val="0"/>
              <w:noProof/>
              <w:sz w:val="22"/>
              <w:szCs w:val="22"/>
            </w:rPr>
          </w:pPr>
          <w:r w:rsidRPr="003B0104">
            <w:fldChar w:fldCharType="begin"/>
          </w:r>
          <w:r w:rsidR="00A13BBA">
            <w:instrText xml:space="preserve"> TOC \o "1-3" \h \z \u </w:instrText>
          </w:r>
          <w:r w:rsidRPr="003B0104">
            <w:fldChar w:fldCharType="separate"/>
          </w:r>
          <w:hyperlink w:anchor="_Toc374557767" w:history="1">
            <w:r w:rsidR="00AE362F" w:rsidRPr="00940F3C">
              <w:rPr>
                <w:rStyle w:val="a4"/>
                <w:noProof/>
              </w:rPr>
              <w:t>ВВедение</w:t>
            </w:r>
            <w:r w:rsidR="00AE362F">
              <w:rPr>
                <w:noProof/>
                <w:webHidden/>
              </w:rPr>
              <w:tab/>
            </w:r>
            <w:r>
              <w:rPr>
                <w:noProof/>
                <w:webHidden/>
              </w:rPr>
              <w:fldChar w:fldCharType="begin"/>
            </w:r>
            <w:r w:rsidR="00AE362F">
              <w:rPr>
                <w:noProof/>
                <w:webHidden/>
              </w:rPr>
              <w:instrText xml:space="preserve"> PAGEREF _Toc374557767 \h </w:instrText>
            </w:r>
            <w:r>
              <w:rPr>
                <w:noProof/>
                <w:webHidden/>
              </w:rPr>
            </w:r>
            <w:r>
              <w:rPr>
                <w:noProof/>
                <w:webHidden/>
              </w:rPr>
              <w:fldChar w:fldCharType="separate"/>
            </w:r>
            <w:r w:rsidR="005A5B07">
              <w:rPr>
                <w:noProof/>
                <w:webHidden/>
              </w:rPr>
              <w:t>3</w:t>
            </w:r>
            <w:r>
              <w:rPr>
                <w:noProof/>
                <w:webHidden/>
              </w:rPr>
              <w:fldChar w:fldCharType="end"/>
            </w:r>
          </w:hyperlink>
        </w:p>
        <w:p w:rsidR="00AE362F" w:rsidRDefault="003B0104">
          <w:pPr>
            <w:pStyle w:val="10"/>
            <w:rPr>
              <w:rFonts w:asciiTheme="minorHAnsi" w:eastAsiaTheme="minorEastAsia" w:hAnsiTheme="minorHAnsi" w:cstheme="minorBidi"/>
              <w:b w:val="0"/>
              <w:bCs w:val="0"/>
              <w:caps w:val="0"/>
              <w:noProof/>
              <w:sz w:val="22"/>
              <w:szCs w:val="22"/>
            </w:rPr>
          </w:pPr>
          <w:hyperlink w:anchor="_Toc374557768" w:history="1">
            <w:r w:rsidR="00AE362F" w:rsidRPr="00940F3C">
              <w:rPr>
                <w:rStyle w:val="a4"/>
                <w:noProof/>
              </w:rPr>
              <w:t xml:space="preserve">Часть </w:t>
            </w:r>
            <w:r w:rsidR="00AE362F" w:rsidRPr="00940F3C">
              <w:rPr>
                <w:rStyle w:val="a4"/>
                <w:noProof/>
                <w:lang w:val="en-US"/>
              </w:rPr>
              <w:t>i</w:t>
            </w:r>
            <w:r w:rsidR="00AE362F" w:rsidRPr="00940F3C">
              <w:rPr>
                <w:rStyle w:val="a4"/>
                <w:noProof/>
              </w:rPr>
              <w:t>. Замечания к «Схеме и программе развития ЕЭС России 2012-2018 гг.», Минэнерго, август 2012 г.</w:t>
            </w:r>
            <w:r w:rsidR="00AE362F">
              <w:rPr>
                <w:noProof/>
                <w:webHidden/>
              </w:rPr>
              <w:tab/>
            </w:r>
            <w:r>
              <w:rPr>
                <w:noProof/>
                <w:webHidden/>
              </w:rPr>
              <w:fldChar w:fldCharType="begin"/>
            </w:r>
            <w:r w:rsidR="00AE362F">
              <w:rPr>
                <w:noProof/>
                <w:webHidden/>
              </w:rPr>
              <w:instrText xml:space="preserve"> PAGEREF _Toc374557768 \h </w:instrText>
            </w:r>
            <w:r>
              <w:rPr>
                <w:noProof/>
                <w:webHidden/>
              </w:rPr>
            </w:r>
            <w:r>
              <w:rPr>
                <w:noProof/>
                <w:webHidden/>
              </w:rPr>
              <w:fldChar w:fldCharType="separate"/>
            </w:r>
            <w:r w:rsidR="005A5B07">
              <w:rPr>
                <w:noProof/>
                <w:webHidden/>
              </w:rPr>
              <w:t>5</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69" w:history="1">
            <w:r w:rsidR="00AE362F" w:rsidRPr="00940F3C">
              <w:rPr>
                <w:rStyle w:val="a4"/>
                <w:noProof/>
              </w:rPr>
              <w:t>По Разделу 1. Основные цели и задачи.</w:t>
            </w:r>
            <w:r w:rsidR="00AE362F">
              <w:rPr>
                <w:noProof/>
                <w:webHidden/>
              </w:rPr>
              <w:tab/>
            </w:r>
            <w:r>
              <w:rPr>
                <w:noProof/>
                <w:webHidden/>
              </w:rPr>
              <w:fldChar w:fldCharType="begin"/>
            </w:r>
            <w:r w:rsidR="00AE362F">
              <w:rPr>
                <w:noProof/>
                <w:webHidden/>
              </w:rPr>
              <w:instrText xml:space="preserve"> PAGEREF _Toc374557769 \h </w:instrText>
            </w:r>
            <w:r>
              <w:rPr>
                <w:noProof/>
                <w:webHidden/>
              </w:rPr>
            </w:r>
            <w:r>
              <w:rPr>
                <w:noProof/>
                <w:webHidden/>
              </w:rPr>
              <w:fldChar w:fldCharType="separate"/>
            </w:r>
            <w:r w:rsidR="005A5B07">
              <w:rPr>
                <w:noProof/>
                <w:webHidden/>
              </w:rPr>
              <w:t>5</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0" w:history="1">
            <w:r w:rsidR="00AE362F" w:rsidRPr="00940F3C">
              <w:rPr>
                <w:rStyle w:val="a4"/>
                <w:noProof/>
              </w:rPr>
              <w:t>По Разделу 2. Прогноз спроса на электрическую энергию по единой энергетической системе ЕЭС России и территориям субъектов Российской Федерации на 2013-2019 гг.</w:t>
            </w:r>
            <w:r w:rsidR="00AE362F">
              <w:rPr>
                <w:noProof/>
                <w:webHidden/>
              </w:rPr>
              <w:tab/>
            </w:r>
            <w:r>
              <w:rPr>
                <w:noProof/>
                <w:webHidden/>
              </w:rPr>
              <w:fldChar w:fldCharType="begin"/>
            </w:r>
            <w:r w:rsidR="00AE362F">
              <w:rPr>
                <w:noProof/>
                <w:webHidden/>
              </w:rPr>
              <w:instrText xml:space="preserve"> PAGEREF _Toc374557770 \h </w:instrText>
            </w:r>
            <w:r>
              <w:rPr>
                <w:noProof/>
                <w:webHidden/>
              </w:rPr>
            </w:r>
            <w:r>
              <w:rPr>
                <w:noProof/>
                <w:webHidden/>
              </w:rPr>
              <w:fldChar w:fldCharType="separate"/>
            </w:r>
            <w:r w:rsidR="005A5B07">
              <w:rPr>
                <w:noProof/>
                <w:webHidden/>
              </w:rPr>
              <w:t>6</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1" w:history="1">
            <w:r w:rsidR="00AE362F" w:rsidRPr="00940F3C">
              <w:rPr>
                <w:rStyle w:val="a4"/>
                <w:noProof/>
              </w:rPr>
              <w:t>По Разделу 3. Прогноз максимальных электрических нагрузок единой энергетической системы  России, объединенных энергетических систем и по территориям субъектов Российской Федерации за 2013 – 2019 гг.</w:t>
            </w:r>
            <w:r w:rsidR="00AE362F">
              <w:rPr>
                <w:noProof/>
                <w:webHidden/>
              </w:rPr>
              <w:tab/>
            </w:r>
            <w:r>
              <w:rPr>
                <w:noProof/>
                <w:webHidden/>
              </w:rPr>
              <w:fldChar w:fldCharType="begin"/>
            </w:r>
            <w:r w:rsidR="00AE362F">
              <w:rPr>
                <w:noProof/>
                <w:webHidden/>
              </w:rPr>
              <w:instrText xml:space="preserve"> PAGEREF _Toc374557771 \h </w:instrText>
            </w:r>
            <w:r>
              <w:rPr>
                <w:noProof/>
                <w:webHidden/>
              </w:rPr>
            </w:r>
            <w:r>
              <w:rPr>
                <w:noProof/>
                <w:webHidden/>
              </w:rPr>
              <w:fldChar w:fldCharType="separate"/>
            </w:r>
            <w:r w:rsidR="005A5B07">
              <w:rPr>
                <w:noProof/>
                <w:webHidden/>
              </w:rPr>
              <w:t>6</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2" w:history="1">
            <w:r w:rsidR="00AE362F" w:rsidRPr="00940F3C">
              <w:rPr>
                <w:rStyle w:val="a4"/>
                <w:noProof/>
              </w:rPr>
              <w:t>По Разделу 4. Прогноз требуемого увеличения мощностей для удовлетворения спроса на электрическую энергию на период 2013 – 2019гг.</w:t>
            </w:r>
            <w:r w:rsidR="00AE362F">
              <w:rPr>
                <w:noProof/>
                <w:webHidden/>
              </w:rPr>
              <w:tab/>
            </w:r>
            <w:r>
              <w:rPr>
                <w:noProof/>
                <w:webHidden/>
              </w:rPr>
              <w:fldChar w:fldCharType="begin"/>
            </w:r>
            <w:r w:rsidR="00AE362F">
              <w:rPr>
                <w:noProof/>
                <w:webHidden/>
              </w:rPr>
              <w:instrText xml:space="preserve"> PAGEREF _Toc374557772 \h </w:instrText>
            </w:r>
            <w:r>
              <w:rPr>
                <w:noProof/>
                <w:webHidden/>
              </w:rPr>
            </w:r>
            <w:r>
              <w:rPr>
                <w:noProof/>
                <w:webHidden/>
              </w:rPr>
              <w:fldChar w:fldCharType="separate"/>
            </w:r>
            <w:r w:rsidR="005A5B07">
              <w:rPr>
                <w:noProof/>
                <w:webHidden/>
              </w:rPr>
              <w:t>6</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3" w:history="1">
            <w:r w:rsidR="00AE362F" w:rsidRPr="00940F3C">
              <w:rPr>
                <w:rStyle w:val="a4"/>
                <w:noProof/>
              </w:rPr>
              <w:t>По Разделу 5. Прогноз развития действующих и предполагаемых к сооружению новых генерирующих мощностей.</w:t>
            </w:r>
            <w:r w:rsidR="00AE362F">
              <w:rPr>
                <w:noProof/>
                <w:webHidden/>
              </w:rPr>
              <w:tab/>
            </w:r>
            <w:r>
              <w:rPr>
                <w:noProof/>
                <w:webHidden/>
              </w:rPr>
              <w:fldChar w:fldCharType="begin"/>
            </w:r>
            <w:r w:rsidR="00AE362F">
              <w:rPr>
                <w:noProof/>
                <w:webHidden/>
              </w:rPr>
              <w:instrText xml:space="preserve"> PAGEREF _Toc374557773 \h </w:instrText>
            </w:r>
            <w:r>
              <w:rPr>
                <w:noProof/>
                <w:webHidden/>
              </w:rPr>
            </w:r>
            <w:r>
              <w:rPr>
                <w:noProof/>
                <w:webHidden/>
              </w:rPr>
              <w:fldChar w:fldCharType="separate"/>
            </w:r>
            <w:r w:rsidR="005A5B07">
              <w:rPr>
                <w:noProof/>
                <w:webHidden/>
              </w:rPr>
              <w:t>7</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4" w:history="1">
            <w:r w:rsidR="00AE362F" w:rsidRPr="00940F3C">
              <w:rPr>
                <w:rStyle w:val="a4"/>
                <w:noProof/>
              </w:rPr>
              <w:t>По Разделу 6. Прогноз балансов мощности и электрической энергии ЕЭС России на 2013-2019 гг.</w:t>
            </w:r>
            <w:r w:rsidR="00AE362F">
              <w:rPr>
                <w:noProof/>
                <w:webHidden/>
              </w:rPr>
              <w:tab/>
            </w:r>
            <w:r>
              <w:rPr>
                <w:noProof/>
                <w:webHidden/>
              </w:rPr>
              <w:fldChar w:fldCharType="begin"/>
            </w:r>
            <w:r w:rsidR="00AE362F">
              <w:rPr>
                <w:noProof/>
                <w:webHidden/>
              </w:rPr>
              <w:instrText xml:space="preserve"> PAGEREF _Toc374557774 \h </w:instrText>
            </w:r>
            <w:r>
              <w:rPr>
                <w:noProof/>
                <w:webHidden/>
              </w:rPr>
            </w:r>
            <w:r>
              <w:rPr>
                <w:noProof/>
                <w:webHidden/>
              </w:rPr>
              <w:fldChar w:fldCharType="separate"/>
            </w:r>
            <w:r w:rsidR="005A5B07">
              <w:rPr>
                <w:noProof/>
                <w:webHidden/>
              </w:rPr>
              <w:t>7</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5" w:history="1">
            <w:r w:rsidR="00AE362F" w:rsidRPr="00940F3C">
              <w:rPr>
                <w:rStyle w:val="a4"/>
                <w:noProof/>
              </w:rPr>
              <w:t>По Разделу 7. Прогноз спроса на топливо организации электроэнергетики ЕЭС России (без учета децентрализованных источников) на период 2013-2019 гг.</w:t>
            </w:r>
            <w:r w:rsidR="00AE362F">
              <w:rPr>
                <w:noProof/>
                <w:webHidden/>
              </w:rPr>
              <w:tab/>
            </w:r>
            <w:r>
              <w:rPr>
                <w:noProof/>
                <w:webHidden/>
              </w:rPr>
              <w:fldChar w:fldCharType="begin"/>
            </w:r>
            <w:r w:rsidR="00AE362F">
              <w:rPr>
                <w:noProof/>
                <w:webHidden/>
              </w:rPr>
              <w:instrText xml:space="preserve"> PAGEREF _Toc374557775 \h </w:instrText>
            </w:r>
            <w:r>
              <w:rPr>
                <w:noProof/>
                <w:webHidden/>
              </w:rPr>
            </w:r>
            <w:r>
              <w:rPr>
                <w:noProof/>
                <w:webHidden/>
              </w:rPr>
              <w:fldChar w:fldCharType="separate"/>
            </w:r>
            <w:r w:rsidR="005A5B07">
              <w:rPr>
                <w:noProof/>
                <w:webHidden/>
              </w:rPr>
              <w:t>7</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6" w:history="1">
            <w:r w:rsidR="00AE362F" w:rsidRPr="00940F3C">
              <w:rPr>
                <w:rStyle w:val="a4"/>
                <w:noProof/>
              </w:rPr>
              <w:t>По Разделу 8. Развитие магистральных и распределительных сетей с учетом требований по обеспечению регулирования (компенсации) реактивной электрической мощности за 2013-2019 гг.</w:t>
            </w:r>
            <w:r w:rsidR="00AE362F">
              <w:rPr>
                <w:noProof/>
                <w:webHidden/>
              </w:rPr>
              <w:tab/>
            </w:r>
            <w:r>
              <w:rPr>
                <w:noProof/>
                <w:webHidden/>
              </w:rPr>
              <w:fldChar w:fldCharType="begin"/>
            </w:r>
            <w:r w:rsidR="00AE362F">
              <w:rPr>
                <w:noProof/>
                <w:webHidden/>
              </w:rPr>
              <w:instrText xml:space="preserve"> PAGEREF _Toc374557776 \h </w:instrText>
            </w:r>
            <w:r>
              <w:rPr>
                <w:noProof/>
                <w:webHidden/>
              </w:rPr>
            </w:r>
            <w:r>
              <w:rPr>
                <w:noProof/>
                <w:webHidden/>
              </w:rPr>
              <w:fldChar w:fldCharType="separate"/>
            </w:r>
            <w:r w:rsidR="005A5B07">
              <w:rPr>
                <w:noProof/>
                <w:webHidden/>
              </w:rPr>
              <w:t>8</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7" w:history="1">
            <w:r w:rsidR="00AE362F" w:rsidRPr="00940F3C">
              <w:rPr>
                <w:rStyle w:val="a4"/>
                <w:noProof/>
              </w:rPr>
              <w:t>По Разделу 9. Предложения по развитию электрических сетей напряжением 220-750 кВ по энергосистеме Московской области и г. Москвы на период 2012-2018 гг. (то же самое для периода 2013-2019 гг.).</w:t>
            </w:r>
            <w:r w:rsidR="00AE362F">
              <w:rPr>
                <w:noProof/>
                <w:webHidden/>
              </w:rPr>
              <w:tab/>
            </w:r>
            <w:r>
              <w:rPr>
                <w:noProof/>
                <w:webHidden/>
              </w:rPr>
              <w:fldChar w:fldCharType="begin"/>
            </w:r>
            <w:r w:rsidR="00AE362F">
              <w:rPr>
                <w:noProof/>
                <w:webHidden/>
              </w:rPr>
              <w:instrText xml:space="preserve"> PAGEREF _Toc374557777 \h </w:instrText>
            </w:r>
            <w:r>
              <w:rPr>
                <w:noProof/>
                <w:webHidden/>
              </w:rPr>
            </w:r>
            <w:r>
              <w:rPr>
                <w:noProof/>
                <w:webHidden/>
              </w:rPr>
              <w:fldChar w:fldCharType="separate"/>
            </w:r>
            <w:r w:rsidR="005A5B07">
              <w:rPr>
                <w:noProof/>
                <w:webHidden/>
              </w:rPr>
              <w:t>8</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78" w:history="1">
            <w:r w:rsidR="00AE362F" w:rsidRPr="00940F3C">
              <w:rPr>
                <w:rStyle w:val="a4"/>
                <w:noProof/>
              </w:rPr>
              <w:t>По Разделу 10. Оценка необходимых объемов капитальных вложений в сооружение электростанций и электросетевых объектов напряжением 220 кВ и выше на 2013-2019 гг.</w:t>
            </w:r>
            <w:r w:rsidR="00AE362F">
              <w:rPr>
                <w:noProof/>
                <w:webHidden/>
              </w:rPr>
              <w:tab/>
            </w:r>
            <w:r>
              <w:rPr>
                <w:noProof/>
                <w:webHidden/>
              </w:rPr>
              <w:fldChar w:fldCharType="begin"/>
            </w:r>
            <w:r w:rsidR="00AE362F">
              <w:rPr>
                <w:noProof/>
                <w:webHidden/>
              </w:rPr>
              <w:instrText xml:space="preserve"> PAGEREF _Toc374557778 \h </w:instrText>
            </w:r>
            <w:r>
              <w:rPr>
                <w:noProof/>
                <w:webHidden/>
              </w:rPr>
            </w:r>
            <w:r>
              <w:rPr>
                <w:noProof/>
                <w:webHidden/>
              </w:rPr>
              <w:fldChar w:fldCharType="separate"/>
            </w:r>
            <w:r w:rsidR="005A5B07">
              <w:rPr>
                <w:noProof/>
                <w:webHidden/>
              </w:rPr>
              <w:t>9</w:t>
            </w:r>
            <w:r>
              <w:rPr>
                <w:noProof/>
                <w:webHidden/>
              </w:rPr>
              <w:fldChar w:fldCharType="end"/>
            </w:r>
          </w:hyperlink>
        </w:p>
        <w:p w:rsidR="00AE362F" w:rsidRDefault="003B0104">
          <w:pPr>
            <w:pStyle w:val="10"/>
            <w:rPr>
              <w:rFonts w:asciiTheme="minorHAnsi" w:eastAsiaTheme="minorEastAsia" w:hAnsiTheme="minorHAnsi" w:cstheme="minorBidi"/>
              <w:b w:val="0"/>
              <w:bCs w:val="0"/>
              <w:caps w:val="0"/>
              <w:noProof/>
              <w:sz w:val="22"/>
              <w:szCs w:val="22"/>
            </w:rPr>
          </w:pPr>
          <w:hyperlink w:anchor="_Toc374557779" w:history="1">
            <w:r w:rsidR="00AE362F" w:rsidRPr="00940F3C">
              <w:rPr>
                <w:rStyle w:val="a4"/>
                <w:noProof/>
              </w:rPr>
              <w:t xml:space="preserve">Часть  </w:t>
            </w:r>
            <w:r w:rsidR="00AE362F" w:rsidRPr="00940F3C">
              <w:rPr>
                <w:rStyle w:val="a4"/>
                <w:noProof/>
                <w:lang w:val="en-US"/>
              </w:rPr>
              <w:t>ii</w:t>
            </w:r>
            <w:r w:rsidR="00AE362F" w:rsidRPr="00940F3C">
              <w:rPr>
                <w:rStyle w:val="a4"/>
                <w:noProof/>
              </w:rPr>
              <w:t>. Обоснования замечаний к «Схеме и программе развития ЕЭС России в период 2013-2019 гг.», Минэнерго, 2013 г.</w:t>
            </w:r>
            <w:r w:rsidR="00AE362F">
              <w:rPr>
                <w:noProof/>
                <w:webHidden/>
              </w:rPr>
              <w:tab/>
            </w:r>
            <w:r>
              <w:rPr>
                <w:noProof/>
                <w:webHidden/>
              </w:rPr>
              <w:fldChar w:fldCharType="begin"/>
            </w:r>
            <w:r w:rsidR="00AE362F">
              <w:rPr>
                <w:noProof/>
                <w:webHidden/>
              </w:rPr>
              <w:instrText xml:space="preserve"> PAGEREF _Toc374557779 \h </w:instrText>
            </w:r>
            <w:r>
              <w:rPr>
                <w:noProof/>
                <w:webHidden/>
              </w:rPr>
            </w:r>
            <w:r>
              <w:rPr>
                <w:noProof/>
                <w:webHidden/>
              </w:rPr>
              <w:fldChar w:fldCharType="separate"/>
            </w:r>
            <w:r w:rsidR="005A5B07">
              <w:rPr>
                <w:noProof/>
                <w:webHidden/>
              </w:rPr>
              <w:t>10</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80" w:history="1">
            <w:r w:rsidR="00AE362F" w:rsidRPr="00940F3C">
              <w:rPr>
                <w:rStyle w:val="a4"/>
                <w:noProof/>
              </w:rPr>
              <w:t>По Разделу 2. Прогноз электропотребления в РФ и в ЕЭС России и ряда территорий субъектов Российской Федерации на 2013-2019 гг.</w:t>
            </w:r>
            <w:r w:rsidR="00AE362F">
              <w:rPr>
                <w:noProof/>
                <w:webHidden/>
              </w:rPr>
              <w:tab/>
            </w:r>
            <w:r>
              <w:rPr>
                <w:noProof/>
                <w:webHidden/>
              </w:rPr>
              <w:fldChar w:fldCharType="begin"/>
            </w:r>
            <w:r w:rsidR="00AE362F">
              <w:rPr>
                <w:noProof/>
                <w:webHidden/>
              </w:rPr>
              <w:instrText xml:space="preserve"> PAGEREF _Toc374557780 \h </w:instrText>
            </w:r>
            <w:r>
              <w:rPr>
                <w:noProof/>
                <w:webHidden/>
              </w:rPr>
            </w:r>
            <w:r>
              <w:rPr>
                <w:noProof/>
                <w:webHidden/>
              </w:rPr>
              <w:fldChar w:fldCharType="separate"/>
            </w:r>
            <w:r w:rsidR="005A5B07">
              <w:rPr>
                <w:noProof/>
                <w:webHidden/>
              </w:rPr>
              <w:t>10</w:t>
            </w:r>
            <w:r>
              <w:rPr>
                <w:noProof/>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1" w:history="1">
            <w:r w:rsidR="00AE362F" w:rsidRPr="00940F3C">
              <w:rPr>
                <w:rStyle w:val="a4"/>
              </w:rPr>
              <w:t>2.1. Анализ прогноза электропотребления в России и в ЕЭС России в период 2008-2020 с перспективой до 2030 года, по различным материалам Минэнерго РФ.</w:t>
            </w:r>
            <w:r w:rsidR="00AE362F">
              <w:rPr>
                <w:webHidden/>
              </w:rPr>
              <w:tab/>
            </w:r>
            <w:r>
              <w:rPr>
                <w:webHidden/>
              </w:rPr>
              <w:fldChar w:fldCharType="begin"/>
            </w:r>
            <w:r w:rsidR="00AE362F">
              <w:rPr>
                <w:webHidden/>
              </w:rPr>
              <w:instrText xml:space="preserve"> PAGEREF _Toc374557781 \h </w:instrText>
            </w:r>
            <w:r>
              <w:rPr>
                <w:webHidden/>
              </w:rPr>
            </w:r>
            <w:r>
              <w:rPr>
                <w:webHidden/>
              </w:rPr>
              <w:fldChar w:fldCharType="separate"/>
            </w:r>
            <w:r w:rsidR="005A5B07">
              <w:rPr>
                <w:webHidden/>
              </w:rPr>
              <w:t>10</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2" w:history="1">
            <w:r w:rsidR="00AE362F" w:rsidRPr="00940F3C">
              <w:rPr>
                <w:rStyle w:val="a4"/>
              </w:rPr>
              <w:t>2.2. Метод прогнозирования электропотребления через эластичность между электропотреблением и ВВП.</w:t>
            </w:r>
            <w:r w:rsidR="00AE362F">
              <w:rPr>
                <w:webHidden/>
              </w:rPr>
              <w:tab/>
            </w:r>
            <w:r>
              <w:rPr>
                <w:webHidden/>
              </w:rPr>
              <w:fldChar w:fldCharType="begin"/>
            </w:r>
            <w:r w:rsidR="00AE362F">
              <w:rPr>
                <w:webHidden/>
              </w:rPr>
              <w:instrText xml:space="preserve"> PAGEREF _Toc374557782 \h </w:instrText>
            </w:r>
            <w:r>
              <w:rPr>
                <w:webHidden/>
              </w:rPr>
            </w:r>
            <w:r>
              <w:rPr>
                <w:webHidden/>
              </w:rPr>
              <w:fldChar w:fldCharType="separate"/>
            </w:r>
            <w:r w:rsidR="005A5B07">
              <w:rPr>
                <w:webHidden/>
              </w:rPr>
              <w:t>12</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3" w:history="1">
            <w:r w:rsidR="00AE362F" w:rsidRPr="00940F3C">
              <w:rPr>
                <w:rStyle w:val="a4"/>
              </w:rPr>
              <w:t>2.3. Об электропотреблении населения.</w:t>
            </w:r>
            <w:r w:rsidR="00AE362F">
              <w:rPr>
                <w:webHidden/>
              </w:rPr>
              <w:tab/>
            </w:r>
            <w:r>
              <w:rPr>
                <w:webHidden/>
              </w:rPr>
              <w:fldChar w:fldCharType="begin"/>
            </w:r>
            <w:r w:rsidR="00AE362F">
              <w:rPr>
                <w:webHidden/>
              </w:rPr>
              <w:instrText xml:space="preserve"> PAGEREF _Toc374557783 \h </w:instrText>
            </w:r>
            <w:r>
              <w:rPr>
                <w:webHidden/>
              </w:rPr>
            </w:r>
            <w:r>
              <w:rPr>
                <w:webHidden/>
              </w:rPr>
              <w:fldChar w:fldCharType="separate"/>
            </w:r>
            <w:r w:rsidR="005A5B07">
              <w:rPr>
                <w:webHidden/>
              </w:rPr>
              <w:t>23</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4" w:history="1">
            <w:r w:rsidR="00AE362F" w:rsidRPr="00940F3C">
              <w:rPr>
                <w:rStyle w:val="a4"/>
                <w:shd w:val="clear" w:color="auto" w:fill="FFFFFF"/>
              </w:rPr>
              <w:t>2.4. Прогноз роста ВВП. Влияние темпа  изменения инвестиций в основной капитал (ИОК)  на темп изменения ВВП</w:t>
            </w:r>
            <w:r w:rsidR="00AE362F">
              <w:rPr>
                <w:webHidden/>
              </w:rPr>
              <w:tab/>
            </w:r>
            <w:r>
              <w:rPr>
                <w:webHidden/>
              </w:rPr>
              <w:fldChar w:fldCharType="begin"/>
            </w:r>
            <w:r w:rsidR="00AE362F">
              <w:rPr>
                <w:webHidden/>
              </w:rPr>
              <w:instrText xml:space="preserve"> PAGEREF _Toc374557784 \h </w:instrText>
            </w:r>
            <w:r>
              <w:rPr>
                <w:webHidden/>
              </w:rPr>
            </w:r>
            <w:r>
              <w:rPr>
                <w:webHidden/>
              </w:rPr>
              <w:fldChar w:fldCharType="separate"/>
            </w:r>
            <w:r w:rsidR="005A5B07">
              <w:rPr>
                <w:webHidden/>
              </w:rPr>
              <w:t>23</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5" w:history="1">
            <w:r w:rsidR="00AE362F" w:rsidRPr="00940F3C">
              <w:rPr>
                <w:rStyle w:val="a4"/>
              </w:rPr>
              <w:t>2.5. Анализ эффективности вложений ИОК в экономику России.</w:t>
            </w:r>
            <w:r w:rsidR="00AE362F">
              <w:rPr>
                <w:webHidden/>
              </w:rPr>
              <w:tab/>
            </w:r>
            <w:r>
              <w:rPr>
                <w:webHidden/>
              </w:rPr>
              <w:fldChar w:fldCharType="begin"/>
            </w:r>
            <w:r w:rsidR="00AE362F">
              <w:rPr>
                <w:webHidden/>
              </w:rPr>
              <w:instrText xml:space="preserve"> PAGEREF _Toc374557785 \h </w:instrText>
            </w:r>
            <w:r>
              <w:rPr>
                <w:webHidden/>
              </w:rPr>
            </w:r>
            <w:r>
              <w:rPr>
                <w:webHidden/>
              </w:rPr>
              <w:fldChar w:fldCharType="separate"/>
            </w:r>
            <w:r w:rsidR="005A5B07">
              <w:rPr>
                <w:webHidden/>
              </w:rPr>
              <w:t>29</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6" w:history="1">
            <w:r w:rsidR="00AE362F" w:rsidRPr="00940F3C">
              <w:rPr>
                <w:rStyle w:val="a4"/>
              </w:rPr>
              <w:t>2.6. Прогноз темпов изменения ИОК на период 2013-2019гг.</w:t>
            </w:r>
            <w:r w:rsidR="00AE362F">
              <w:rPr>
                <w:webHidden/>
              </w:rPr>
              <w:tab/>
            </w:r>
            <w:r>
              <w:rPr>
                <w:webHidden/>
              </w:rPr>
              <w:fldChar w:fldCharType="begin"/>
            </w:r>
            <w:r w:rsidR="00AE362F">
              <w:rPr>
                <w:webHidden/>
              </w:rPr>
              <w:instrText xml:space="preserve"> PAGEREF _Toc374557786 \h </w:instrText>
            </w:r>
            <w:r>
              <w:rPr>
                <w:webHidden/>
              </w:rPr>
            </w:r>
            <w:r>
              <w:rPr>
                <w:webHidden/>
              </w:rPr>
              <w:fldChar w:fldCharType="separate"/>
            </w:r>
            <w:r w:rsidR="005A5B07">
              <w:rPr>
                <w:webHidden/>
              </w:rPr>
              <w:t>32</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7" w:history="1">
            <w:r w:rsidR="00AE362F" w:rsidRPr="00940F3C">
              <w:rPr>
                <w:rStyle w:val="a4"/>
              </w:rPr>
              <w:t>2.7. Обоснование прогноза электропотребления в России на среднесрочную перспективу до 2022 г.</w:t>
            </w:r>
            <w:r w:rsidR="00AE362F">
              <w:rPr>
                <w:webHidden/>
              </w:rPr>
              <w:tab/>
            </w:r>
            <w:r>
              <w:rPr>
                <w:webHidden/>
              </w:rPr>
              <w:fldChar w:fldCharType="begin"/>
            </w:r>
            <w:r w:rsidR="00AE362F">
              <w:rPr>
                <w:webHidden/>
              </w:rPr>
              <w:instrText xml:space="preserve"> PAGEREF _Toc374557787 \h </w:instrText>
            </w:r>
            <w:r>
              <w:rPr>
                <w:webHidden/>
              </w:rPr>
            </w:r>
            <w:r>
              <w:rPr>
                <w:webHidden/>
              </w:rPr>
              <w:fldChar w:fldCharType="separate"/>
            </w:r>
            <w:r w:rsidR="005A5B07">
              <w:rPr>
                <w:webHidden/>
              </w:rPr>
              <w:t>35</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88" w:history="1">
            <w:r w:rsidR="00AE362F" w:rsidRPr="00940F3C">
              <w:rPr>
                <w:rStyle w:val="a4"/>
                <w:shd w:val="clear" w:color="auto" w:fill="FFFFFF"/>
              </w:rPr>
              <w:t>2.8. Прогноз роста электропотребления в ЕЭС России на 2011-2019 гг. по материалам Программы Минэнерго 2011, 2012, 2013 г.</w:t>
            </w:r>
            <w:r w:rsidR="00AE362F">
              <w:rPr>
                <w:webHidden/>
              </w:rPr>
              <w:tab/>
            </w:r>
            <w:r>
              <w:rPr>
                <w:webHidden/>
              </w:rPr>
              <w:fldChar w:fldCharType="begin"/>
            </w:r>
            <w:r w:rsidR="00AE362F">
              <w:rPr>
                <w:webHidden/>
              </w:rPr>
              <w:instrText xml:space="preserve"> PAGEREF _Toc374557788 \h </w:instrText>
            </w:r>
            <w:r>
              <w:rPr>
                <w:webHidden/>
              </w:rPr>
            </w:r>
            <w:r>
              <w:rPr>
                <w:webHidden/>
              </w:rPr>
              <w:fldChar w:fldCharType="separate"/>
            </w:r>
            <w:r w:rsidR="005A5B07">
              <w:rPr>
                <w:webHidden/>
              </w:rPr>
              <w:t>37</w:t>
            </w:r>
            <w:r>
              <w:rPr>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89" w:history="1">
            <w:r w:rsidR="00AE362F" w:rsidRPr="00940F3C">
              <w:rPr>
                <w:rStyle w:val="a4"/>
                <w:noProof/>
              </w:rPr>
              <w:t>По Разделу 3. Прогноз максимальных электрических нагрузок ЕЭС  России на период 2013 – 2019 гг.</w:t>
            </w:r>
            <w:r w:rsidR="00AE362F">
              <w:rPr>
                <w:noProof/>
                <w:webHidden/>
              </w:rPr>
              <w:tab/>
            </w:r>
            <w:r>
              <w:rPr>
                <w:noProof/>
                <w:webHidden/>
              </w:rPr>
              <w:fldChar w:fldCharType="begin"/>
            </w:r>
            <w:r w:rsidR="00AE362F">
              <w:rPr>
                <w:noProof/>
                <w:webHidden/>
              </w:rPr>
              <w:instrText xml:space="preserve"> PAGEREF _Toc374557789 \h </w:instrText>
            </w:r>
            <w:r>
              <w:rPr>
                <w:noProof/>
                <w:webHidden/>
              </w:rPr>
            </w:r>
            <w:r>
              <w:rPr>
                <w:noProof/>
                <w:webHidden/>
              </w:rPr>
              <w:fldChar w:fldCharType="separate"/>
            </w:r>
            <w:r w:rsidR="005A5B07">
              <w:rPr>
                <w:noProof/>
                <w:webHidden/>
              </w:rPr>
              <w:t>40</w:t>
            </w:r>
            <w:r>
              <w:rPr>
                <w:noProof/>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90" w:history="1">
            <w:r w:rsidR="00AE362F" w:rsidRPr="00940F3C">
              <w:rPr>
                <w:rStyle w:val="a4"/>
                <w:shd w:val="clear" w:color="auto" w:fill="FFFFFF"/>
              </w:rPr>
              <w:t>3.1. Динамика электропотребления в РФ и максимальной электрической нагрузки в ЕЭС в период с 1990 по 2012гг., с прогнозом до 2019г.</w:t>
            </w:r>
            <w:r w:rsidR="00AE362F">
              <w:rPr>
                <w:webHidden/>
              </w:rPr>
              <w:tab/>
            </w:r>
            <w:r>
              <w:rPr>
                <w:webHidden/>
              </w:rPr>
              <w:fldChar w:fldCharType="begin"/>
            </w:r>
            <w:r w:rsidR="00AE362F">
              <w:rPr>
                <w:webHidden/>
              </w:rPr>
              <w:instrText xml:space="preserve"> PAGEREF _Toc374557790 \h </w:instrText>
            </w:r>
            <w:r>
              <w:rPr>
                <w:webHidden/>
              </w:rPr>
            </w:r>
            <w:r>
              <w:rPr>
                <w:webHidden/>
              </w:rPr>
              <w:fldChar w:fldCharType="separate"/>
            </w:r>
            <w:r w:rsidR="005A5B07">
              <w:rPr>
                <w:webHidden/>
              </w:rPr>
              <w:t>40</w:t>
            </w:r>
            <w:r>
              <w:rPr>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91" w:history="1">
            <w:r w:rsidR="00AE362F" w:rsidRPr="00940F3C">
              <w:rPr>
                <w:rStyle w:val="a4"/>
                <w:noProof/>
              </w:rPr>
              <w:t>По Разделу 4. О прогнозе требуемого увеличения мощностей для удовлетворения спроса на электрическую энергию  в период 2013-2019 гг.</w:t>
            </w:r>
            <w:r w:rsidR="00AE362F">
              <w:rPr>
                <w:noProof/>
                <w:webHidden/>
              </w:rPr>
              <w:tab/>
            </w:r>
            <w:r>
              <w:rPr>
                <w:noProof/>
                <w:webHidden/>
              </w:rPr>
              <w:fldChar w:fldCharType="begin"/>
            </w:r>
            <w:r w:rsidR="00AE362F">
              <w:rPr>
                <w:noProof/>
                <w:webHidden/>
              </w:rPr>
              <w:instrText xml:space="preserve"> PAGEREF _Toc374557791 \h </w:instrText>
            </w:r>
            <w:r>
              <w:rPr>
                <w:noProof/>
                <w:webHidden/>
              </w:rPr>
            </w:r>
            <w:r>
              <w:rPr>
                <w:noProof/>
                <w:webHidden/>
              </w:rPr>
              <w:fldChar w:fldCharType="separate"/>
            </w:r>
            <w:r w:rsidR="005A5B07">
              <w:rPr>
                <w:noProof/>
                <w:webHidden/>
              </w:rPr>
              <w:t>44</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92" w:history="1">
            <w:r w:rsidR="00AE362F" w:rsidRPr="00940F3C">
              <w:rPr>
                <w:rStyle w:val="a4"/>
                <w:noProof/>
              </w:rPr>
              <w:t>По Разделу 5. О прогнозе развития действующих и предполагаемых к сооружению новых генерирующих мощностей.</w:t>
            </w:r>
            <w:r w:rsidR="00AE362F">
              <w:rPr>
                <w:noProof/>
                <w:webHidden/>
              </w:rPr>
              <w:tab/>
            </w:r>
            <w:r>
              <w:rPr>
                <w:noProof/>
                <w:webHidden/>
              </w:rPr>
              <w:fldChar w:fldCharType="begin"/>
            </w:r>
            <w:r w:rsidR="00AE362F">
              <w:rPr>
                <w:noProof/>
                <w:webHidden/>
              </w:rPr>
              <w:instrText xml:space="preserve"> PAGEREF _Toc374557792 \h </w:instrText>
            </w:r>
            <w:r>
              <w:rPr>
                <w:noProof/>
                <w:webHidden/>
              </w:rPr>
            </w:r>
            <w:r>
              <w:rPr>
                <w:noProof/>
                <w:webHidden/>
              </w:rPr>
              <w:fldChar w:fldCharType="separate"/>
            </w:r>
            <w:r w:rsidR="005A5B07">
              <w:rPr>
                <w:noProof/>
                <w:webHidden/>
              </w:rPr>
              <w:t>50</w:t>
            </w:r>
            <w:r>
              <w:rPr>
                <w:noProof/>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93" w:history="1">
            <w:r w:rsidR="00AE362F" w:rsidRPr="00940F3C">
              <w:rPr>
                <w:rStyle w:val="a4"/>
              </w:rPr>
              <w:t>5.1. О прогнозе Минэнерго 2013 по  выводу из эксплуатации генерирующих мощностей в ЕЭС России в 2013-2019 гг.</w:t>
            </w:r>
            <w:r w:rsidR="00AE362F">
              <w:rPr>
                <w:webHidden/>
              </w:rPr>
              <w:tab/>
            </w:r>
            <w:r>
              <w:rPr>
                <w:webHidden/>
              </w:rPr>
              <w:fldChar w:fldCharType="begin"/>
            </w:r>
            <w:r w:rsidR="00AE362F">
              <w:rPr>
                <w:webHidden/>
              </w:rPr>
              <w:instrText xml:space="preserve"> PAGEREF _Toc374557793 \h </w:instrText>
            </w:r>
            <w:r>
              <w:rPr>
                <w:webHidden/>
              </w:rPr>
            </w:r>
            <w:r>
              <w:rPr>
                <w:webHidden/>
              </w:rPr>
              <w:fldChar w:fldCharType="separate"/>
            </w:r>
            <w:r w:rsidR="005A5B07">
              <w:rPr>
                <w:webHidden/>
              </w:rPr>
              <w:t>50</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94" w:history="1">
            <w:r w:rsidR="00AE362F" w:rsidRPr="00940F3C">
              <w:rPr>
                <w:rStyle w:val="a4"/>
              </w:rPr>
              <w:t>5.2. Анализ прогнозов вводов новых генерирующих мощностей в ЕЭС России по данным Минэнерго 2011 г., 2012 г, 2013. и СПЭ 2013г. в период 2011-2019гг.</w:t>
            </w:r>
            <w:r w:rsidR="00AE362F">
              <w:rPr>
                <w:webHidden/>
              </w:rPr>
              <w:tab/>
            </w:r>
            <w:r>
              <w:rPr>
                <w:webHidden/>
              </w:rPr>
              <w:fldChar w:fldCharType="begin"/>
            </w:r>
            <w:r w:rsidR="00AE362F">
              <w:rPr>
                <w:webHidden/>
              </w:rPr>
              <w:instrText xml:space="preserve"> PAGEREF _Toc374557794 \h </w:instrText>
            </w:r>
            <w:r>
              <w:rPr>
                <w:webHidden/>
              </w:rPr>
            </w:r>
            <w:r>
              <w:rPr>
                <w:webHidden/>
              </w:rPr>
              <w:fldChar w:fldCharType="separate"/>
            </w:r>
            <w:r w:rsidR="005A5B07">
              <w:rPr>
                <w:webHidden/>
              </w:rPr>
              <w:t>52</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795" w:history="1">
            <w:r w:rsidR="00AE362F" w:rsidRPr="00940F3C">
              <w:rPr>
                <w:rStyle w:val="a4"/>
              </w:rPr>
              <w:t>5.3. О прогнозы установленной мощности ЕЭС России в период 2013-2019 гг.</w:t>
            </w:r>
            <w:r w:rsidR="00AE362F">
              <w:rPr>
                <w:webHidden/>
              </w:rPr>
              <w:tab/>
            </w:r>
            <w:r>
              <w:rPr>
                <w:webHidden/>
              </w:rPr>
              <w:fldChar w:fldCharType="begin"/>
            </w:r>
            <w:r w:rsidR="00AE362F">
              <w:rPr>
                <w:webHidden/>
              </w:rPr>
              <w:instrText xml:space="preserve"> PAGEREF _Toc374557795 \h </w:instrText>
            </w:r>
            <w:r>
              <w:rPr>
                <w:webHidden/>
              </w:rPr>
            </w:r>
            <w:r>
              <w:rPr>
                <w:webHidden/>
              </w:rPr>
              <w:fldChar w:fldCharType="separate"/>
            </w:r>
            <w:r w:rsidR="005A5B07">
              <w:rPr>
                <w:webHidden/>
              </w:rPr>
              <w:t>58</w:t>
            </w:r>
            <w:r>
              <w:rPr>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96" w:history="1">
            <w:r w:rsidR="00AE362F" w:rsidRPr="00940F3C">
              <w:rPr>
                <w:rStyle w:val="a4"/>
                <w:noProof/>
              </w:rPr>
              <w:t>По Разделу 6. Прогноз балансов мощности и электрической энергии ЕЭС России на 2013-2019 гг.</w:t>
            </w:r>
            <w:r w:rsidR="00AE362F">
              <w:rPr>
                <w:noProof/>
                <w:webHidden/>
              </w:rPr>
              <w:tab/>
            </w:r>
            <w:r>
              <w:rPr>
                <w:noProof/>
                <w:webHidden/>
              </w:rPr>
              <w:fldChar w:fldCharType="begin"/>
            </w:r>
            <w:r w:rsidR="00AE362F">
              <w:rPr>
                <w:noProof/>
                <w:webHidden/>
              </w:rPr>
              <w:instrText xml:space="preserve"> PAGEREF _Toc374557796 \h </w:instrText>
            </w:r>
            <w:r>
              <w:rPr>
                <w:noProof/>
                <w:webHidden/>
              </w:rPr>
            </w:r>
            <w:r>
              <w:rPr>
                <w:noProof/>
                <w:webHidden/>
              </w:rPr>
              <w:fldChar w:fldCharType="separate"/>
            </w:r>
            <w:r w:rsidR="005A5B07">
              <w:rPr>
                <w:noProof/>
                <w:webHidden/>
              </w:rPr>
              <w:t>63</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97" w:history="1">
            <w:r w:rsidR="00AE362F" w:rsidRPr="00940F3C">
              <w:rPr>
                <w:rStyle w:val="a4"/>
                <w:noProof/>
              </w:rPr>
              <w:t>По Разделу 7. Прогноз спроса на топливо организации электроэнергетики ЕЭС России (без учета децентрализованных источников) на период 2013-2019 гг.</w:t>
            </w:r>
            <w:r w:rsidR="00AE362F">
              <w:rPr>
                <w:noProof/>
                <w:webHidden/>
              </w:rPr>
              <w:tab/>
            </w:r>
            <w:r>
              <w:rPr>
                <w:noProof/>
                <w:webHidden/>
              </w:rPr>
              <w:fldChar w:fldCharType="begin"/>
            </w:r>
            <w:r w:rsidR="00AE362F">
              <w:rPr>
                <w:noProof/>
                <w:webHidden/>
              </w:rPr>
              <w:instrText xml:space="preserve"> PAGEREF _Toc374557797 \h </w:instrText>
            </w:r>
            <w:r>
              <w:rPr>
                <w:noProof/>
                <w:webHidden/>
              </w:rPr>
            </w:r>
            <w:r>
              <w:rPr>
                <w:noProof/>
                <w:webHidden/>
              </w:rPr>
              <w:fldChar w:fldCharType="separate"/>
            </w:r>
            <w:r w:rsidR="005A5B07">
              <w:rPr>
                <w:noProof/>
                <w:webHidden/>
              </w:rPr>
              <w:t>65</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98" w:history="1">
            <w:r w:rsidR="00AE362F" w:rsidRPr="00940F3C">
              <w:rPr>
                <w:rStyle w:val="a4"/>
                <w:noProof/>
              </w:rPr>
              <w:t>По Разделу 8. Развитие магистральных и распределительных сетей с учетом требований по обеспечению регулирования (компенсации) реактивной электрической мощности за 2013-2019 гг.</w:t>
            </w:r>
            <w:r w:rsidR="00AE362F">
              <w:rPr>
                <w:noProof/>
                <w:webHidden/>
              </w:rPr>
              <w:tab/>
            </w:r>
            <w:r>
              <w:rPr>
                <w:noProof/>
                <w:webHidden/>
              </w:rPr>
              <w:fldChar w:fldCharType="begin"/>
            </w:r>
            <w:r w:rsidR="00AE362F">
              <w:rPr>
                <w:noProof/>
                <w:webHidden/>
              </w:rPr>
              <w:instrText xml:space="preserve"> PAGEREF _Toc374557798 \h </w:instrText>
            </w:r>
            <w:r>
              <w:rPr>
                <w:noProof/>
                <w:webHidden/>
              </w:rPr>
            </w:r>
            <w:r>
              <w:rPr>
                <w:noProof/>
                <w:webHidden/>
              </w:rPr>
              <w:fldChar w:fldCharType="separate"/>
            </w:r>
            <w:r w:rsidR="005A5B07">
              <w:rPr>
                <w:noProof/>
                <w:webHidden/>
              </w:rPr>
              <w:t>66</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799" w:history="1">
            <w:r w:rsidR="00AE362F" w:rsidRPr="00940F3C">
              <w:rPr>
                <w:rStyle w:val="a4"/>
                <w:noProof/>
              </w:rPr>
              <w:t>По Разделу 9. Предложения по развитию электрических сетей напряжением 220-750 кВ по энергосистеме Московской области и г. Москвы на период 2012-2018 гг. (то же на период 2013-2019 гг.).</w:t>
            </w:r>
            <w:r w:rsidR="00AE362F">
              <w:rPr>
                <w:noProof/>
                <w:webHidden/>
              </w:rPr>
              <w:tab/>
            </w:r>
            <w:r>
              <w:rPr>
                <w:noProof/>
                <w:webHidden/>
              </w:rPr>
              <w:fldChar w:fldCharType="begin"/>
            </w:r>
            <w:r w:rsidR="00AE362F">
              <w:rPr>
                <w:noProof/>
                <w:webHidden/>
              </w:rPr>
              <w:instrText xml:space="preserve"> PAGEREF _Toc374557799 \h </w:instrText>
            </w:r>
            <w:r>
              <w:rPr>
                <w:noProof/>
                <w:webHidden/>
              </w:rPr>
            </w:r>
            <w:r>
              <w:rPr>
                <w:noProof/>
                <w:webHidden/>
              </w:rPr>
              <w:fldChar w:fldCharType="separate"/>
            </w:r>
            <w:r w:rsidR="005A5B07">
              <w:rPr>
                <w:noProof/>
                <w:webHidden/>
              </w:rPr>
              <w:t>71</w:t>
            </w:r>
            <w:r>
              <w:rPr>
                <w:noProof/>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00" w:history="1">
            <w:r w:rsidR="00AE362F" w:rsidRPr="00940F3C">
              <w:rPr>
                <w:rStyle w:val="a4"/>
              </w:rPr>
              <w:t>9.1. Связь между электропотреблением и ВРП в Москве, Московской области и суммарно в Московском регионе.</w:t>
            </w:r>
            <w:r w:rsidR="00AE362F">
              <w:rPr>
                <w:webHidden/>
              </w:rPr>
              <w:tab/>
            </w:r>
            <w:r>
              <w:rPr>
                <w:webHidden/>
              </w:rPr>
              <w:fldChar w:fldCharType="begin"/>
            </w:r>
            <w:r w:rsidR="00AE362F">
              <w:rPr>
                <w:webHidden/>
              </w:rPr>
              <w:instrText xml:space="preserve"> PAGEREF _Toc374557800 \h </w:instrText>
            </w:r>
            <w:r>
              <w:rPr>
                <w:webHidden/>
              </w:rPr>
            </w:r>
            <w:r>
              <w:rPr>
                <w:webHidden/>
              </w:rPr>
              <w:fldChar w:fldCharType="separate"/>
            </w:r>
            <w:r w:rsidR="005A5B07">
              <w:rPr>
                <w:webHidden/>
              </w:rPr>
              <w:t>73</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01" w:history="1">
            <w:r w:rsidR="00AE362F" w:rsidRPr="00940F3C">
              <w:rPr>
                <w:rStyle w:val="a4"/>
              </w:rPr>
              <w:t>9.3. О прогнозе ИОК и ВРП г. Москве, Московской обл. и Московском регионе до 2020 г.</w:t>
            </w:r>
            <w:r w:rsidR="00AE362F">
              <w:rPr>
                <w:webHidden/>
              </w:rPr>
              <w:tab/>
            </w:r>
            <w:r>
              <w:rPr>
                <w:webHidden/>
              </w:rPr>
              <w:fldChar w:fldCharType="begin"/>
            </w:r>
            <w:r w:rsidR="00AE362F">
              <w:rPr>
                <w:webHidden/>
              </w:rPr>
              <w:instrText xml:space="preserve"> PAGEREF _Toc374557801 \h </w:instrText>
            </w:r>
            <w:r>
              <w:rPr>
                <w:webHidden/>
              </w:rPr>
            </w:r>
            <w:r>
              <w:rPr>
                <w:webHidden/>
              </w:rPr>
              <w:fldChar w:fldCharType="separate"/>
            </w:r>
            <w:r w:rsidR="005A5B07">
              <w:rPr>
                <w:webHidden/>
              </w:rPr>
              <w:t>102</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02" w:history="1">
            <w:r w:rsidR="00AE362F" w:rsidRPr="00940F3C">
              <w:rPr>
                <w:rStyle w:val="a4"/>
              </w:rPr>
              <w:t>9.4. Прогноз максимума электрической нагрузки в Московском регионе</w:t>
            </w:r>
            <w:r w:rsidR="00AE362F">
              <w:rPr>
                <w:webHidden/>
              </w:rPr>
              <w:tab/>
            </w:r>
            <w:r>
              <w:rPr>
                <w:webHidden/>
              </w:rPr>
              <w:fldChar w:fldCharType="begin"/>
            </w:r>
            <w:r w:rsidR="00AE362F">
              <w:rPr>
                <w:webHidden/>
              </w:rPr>
              <w:instrText xml:space="preserve"> PAGEREF _Toc374557802 \h </w:instrText>
            </w:r>
            <w:r>
              <w:rPr>
                <w:webHidden/>
              </w:rPr>
            </w:r>
            <w:r>
              <w:rPr>
                <w:webHidden/>
              </w:rPr>
              <w:fldChar w:fldCharType="separate"/>
            </w:r>
            <w:r w:rsidR="005A5B07">
              <w:rPr>
                <w:webHidden/>
              </w:rPr>
              <w:t>107</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03" w:history="1">
            <w:r w:rsidR="00AE362F" w:rsidRPr="00940F3C">
              <w:rPr>
                <w:rStyle w:val="a4"/>
              </w:rPr>
              <w:t>9.5. Электроснабжение новых потребителей в зоне расширения г. Москвы.</w:t>
            </w:r>
            <w:r w:rsidR="00AE362F">
              <w:rPr>
                <w:webHidden/>
              </w:rPr>
              <w:tab/>
            </w:r>
            <w:r>
              <w:rPr>
                <w:webHidden/>
              </w:rPr>
              <w:fldChar w:fldCharType="begin"/>
            </w:r>
            <w:r w:rsidR="00AE362F">
              <w:rPr>
                <w:webHidden/>
              </w:rPr>
              <w:instrText xml:space="preserve"> PAGEREF _Toc374557803 \h </w:instrText>
            </w:r>
            <w:r>
              <w:rPr>
                <w:webHidden/>
              </w:rPr>
            </w:r>
            <w:r>
              <w:rPr>
                <w:webHidden/>
              </w:rPr>
              <w:fldChar w:fldCharType="separate"/>
            </w:r>
            <w:r w:rsidR="005A5B07">
              <w:rPr>
                <w:webHidden/>
              </w:rPr>
              <w:t>112</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04" w:history="1">
            <w:r w:rsidR="00AE362F" w:rsidRPr="00940F3C">
              <w:rPr>
                <w:rStyle w:val="a4"/>
              </w:rPr>
              <w:t>9.6. Анализ экспертной оценки перспективного спроса на электрическую энергию и уровня потребления мощности по г.Москве с учетом расширения границ города, рассмотренной в программе Минэнерго 2012г.</w:t>
            </w:r>
            <w:r w:rsidR="00AE362F">
              <w:rPr>
                <w:webHidden/>
              </w:rPr>
              <w:tab/>
            </w:r>
            <w:r>
              <w:rPr>
                <w:webHidden/>
              </w:rPr>
              <w:fldChar w:fldCharType="begin"/>
            </w:r>
            <w:r w:rsidR="00AE362F">
              <w:rPr>
                <w:webHidden/>
              </w:rPr>
              <w:instrText xml:space="preserve"> PAGEREF _Toc374557804 \h </w:instrText>
            </w:r>
            <w:r>
              <w:rPr>
                <w:webHidden/>
              </w:rPr>
            </w:r>
            <w:r>
              <w:rPr>
                <w:webHidden/>
              </w:rPr>
              <w:fldChar w:fldCharType="separate"/>
            </w:r>
            <w:r w:rsidR="005A5B07">
              <w:rPr>
                <w:webHidden/>
              </w:rPr>
              <w:t>115</w:t>
            </w:r>
            <w:r>
              <w:rPr>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805" w:history="1">
            <w:r w:rsidR="00AE362F" w:rsidRPr="00940F3C">
              <w:rPr>
                <w:rStyle w:val="a4"/>
                <w:noProof/>
              </w:rPr>
              <w:t>По Разделу 10. Оценка необходимых объемов капитальных вложений в сооружение электростанций и электросетевых объектов напряжением 220 кВ и выше на 2013-2019 гг.</w:t>
            </w:r>
            <w:r w:rsidR="00AE362F">
              <w:rPr>
                <w:noProof/>
                <w:webHidden/>
              </w:rPr>
              <w:tab/>
            </w:r>
            <w:r>
              <w:rPr>
                <w:noProof/>
                <w:webHidden/>
              </w:rPr>
              <w:fldChar w:fldCharType="begin"/>
            </w:r>
            <w:r w:rsidR="00AE362F">
              <w:rPr>
                <w:noProof/>
                <w:webHidden/>
              </w:rPr>
              <w:instrText xml:space="preserve"> PAGEREF _Toc374557805 \h </w:instrText>
            </w:r>
            <w:r>
              <w:rPr>
                <w:noProof/>
                <w:webHidden/>
              </w:rPr>
            </w:r>
            <w:r>
              <w:rPr>
                <w:noProof/>
                <w:webHidden/>
              </w:rPr>
              <w:fldChar w:fldCharType="separate"/>
            </w:r>
            <w:r w:rsidR="005A5B07">
              <w:rPr>
                <w:noProof/>
                <w:webHidden/>
              </w:rPr>
              <w:t>121</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806" w:history="1">
            <w:r w:rsidR="00AE362F" w:rsidRPr="00940F3C">
              <w:rPr>
                <w:rStyle w:val="a4"/>
                <w:noProof/>
              </w:rPr>
              <w:t>Раздел 11. Общий вывод.</w:t>
            </w:r>
            <w:r w:rsidR="00AE362F">
              <w:rPr>
                <w:noProof/>
                <w:webHidden/>
              </w:rPr>
              <w:tab/>
            </w:r>
            <w:r>
              <w:rPr>
                <w:noProof/>
                <w:webHidden/>
              </w:rPr>
              <w:fldChar w:fldCharType="begin"/>
            </w:r>
            <w:r w:rsidR="00AE362F">
              <w:rPr>
                <w:noProof/>
                <w:webHidden/>
              </w:rPr>
              <w:instrText xml:space="preserve"> PAGEREF _Toc374557806 \h </w:instrText>
            </w:r>
            <w:r>
              <w:rPr>
                <w:noProof/>
                <w:webHidden/>
              </w:rPr>
            </w:r>
            <w:r>
              <w:rPr>
                <w:noProof/>
                <w:webHidden/>
              </w:rPr>
              <w:fldChar w:fldCharType="separate"/>
            </w:r>
            <w:r w:rsidR="005A5B07">
              <w:rPr>
                <w:noProof/>
                <w:webHidden/>
              </w:rPr>
              <w:t>126</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807" w:history="1">
            <w:r w:rsidR="00AE362F" w:rsidRPr="00940F3C">
              <w:rPr>
                <w:rStyle w:val="a4"/>
                <w:noProof/>
              </w:rPr>
              <w:t>Список литературы</w:t>
            </w:r>
            <w:r w:rsidR="00AE362F">
              <w:rPr>
                <w:noProof/>
                <w:webHidden/>
              </w:rPr>
              <w:tab/>
            </w:r>
            <w:r>
              <w:rPr>
                <w:noProof/>
                <w:webHidden/>
              </w:rPr>
              <w:fldChar w:fldCharType="begin"/>
            </w:r>
            <w:r w:rsidR="00AE362F">
              <w:rPr>
                <w:noProof/>
                <w:webHidden/>
              </w:rPr>
              <w:instrText xml:space="preserve"> PAGEREF _Toc374557807 \h </w:instrText>
            </w:r>
            <w:r>
              <w:rPr>
                <w:noProof/>
                <w:webHidden/>
              </w:rPr>
            </w:r>
            <w:r>
              <w:rPr>
                <w:noProof/>
                <w:webHidden/>
              </w:rPr>
              <w:fldChar w:fldCharType="separate"/>
            </w:r>
            <w:r w:rsidR="005A5B07">
              <w:rPr>
                <w:noProof/>
                <w:webHidden/>
              </w:rPr>
              <w:t>127</w:t>
            </w:r>
            <w:r>
              <w:rPr>
                <w:noProof/>
                <w:webHidden/>
              </w:rPr>
              <w:fldChar w:fldCharType="end"/>
            </w:r>
          </w:hyperlink>
        </w:p>
        <w:p w:rsidR="00AE362F" w:rsidRDefault="003B0104">
          <w:pPr>
            <w:pStyle w:val="10"/>
            <w:rPr>
              <w:rFonts w:asciiTheme="minorHAnsi" w:eastAsiaTheme="minorEastAsia" w:hAnsiTheme="minorHAnsi" w:cstheme="minorBidi"/>
              <w:b w:val="0"/>
              <w:bCs w:val="0"/>
              <w:caps w:val="0"/>
              <w:noProof/>
              <w:sz w:val="22"/>
              <w:szCs w:val="22"/>
            </w:rPr>
          </w:pPr>
          <w:hyperlink w:anchor="_Toc374557808" w:history="1">
            <w:r w:rsidR="00AE362F" w:rsidRPr="00940F3C">
              <w:rPr>
                <w:rStyle w:val="a4"/>
                <w:noProof/>
              </w:rPr>
              <w:t>Приложение 1. Дополнительные разделы к схеме и программе</w:t>
            </w:r>
            <w:r w:rsidR="00AE362F">
              <w:rPr>
                <w:noProof/>
                <w:webHidden/>
              </w:rPr>
              <w:tab/>
            </w:r>
            <w:r>
              <w:rPr>
                <w:noProof/>
                <w:webHidden/>
              </w:rPr>
              <w:fldChar w:fldCharType="begin"/>
            </w:r>
            <w:r w:rsidR="00AE362F">
              <w:rPr>
                <w:noProof/>
                <w:webHidden/>
              </w:rPr>
              <w:instrText xml:space="preserve"> PAGEREF _Toc374557808 \h </w:instrText>
            </w:r>
            <w:r>
              <w:rPr>
                <w:noProof/>
                <w:webHidden/>
              </w:rPr>
            </w:r>
            <w:r>
              <w:rPr>
                <w:noProof/>
                <w:webHidden/>
              </w:rPr>
              <w:fldChar w:fldCharType="separate"/>
            </w:r>
            <w:r w:rsidR="005A5B07">
              <w:rPr>
                <w:noProof/>
                <w:webHidden/>
              </w:rPr>
              <w:t>128</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809" w:history="1">
            <w:r w:rsidR="00AE362F" w:rsidRPr="00940F3C">
              <w:rPr>
                <w:rStyle w:val="a4"/>
                <w:noProof/>
              </w:rPr>
              <w:t>Раздел П1. Об энергоэффективности экономики России.</w:t>
            </w:r>
            <w:r w:rsidR="00AE362F">
              <w:rPr>
                <w:noProof/>
                <w:webHidden/>
              </w:rPr>
              <w:tab/>
            </w:r>
            <w:r>
              <w:rPr>
                <w:noProof/>
                <w:webHidden/>
              </w:rPr>
              <w:fldChar w:fldCharType="begin"/>
            </w:r>
            <w:r w:rsidR="00AE362F">
              <w:rPr>
                <w:noProof/>
                <w:webHidden/>
              </w:rPr>
              <w:instrText xml:space="preserve"> PAGEREF _Toc374557809 \h </w:instrText>
            </w:r>
            <w:r>
              <w:rPr>
                <w:noProof/>
                <w:webHidden/>
              </w:rPr>
            </w:r>
            <w:r>
              <w:rPr>
                <w:noProof/>
                <w:webHidden/>
              </w:rPr>
              <w:fldChar w:fldCharType="separate"/>
            </w:r>
            <w:r w:rsidR="005A5B07">
              <w:rPr>
                <w:noProof/>
                <w:webHidden/>
              </w:rPr>
              <w:t>128</w:t>
            </w:r>
            <w:r>
              <w:rPr>
                <w:noProof/>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810" w:history="1">
            <w:r w:rsidR="00AE362F" w:rsidRPr="00940F3C">
              <w:rPr>
                <w:rStyle w:val="a4"/>
                <w:noProof/>
              </w:rPr>
              <w:t>Раздел П2. Сравнение стоимости электроэнергии в России и других странах</w:t>
            </w:r>
            <w:r w:rsidR="00AE362F">
              <w:rPr>
                <w:noProof/>
                <w:webHidden/>
              </w:rPr>
              <w:tab/>
            </w:r>
            <w:r>
              <w:rPr>
                <w:noProof/>
                <w:webHidden/>
              </w:rPr>
              <w:fldChar w:fldCharType="begin"/>
            </w:r>
            <w:r w:rsidR="00AE362F">
              <w:rPr>
                <w:noProof/>
                <w:webHidden/>
              </w:rPr>
              <w:instrText xml:space="preserve"> PAGEREF _Toc374557810 \h </w:instrText>
            </w:r>
            <w:r>
              <w:rPr>
                <w:noProof/>
                <w:webHidden/>
              </w:rPr>
            </w:r>
            <w:r>
              <w:rPr>
                <w:noProof/>
                <w:webHidden/>
              </w:rPr>
              <w:fldChar w:fldCharType="separate"/>
            </w:r>
            <w:r w:rsidR="005A5B07">
              <w:rPr>
                <w:noProof/>
                <w:webHidden/>
              </w:rPr>
              <w:t>130</w:t>
            </w:r>
            <w:r>
              <w:rPr>
                <w:noProof/>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11" w:history="1">
            <w:r w:rsidR="00AE362F" w:rsidRPr="00940F3C">
              <w:rPr>
                <w:rStyle w:val="a4"/>
              </w:rPr>
              <w:t>П2.1. Сравнение затрат на электроэнергию для конечных потребителей в различных странах.</w:t>
            </w:r>
            <w:r w:rsidR="00AE362F">
              <w:rPr>
                <w:webHidden/>
              </w:rPr>
              <w:tab/>
            </w:r>
            <w:r>
              <w:rPr>
                <w:webHidden/>
              </w:rPr>
              <w:fldChar w:fldCharType="begin"/>
            </w:r>
            <w:r w:rsidR="00AE362F">
              <w:rPr>
                <w:webHidden/>
              </w:rPr>
              <w:instrText xml:space="preserve"> PAGEREF _Toc374557811 \h </w:instrText>
            </w:r>
            <w:r>
              <w:rPr>
                <w:webHidden/>
              </w:rPr>
            </w:r>
            <w:r>
              <w:rPr>
                <w:webHidden/>
              </w:rPr>
              <w:fldChar w:fldCharType="separate"/>
            </w:r>
            <w:r w:rsidR="005A5B07">
              <w:rPr>
                <w:webHidden/>
              </w:rPr>
              <w:t>130</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12" w:history="1">
            <w:r w:rsidR="00AE362F" w:rsidRPr="00940F3C">
              <w:rPr>
                <w:rStyle w:val="a4"/>
              </w:rPr>
              <w:t xml:space="preserve">П2.2. Затраты на электроэнергию, (включая все налоги), для промышленных потребителей в России, странах ЕС-27, </w:t>
            </w:r>
            <w:r w:rsidR="00AE362F" w:rsidRPr="00940F3C">
              <w:rPr>
                <w:rStyle w:val="a4"/>
                <w:lang w:val="en-US"/>
              </w:rPr>
              <w:t>OECD</w:t>
            </w:r>
            <w:r w:rsidR="00AE362F">
              <w:rPr>
                <w:webHidden/>
              </w:rPr>
              <w:tab/>
            </w:r>
            <w:r>
              <w:rPr>
                <w:webHidden/>
              </w:rPr>
              <w:fldChar w:fldCharType="begin"/>
            </w:r>
            <w:r w:rsidR="00AE362F">
              <w:rPr>
                <w:webHidden/>
              </w:rPr>
              <w:instrText xml:space="preserve"> PAGEREF _Toc374557812 \h </w:instrText>
            </w:r>
            <w:r>
              <w:rPr>
                <w:webHidden/>
              </w:rPr>
            </w:r>
            <w:r>
              <w:rPr>
                <w:webHidden/>
              </w:rPr>
              <w:fldChar w:fldCharType="separate"/>
            </w:r>
            <w:r w:rsidR="005A5B07">
              <w:rPr>
                <w:webHidden/>
              </w:rPr>
              <w:t>131</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13" w:history="1">
            <w:r w:rsidR="00AE362F" w:rsidRPr="00940F3C">
              <w:rPr>
                <w:rStyle w:val="a4"/>
              </w:rPr>
              <w:t xml:space="preserve">П2.3. Затраты населения на электроэнергию (с учетом всех налогов) в России, странах ЕС-27, </w:t>
            </w:r>
            <w:r w:rsidR="00AE362F" w:rsidRPr="00940F3C">
              <w:rPr>
                <w:rStyle w:val="a4"/>
                <w:lang w:val="en-US"/>
              </w:rPr>
              <w:t>OECD</w:t>
            </w:r>
            <w:r w:rsidR="00AE362F" w:rsidRPr="00940F3C">
              <w:rPr>
                <w:rStyle w:val="a4"/>
              </w:rPr>
              <w:t>.</w:t>
            </w:r>
            <w:r w:rsidR="00AE362F">
              <w:rPr>
                <w:webHidden/>
              </w:rPr>
              <w:tab/>
            </w:r>
            <w:r>
              <w:rPr>
                <w:webHidden/>
              </w:rPr>
              <w:fldChar w:fldCharType="begin"/>
            </w:r>
            <w:r w:rsidR="00AE362F">
              <w:rPr>
                <w:webHidden/>
              </w:rPr>
              <w:instrText xml:space="preserve"> PAGEREF _Toc374557813 \h </w:instrText>
            </w:r>
            <w:r>
              <w:rPr>
                <w:webHidden/>
              </w:rPr>
            </w:r>
            <w:r>
              <w:rPr>
                <w:webHidden/>
              </w:rPr>
              <w:fldChar w:fldCharType="separate"/>
            </w:r>
            <w:r w:rsidR="005A5B07">
              <w:rPr>
                <w:webHidden/>
              </w:rPr>
              <w:t>132</w:t>
            </w:r>
            <w:r>
              <w:rPr>
                <w:webHidden/>
              </w:rPr>
              <w:fldChar w:fldCharType="end"/>
            </w:r>
          </w:hyperlink>
        </w:p>
        <w:p w:rsidR="00AE362F" w:rsidRDefault="003B0104">
          <w:pPr>
            <w:pStyle w:val="32"/>
            <w:rPr>
              <w:rFonts w:asciiTheme="minorHAnsi" w:eastAsiaTheme="minorEastAsia" w:hAnsiTheme="minorHAnsi" w:cstheme="minorBidi"/>
              <w:iCs w:val="0"/>
              <w:sz w:val="22"/>
              <w:szCs w:val="22"/>
            </w:rPr>
          </w:pPr>
          <w:hyperlink w:anchor="_Toc374557814" w:history="1">
            <w:r w:rsidR="00AE362F" w:rsidRPr="00940F3C">
              <w:rPr>
                <w:rStyle w:val="a4"/>
              </w:rPr>
              <w:t>П2.4. Сравнение цены электроэнергии в России с другими странами, пересчитанные по паритету покупательной способности, рассчитанному по всему ВВП</w:t>
            </w:r>
            <w:r w:rsidR="00AE362F">
              <w:rPr>
                <w:webHidden/>
              </w:rPr>
              <w:tab/>
            </w:r>
            <w:r>
              <w:rPr>
                <w:webHidden/>
              </w:rPr>
              <w:fldChar w:fldCharType="begin"/>
            </w:r>
            <w:r w:rsidR="00AE362F">
              <w:rPr>
                <w:webHidden/>
              </w:rPr>
              <w:instrText xml:space="preserve"> PAGEREF _Toc374557814 \h </w:instrText>
            </w:r>
            <w:r>
              <w:rPr>
                <w:webHidden/>
              </w:rPr>
            </w:r>
            <w:r>
              <w:rPr>
                <w:webHidden/>
              </w:rPr>
              <w:fldChar w:fldCharType="separate"/>
            </w:r>
            <w:r w:rsidR="005A5B07">
              <w:rPr>
                <w:webHidden/>
              </w:rPr>
              <w:t>136</w:t>
            </w:r>
            <w:r>
              <w:rPr>
                <w:webHidden/>
              </w:rPr>
              <w:fldChar w:fldCharType="end"/>
            </w:r>
          </w:hyperlink>
        </w:p>
        <w:p w:rsidR="00AE362F" w:rsidRDefault="003B0104">
          <w:pPr>
            <w:pStyle w:val="22"/>
            <w:tabs>
              <w:tab w:val="right" w:leader="dot" w:pos="9605"/>
            </w:tabs>
            <w:rPr>
              <w:rFonts w:asciiTheme="minorHAnsi" w:eastAsiaTheme="minorEastAsia" w:hAnsiTheme="minorHAnsi" w:cstheme="minorBidi"/>
              <w:smallCaps w:val="0"/>
              <w:noProof/>
              <w:sz w:val="22"/>
              <w:szCs w:val="22"/>
            </w:rPr>
          </w:pPr>
          <w:hyperlink w:anchor="_Toc374557815" w:history="1">
            <w:r w:rsidR="00AE362F" w:rsidRPr="00940F3C">
              <w:rPr>
                <w:rStyle w:val="a4"/>
                <w:noProof/>
              </w:rPr>
              <w:t>Раздел П4. «Предложения по дальнейшему развитию реформы в электроэнергетике» (написано проф. Кутовым Г.П.).</w:t>
            </w:r>
            <w:r w:rsidR="00AE362F">
              <w:rPr>
                <w:noProof/>
                <w:webHidden/>
              </w:rPr>
              <w:tab/>
            </w:r>
            <w:r>
              <w:rPr>
                <w:noProof/>
                <w:webHidden/>
              </w:rPr>
              <w:fldChar w:fldCharType="begin"/>
            </w:r>
            <w:r w:rsidR="00AE362F">
              <w:rPr>
                <w:noProof/>
                <w:webHidden/>
              </w:rPr>
              <w:instrText xml:space="preserve"> PAGEREF _Toc374557815 \h </w:instrText>
            </w:r>
            <w:r>
              <w:rPr>
                <w:noProof/>
                <w:webHidden/>
              </w:rPr>
            </w:r>
            <w:r>
              <w:rPr>
                <w:noProof/>
                <w:webHidden/>
              </w:rPr>
              <w:fldChar w:fldCharType="separate"/>
            </w:r>
            <w:r w:rsidR="005A5B07">
              <w:rPr>
                <w:noProof/>
                <w:webHidden/>
              </w:rPr>
              <w:t>151</w:t>
            </w:r>
            <w:r>
              <w:rPr>
                <w:noProof/>
                <w:webHidden/>
              </w:rPr>
              <w:fldChar w:fldCharType="end"/>
            </w:r>
          </w:hyperlink>
        </w:p>
        <w:p w:rsidR="00A13BBA" w:rsidRDefault="003B0104">
          <w:r>
            <w:fldChar w:fldCharType="end"/>
          </w:r>
        </w:p>
      </w:sdtContent>
    </w:sdt>
    <w:p w:rsidR="00A13BBA" w:rsidRDefault="00A13BBA" w:rsidP="008B1D2F">
      <w:pPr>
        <w:pStyle w:val="1"/>
      </w:pPr>
      <w:bookmarkStart w:id="0" w:name="_Toc370759758"/>
    </w:p>
    <w:p w:rsidR="00A13BBA" w:rsidRDefault="00A13BBA" w:rsidP="008B1D2F">
      <w:pPr>
        <w:pStyle w:val="1"/>
      </w:pPr>
    </w:p>
    <w:p w:rsidR="00A13BBA" w:rsidRDefault="00A13BBA" w:rsidP="008B1D2F">
      <w:pPr>
        <w:pStyle w:val="1"/>
      </w:pPr>
    </w:p>
    <w:p w:rsidR="00A13BBA" w:rsidRDefault="00A13BBA" w:rsidP="008B1D2F">
      <w:pPr>
        <w:pStyle w:val="1"/>
      </w:pPr>
    </w:p>
    <w:p w:rsidR="00A13BBA" w:rsidRDefault="00A13BBA" w:rsidP="008B1D2F">
      <w:pPr>
        <w:pStyle w:val="1"/>
      </w:pPr>
    </w:p>
    <w:p w:rsidR="00A13BBA" w:rsidRDefault="00A13BBA" w:rsidP="008B1D2F">
      <w:pPr>
        <w:pStyle w:val="1"/>
      </w:pPr>
    </w:p>
    <w:p w:rsidR="00A13BBA" w:rsidRDefault="00A13BBA" w:rsidP="008B1D2F">
      <w:pPr>
        <w:pStyle w:val="1"/>
      </w:pPr>
    </w:p>
    <w:p w:rsidR="00AE362F" w:rsidRDefault="00AE362F" w:rsidP="00AE362F">
      <w:pPr>
        <w:pStyle w:val="1"/>
        <w:ind w:firstLine="0"/>
        <w:jc w:val="left"/>
      </w:pPr>
      <w:bookmarkStart w:id="1" w:name="_Toc374557767"/>
    </w:p>
    <w:p w:rsidR="00AE362F" w:rsidRDefault="00AE362F" w:rsidP="00AE362F">
      <w:pPr>
        <w:pStyle w:val="1"/>
        <w:ind w:firstLine="0"/>
        <w:jc w:val="left"/>
      </w:pPr>
    </w:p>
    <w:p w:rsidR="00AE362F" w:rsidRDefault="00AE362F" w:rsidP="00AE362F">
      <w:pPr>
        <w:pStyle w:val="1"/>
        <w:ind w:firstLine="0"/>
        <w:jc w:val="left"/>
      </w:pPr>
    </w:p>
    <w:p w:rsidR="00AE362F" w:rsidRDefault="00AE362F" w:rsidP="00AE362F">
      <w:pPr>
        <w:pStyle w:val="1"/>
        <w:ind w:firstLine="0"/>
        <w:jc w:val="left"/>
      </w:pPr>
    </w:p>
    <w:p w:rsidR="00AE362F" w:rsidRDefault="00AE362F" w:rsidP="00AE362F">
      <w:pPr>
        <w:pStyle w:val="1"/>
        <w:ind w:firstLine="0"/>
        <w:jc w:val="left"/>
      </w:pPr>
    </w:p>
    <w:p w:rsidR="00AE362F" w:rsidRDefault="00AE362F" w:rsidP="00AE362F">
      <w:pPr>
        <w:pStyle w:val="1"/>
        <w:ind w:firstLine="0"/>
        <w:jc w:val="left"/>
      </w:pPr>
    </w:p>
    <w:bookmarkEnd w:id="0"/>
    <w:bookmarkEnd w:id="1"/>
    <w:p w:rsidR="009478DB" w:rsidRDefault="009478DB" w:rsidP="002B1535"/>
    <w:p w:rsidR="00AE362F" w:rsidRPr="00A81F9F" w:rsidRDefault="00AE362F" w:rsidP="002B1535"/>
    <w:p w:rsidR="00AE362F" w:rsidRPr="00CF2321" w:rsidRDefault="00AE362F" w:rsidP="00AE362F">
      <w:pPr>
        <w:pStyle w:val="1"/>
        <w:ind w:firstLine="0"/>
        <w:jc w:val="left"/>
      </w:pPr>
      <w:r w:rsidRPr="00CF2321">
        <w:t xml:space="preserve">ВВедение </w:t>
      </w:r>
    </w:p>
    <w:p w:rsidR="009E44B6" w:rsidRDefault="009E44B6" w:rsidP="002B1535">
      <w:pPr>
        <w:ind w:firstLine="709"/>
        <w:jc w:val="both"/>
      </w:pPr>
    </w:p>
    <w:p w:rsidR="009478DB" w:rsidRPr="00A81F9F" w:rsidRDefault="009478DB" w:rsidP="002B1535">
      <w:pPr>
        <w:ind w:firstLine="709"/>
        <w:jc w:val="both"/>
      </w:pPr>
      <w:r w:rsidRPr="00A81F9F">
        <w:t>Правительство РФ</w:t>
      </w:r>
      <w:r>
        <w:t xml:space="preserve"> Постановлением № 823 от 17.10.2009</w:t>
      </w:r>
      <w:r w:rsidRPr="00A81F9F">
        <w:t xml:space="preserve">г. утвердило Правила </w:t>
      </w:r>
      <w:r w:rsidRPr="00A81F9F">
        <w:rPr>
          <w:color w:val="000000"/>
        </w:rPr>
        <w:t>разработки и утверждения схем и программ перспективного развития электроэнергетики</w:t>
      </w:r>
      <w:r w:rsidRPr="00A81F9F">
        <w:t xml:space="preserve"> России. По этому Постановлению Минэнерго РФ было поручено разрабатывать схемы и программы развития Единой системы электроэнергетической системы (ЕЭС) России на горизонт времени - 7 лет. Первая версия была </w:t>
      </w:r>
      <w:r>
        <w:t>разработана</w:t>
      </w:r>
      <w:r w:rsidRPr="00A81F9F">
        <w:t xml:space="preserve"> в </w:t>
      </w:r>
      <w:smartTag w:uri="urn:schemas-microsoft-com:office:smarttags" w:element="metricconverter">
        <w:smartTagPr>
          <w:attr w:name="ProductID" w:val="2011 г"/>
        </w:smartTagPr>
        <w:r w:rsidRPr="00A81F9F">
          <w:t>2011 г</w:t>
        </w:r>
      </w:smartTag>
      <w:r w:rsidRPr="00A81F9F">
        <w:t xml:space="preserve">. на период 2011-2017 гг.,  вторая – на 2012-2018 гг., утверждена в августе </w:t>
      </w:r>
      <w:smartTag w:uri="urn:schemas-microsoft-com:office:smarttags" w:element="metricconverter">
        <w:smartTagPr>
          <w:attr w:name="ProductID" w:val="2012 г"/>
        </w:smartTagPr>
        <w:r w:rsidRPr="00A81F9F">
          <w:t>2012 г</w:t>
        </w:r>
      </w:smartTag>
      <w:r w:rsidRPr="00A81F9F">
        <w:t>.</w:t>
      </w:r>
      <w:r w:rsidR="004203DB">
        <w:t xml:space="preserve">, третья – на 2013-2019гг., утверждена в апреле 2013г. </w:t>
      </w:r>
      <w:r w:rsidRPr="00A81F9F">
        <w:t xml:space="preserve"> (ниже эти программы будут называться, соответственно, Программ</w:t>
      </w:r>
      <w:r w:rsidR="004203DB">
        <w:t>а</w:t>
      </w:r>
      <w:r w:rsidRPr="00A81F9F">
        <w:t xml:space="preserve"> Минэнерго </w:t>
      </w:r>
      <w:smartTag w:uri="urn:schemas-microsoft-com:office:smarttags" w:element="metricconverter">
        <w:smartTagPr>
          <w:attr w:name="ProductID" w:val="2011 г"/>
        </w:smartTagPr>
        <w:r w:rsidRPr="00A81F9F">
          <w:t>2011 г</w:t>
        </w:r>
      </w:smartTag>
      <w:r w:rsidR="004203DB">
        <w:t xml:space="preserve">., </w:t>
      </w:r>
      <w:r w:rsidRPr="00A81F9F">
        <w:t>2012 г.</w:t>
      </w:r>
      <w:r w:rsidR="004203DB">
        <w:t xml:space="preserve"> и 2013г.</w:t>
      </w:r>
      <w:r w:rsidRPr="00A81F9F">
        <w:t>)</w:t>
      </w:r>
      <w:r w:rsidR="004203DB">
        <w:t xml:space="preserve">. </w:t>
      </w:r>
    </w:p>
    <w:p w:rsidR="009478DB" w:rsidRPr="00A81F9F" w:rsidRDefault="009478DB" w:rsidP="00EC2A2C">
      <w:pPr>
        <w:ind w:firstLine="709"/>
        <w:jc w:val="both"/>
        <w:rPr>
          <w:color w:val="000000"/>
        </w:rPr>
      </w:pPr>
      <w:r w:rsidRPr="00A81F9F">
        <w:rPr>
          <w:color w:val="000000"/>
        </w:rPr>
        <w:t>Основная цель схемы и программы развития ЕЭС  - ежегодное  представление семилетнего плана развития генерирующих мощностей и сетевой инфраструктуры ЕЭС России на основании среднесрочного и долгосрочного прогнозов спроса на электроэнергию и мощность.</w:t>
      </w:r>
    </w:p>
    <w:p w:rsidR="009478DB" w:rsidRPr="00A81F9F" w:rsidRDefault="009478DB" w:rsidP="00EC2A2C">
      <w:pPr>
        <w:ind w:firstLine="709"/>
        <w:jc w:val="both"/>
        <w:rPr>
          <w:color w:val="000000"/>
        </w:rPr>
      </w:pPr>
      <w:r w:rsidRPr="00A81F9F">
        <w:rPr>
          <w:color w:val="000000"/>
        </w:rPr>
        <w:t xml:space="preserve">Основными задачами схемы и программы являются: </w:t>
      </w:r>
    </w:p>
    <w:p w:rsidR="009478DB" w:rsidRPr="00A81F9F" w:rsidRDefault="009478DB" w:rsidP="009728AD">
      <w:pPr>
        <w:numPr>
          <w:ilvl w:val="0"/>
          <w:numId w:val="27"/>
        </w:numPr>
        <w:tabs>
          <w:tab w:val="clear" w:pos="1429"/>
          <w:tab w:val="num" w:pos="-180"/>
        </w:tabs>
        <w:ind w:left="0" w:firstLine="720"/>
        <w:jc w:val="both"/>
        <w:rPr>
          <w:color w:val="000000"/>
        </w:rPr>
      </w:pPr>
      <w:r w:rsidRPr="00A81F9F">
        <w:rPr>
          <w:color w:val="000000"/>
        </w:rPr>
        <w:t xml:space="preserve">разработка мероприятий по обеспечению надежного функционирования ЕЭС России в средней и долгосрочной перспективе; </w:t>
      </w:r>
    </w:p>
    <w:p w:rsidR="009478DB" w:rsidRPr="00A81F9F" w:rsidRDefault="009478DB" w:rsidP="009728AD">
      <w:pPr>
        <w:numPr>
          <w:ilvl w:val="0"/>
          <w:numId w:val="27"/>
        </w:numPr>
        <w:tabs>
          <w:tab w:val="clear" w:pos="1429"/>
          <w:tab w:val="num" w:pos="-180"/>
        </w:tabs>
        <w:ind w:left="0" w:firstLine="720"/>
        <w:jc w:val="both"/>
        <w:rPr>
          <w:color w:val="000000"/>
        </w:rPr>
      </w:pPr>
      <w:r w:rsidRPr="00A81F9F">
        <w:rPr>
          <w:color w:val="000000"/>
        </w:rPr>
        <w:t xml:space="preserve">скоординированное планирование строительства, ввода и вывода из эксплуатации генерирующих мощностей и объектов сетевой инфраструктуры; </w:t>
      </w:r>
    </w:p>
    <w:p w:rsidR="009478DB" w:rsidRPr="00A81F9F" w:rsidRDefault="009478DB" w:rsidP="009728AD">
      <w:pPr>
        <w:numPr>
          <w:ilvl w:val="0"/>
          <w:numId w:val="27"/>
        </w:numPr>
        <w:tabs>
          <w:tab w:val="clear" w:pos="1429"/>
          <w:tab w:val="num" w:pos="-180"/>
        </w:tabs>
        <w:ind w:left="0" w:firstLine="720"/>
        <w:jc w:val="both"/>
        <w:rPr>
          <w:color w:val="000000"/>
        </w:rPr>
      </w:pPr>
      <w:r w:rsidRPr="00A81F9F">
        <w:rPr>
          <w:color w:val="000000"/>
        </w:rPr>
        <w:t>информационное обеспечение органов государственной власти для формирования политики в сфере электроэнергетики, а также организаций коммерческой и технологической инфраструктуры отрасли, субъектов электроэнергетики, потребителей электроэнергии и инвесторов.</w:t>
      </w:r>
    </w:p>
    <w:p w:rsidR="009478DB" w:rsidRDefault="009478DB" w:rsidP="002B1535">
      <w:pPr>
        <w:ind w:firstLine="720"/>
        <w:jc w:val="both"/>
        <w:rPr>
          <w:color w:val="000000"/>
        </w:rPr>
      </w:pPr>
    </w:p>
    <w:p w:rsidR="000A1160" w:rsidRDefault="000A1160" w:rsidP="000A1160">
      <w:pPr>
        <w:ind w:firstLine="720"/>
        <w:jc w:val="both"/>
        <w:rPr>
          <w:color w:val="000000"/>
        </w:rPr>
      </w:pPr>
      <w:r>
        <w:rPr>
          <w:color w:val="000000"/>
        </w:rPr>
        <w:t xml:space="preserve">В 2012г. </w:t>
      </w:r>
      <w:r w:rsidRPr="00A81F9F">
        <w:rPr>
          <w:color w:val="000000"/>
        </w:rPr>
        <w:t>Сообществом потребителей электроэнергии</w:t>
      </w:r>
      <w:r>
        <w:rPr>
          <w:color w:val="000000"/>
        </w:rPr>
        <w:t xml:space="preserve"> (СПЭ) выполнил</w:t>
      </w:r>
      <w:r w:rsidRPr="00A81F9F">
        <w:rPr>
          <w:color w:val="000000"/>
        </w:rPr>
        <w:t xml:space="preserve"> </w:t>
      </w:r>
      <w:r>
        <w:rPr>
          <w:color w:val="000000"/>
        </w:rPr>
        <w:t>экспертное заключение</w:t>
      </w:r>
      <w:r w:rsidRPr="00A81F9F">
        <w:rPr>
          <w:color w:val="000000"/>
        </w:rPr>
        <w:t xml:space="preserve"> к верси</w:t>
      </w:r>
      <w:r>
        <w:rPr>
          <w:color w:val="000000"/>
        </w:rPr>
        <w:t>ям Программы 2011-2017гг., 2012-2018</w:t>
      </w:r>
      <w:r w:rsidRPr="00A81F9F">
        <w:rPr>
          <w:color w:val="000000"/>
        </w:rPr>
        <w:t xml:space="preserve">гг. и </w:t>
      </w:r>
      <w:r>
        <w:rPr>
          <w:color w:val="000000"/>
        </w:rPr>
        <w:t>дал</w:t>
      </w:r>
      <w:r w:rsidRPr="00A81F9F">
        <w:rPr>
          <w:color w:val="000000"/>
        </w:rPr>
        <w:t xml:space="preserve"> подробное обоснование </w:t>
      </w:r>
      <w:r>
        <w:rPr>
          <w:color w:val="000000"/>
        </w:rPr>
        <w:t>своих</w:t>
      </w:r>
      <w:r w:rsidRPr="00A81F9F">
        <w:rPr>
          <w:color w:val="000000"/>
        </w:rPr>
        <w:t xml:space="preserve"> замечаний.</w:t>
      </w:r>
      <w:r>
        <w:rPr>
          <w:color w:val="000000"/>
        </w:rPr>
        <w:t xml:space="preserve"> Настоящее экспертное заключение повторяет основные положения предыдущего экспертного заключения,  но скорректировано для версии Программы 2013-2019гг.</w:t>
      </w:r>
    </w:p>
    <w:p w:rsidR="009478DB" w:rsidRPr="000A1160" w:rsidRDefault="000A1160" w:rsidP="000A1160">
      <w:pPr>
        <w:ind w:firstLine="720"/>
        <w:jc w:val="both"/>
        <w:rPr>
          <w:color w:val="000000"/>
        </w:rPr>
      </w:pPr>
      <w:r>
        <w:rPr>
          <w:color w:val="000000"/>
        </w:rPr>
        <w:br/>
      </w:r>
    </w:p>
    <w:p w:rsidR="00506A53" w:rsidRPr="00A81F9F" w:rsidRDefault="009478DB" w:rsidP="008B1D2F">
      <w:pPr>
        <w:pStyle w:val="1"/>
      </w:pPr>
      <w:r w:rsidRPr="00A81F9F">
        <w:br w:type="page"/>
      </w:r>
      <w:bookmarkStart w:id="2" w:name="_Toc370759759"/>
      <w:bookmarkStart w:id="3" w:name="_Toc374557768"/>
      <w:r w:rsidR="00506A53" w:rsidRPr="00A81F9F">
        <w:t xml:space="preserve">Часть </w:t>
      </w:r>
      <w:r w:rsidR="00506A53" w:rsidRPr="00A81F9F">
        <w:rPr>
          <w:lang w:val="en-US"/>
        </w:rPr>
        <w:t>i</w:t>
      </w:r>
      <w:r w:rsidR="00506A53" w:rsidRPr="00A81F9F">
        <w:t xml:space="preserve">. Замечания к «Схеме и программе развития ЕЭС России 2012-2018 гг.», Минэнерго, август </w:t>
      </w:r>
      <w:smartTag w:uri="urn:schemas-microsoft-com:office:smarttags" w:element="metricconverter">
        <w:smartTagPr>
          <w:attr w:name="ProductID" w:val="2012 г"/>
        </w:smartTagPr>
        <w:r w:rsidR="00506A53" w:rsidRPr="00A81F9F">
          <w:t>2012 г</w:t>
        </w:r>
      </w:smartTag>
      <w:r w:rsidR="00506A53" w:rsidRPr="00A81F9F">
        <w:t>.</w:t>
      </w:r>
      <w:bookmarkEnd w:id="2"/>
      <w:bookmarkEnd w:id="3"/>
      <w:r w:rsidR="00506A53" w:rsidRPr="00A81F9F">
        <w:t xml:space="preserve"> </w:t>
      </w:r>
    </w:p>
    <w:p w:rsidR="00506A53" w:rsidRPr="00A81F9F" w:rsidRDefault="00506A53" w:rsidP="00506A53">
      <w:pPr>
        <w:ind w:firstLine="567"/>
        <w:jc w:val="both"/>
        <w:rPr>
          <w:b/>
          <w:bCs/>
          <w:i/>
          <w:iCs/>
          <w:sz w:val="28"/>
          <w:szCs w:val="28"/>
        </w:rPr>
      </w:pPr>
    </w:p>
    <w:p w:rsidR="00506A53" w:rsidRPr="00A81F9F" w:rsidRDefault="00506A53" w:rsidP="00212929">
      <w:pPr>
        <w:pStyle w:val="2"/>
      </w:pPr>
      <w:bookmarkStart w:id="4" w:name="_Toc370759760"/>
      <w:bookmarkStart w:id="5" w:name="_Toc374557769"/>
      <w:r w:rsidRPr="00A81F9F">
        <w:t>По Разделу 1. Основные цели и задачи.</w:t>
      </w:r>
      <w:bookmarkEnd w:id="4"/>
      <w:bookmarkEnd w:id="5"/>
    </w:p>
    <w:p w:rsidR="00506A53" w:rsidRPr="00A81F9F" w:rsidRDefault="00506A53" w:rsidP="00506A53">
      <w:pPr>
        <w:ind w:firstLine="709"/>
        <w:jc w:val="both"/>
      </w:pPr>
    </w:p>
    <w:p w:rsidR="00506A53" w:rsidRDefault="00506A53" w:rsidP="00506A53">
      <w:pPr>
        <w:ind w:firstLine="709"/>
        <w:jc w:val="both"/>
      </w:pPr>
      <w:r w:rsidRPr="00A81F9F">
        <w:t>При формулировке основных целей и задач Схемы и программы развития Единой энергетической системы (ЕЭС), кроме обеспечения надежного функционирования ЕЭС России в долгосрочной перспективе и так далее по тексту, необходи</w:t>
      </w:r>
      <w:r>
        <w:t>мо включить в качестве важнейших</w:t>
      </w:r>
      <w:r w:rsidRPr="00A81F9F">
        <w:t xml:space="preserve"> цел</w:t>
      </w:r>
      <w:r>
        <w:t>ей</w:t>
      </w:r>
      <w:r w:rsidRPr="00A81F9F">
        <w:t xml:space="preserve"> – </w:t>
      </w:r>
      <w:r>
        <w:t xml:space="preserve">как </w:t>
      </w:r>
      <w:r w:rsidRPr="00DB5D83">
        <w:rPr>
          <w:b/>
        </w:rPr>
        <w:t>повышение эффективности</w:t>
      </w:r>
      <w:r>
        <w:t xml:space="preserve"> работы отрасли, так и </w:t>
      </w:r>
      <w:r w:rsidRPr="00A81F9F">
        <w:t xml:space="preserve">обеспечение </w:t>
      </w:r>
      <w:r w:rsidRPr="00DB5D83">
        <w:rPr>
          <w:b/>
        </w:rPr>
        <w:t>приемлемой цены электроэнергии для потребителей</w:t>
      </w:r>
      <w:r w:rsidRPr="00A81F9F">
        <w:rPr>
          <w:b/>
          <w:sz w:val="28"/>
          <w:szCs w:val="28"/>
        </w:rPr>
        <w:t xml:space="preserve">. </w:t>
      </w:r>
      <w:r w:rsidRPr="00A81F9F">
        <w:t>Для раскрытия эт</w:t>
      </w:r>
      <w:r>
        <w:t>их</w:t>
      </w:r>
      <w:r w:rsidRPr="00A81F9F">
        <w:t xml:space="preserve"> цел</w:t>
      </w:r>
      <w:r>
        <w:t>ей</w:t>
      </w:r>
      <w:r w:rsidRPr="00A81F9F">
        <w:t xml:space="preserve"> следующие версии схемы и программы  развития ЕЭС России, необходимо дополнить </w:t>
      </w:r>
      <w:r>
        <w:t xml:space="preserve">следующими </w:t>
      </w:r>
      <w:r w:rsidRPr="00A81F9F">
        <w:t xml:space="preserve">разделами. </w:t>
      </w:r>
    </w:p>
    <w:p w:rsidR="00506A53" w:rsidRDefault="00506A53" w:rsidP="00506A53">
      <w:pPr>
        <w:ind w:firstLine="709"/>
        <w:jc w:val="both"/>
      </w:pPr>
      <w:r>
        <w:t xml:space="preserve">В первом разделе дать основные характеристики электроэнергетики России, как отрасли экономики, в сравнении с другими странами (ЕС-27, </w:t>
      </w:r>
      <w:r>
        <w:rPr>
          <w:lang w:val="en-US"/>
        </w:rPr>
        <w:t>OECD</w:t>
      </w:r>
      <w:r w:rsidRPr="00E6636D">
        <w:t xml:space="preserve"> </w:t>
      </w:r>
      <w:r>
        <w:t>итд) К таким характеристикам относится: электровооруженность страны, интенсивность электропроизводства, затраты электроэнергии на функционирование самой электроэнергетики. Кроме того, сравнить с другими странами электропотребление (нетто) в России, приходящееся на душу населения, и электроэффективность экономики. Так же предоставить динамику электропотребления в предыдущие 10 лет.</w:t>
      </w:r>
    </w:p>
    <w:p w:rsidR="00506A53" w:rsidRPr="00A81F9F" w:rsidRDefault="00506A53" w:rsidP="00506A53">
      <w:pPr>
        <w:ind w:firstLine="709"/>
        <w:jc w:val="both"/>
      </w:pPr>
      <w:r w:rsidRPr="00A81F9F">
        <w:t>В</w:t>
      </w:r>
      <w:r>
        <w:t>о</w:t>
      </w:r>
      <w:r w:rsidRPr="00A81F9F">
        <w:t xml:space="preserve"> </w:t>
      </w:r>
      <w:r>
        <w:t>втором</w:t>
      </w:r>
      <w:r w:rsidRPr="00A81F9F">
        <w:t xml:space="preserve"> разделе</w:t>
      </w:r>
      <w:r>
        <w:t xml:space="preserve"> проанализировать суммарные затраты всех конечных потребителей электроэнергии в доле ВВП в России по сравнению с другими странами, а также отдельно для промышленных потребителей и домашних хозяйств. Кроме того, сравнить цену на электроэнергию для промышленности и домашних хозяйств в </w:t>
      </w:r>
      <w:r>
        <w:rPr>
          <w:rFonts w:ascii="Calibri" w:hAnsi="Calibri" w:cs="Calibri"/>
        </w:rPr>
        <w:t>€</w:t>
      </w:r>
      <w:r>
        <w:t xml:space="preserve"> ЦБ и ППС-ЕС. </w:t>
      </w:r>
    </w:p>
    <w:p w:rsidR="00506A53" w:rsidRPr="00A81F9F" w:rsidRDefault="00506A53" w:rsidP="00506A53">
      <w:pPr>
        <w:ind w:firstLine="709"/>
        <w:jc w:val="both"/>
        <w:rPr>
          <w:b/>
          <w:sz w:val="28"/>
          <w:szCs w:val="28"/>
        </w:rPr>
      </w:pPr>
      <w:r>
        <w:t xml:space="preserve">В третьем разделе </w:t>
      </w:r>
      <w:r w:rsidRPr="00A81F9F">
        <w:t xml:space="preserve">должны быть представлены динамика </w:t>
      </w:r>
      <w:r>
        <w:t>цены на</w:t>
      </w:r>
      <w:r w:rsidRPr="00A81F9F">
        <w:t xml:space="preserve"> электроэнерги</w:t>
      </w:r>
      <w:r>
        <w:t>ю</w:t>
      </w:r>
      <w:r w:rsidRPr="00A81F9F">
        <w:t xml:space="preserve"> для различных потребителей отдельно в первой и во второй ценовых зонах, за предшествующий период (6-7 лет), прогноз стоимости электроэнергии на период 201</w:t>
      </w:r>
      <w:r>
        <w:t>3</w:t>
      </w:r>
      <w:r w:rsidRPr="00A81F9F">
        <w:t xml:space="preserve"> – 201</w:t>
      </w:r>
      <w:r>
        <w:t>9</w:t>
      </w:r>
      <w:r w:rsidRPr="00A81F9F">
        <w:t>гг., и сравнение с ее стоимостью в других странах с учетом  стоимости топлива для электростанций в сопоставимых ценах, паритет покупательной способности доллара и уровнем налоговой нагрузки на стоимость электроэнергии.</w:t>
      </w:r>
    </w:p>
    <w:p w:rsidR="00506A53" w:rsidRPr="00A81F9F" w:rsidRDefault="00506A53" w:rsidP="00506A53">
      <w:pPr>
        <w:ind w:firstLine="567"/>
        <w:jc w:val="both"/>
      </w:pPr>
      <w:r w:rsidRPr="00A81F9F">
        <w:t xml:space="preserve">В </w:t>
      </w:r>
      <w:r>
        <w:t>четвертом</w:t>
      </w:r>
      <w:r w:rsidRPr="00A81F9F">
        <w:t xml:space="preserve"> разделе  - проанализировать сложившуюся структуру цены на электроэнергию для конечных потребителей, которая сегодня «с легкой руки» ФСТ России приобрела экономически парадоксальный вид – доля цены производства электроэнергии составляет чуть выше 40%, в то время как доля всех инфраструктурных составляющих </w:t>
      </w:r>
      <w:r>
        <w:t xml:space="preserve">вместе с услугами сбытовых компаний </w:t>
      </w:r>
      <w:r w:rsidRPr="00A81F9F">
        <w:t>достигла почти 58%</w:t>
      </w:r>
      <w:r>
        <w:t xml:space="preserve"> для средних и малых промышленных потребителей</w:t>
      </w:r>
      <w:r w:rsidRPr="00A81F9F">
        <w:t>. А ведь все стоимости инфраструктурных организаций (тарифы) регулируются государством. Именно эта доля должна быть уменьшена как минимум в 2 раза по аналогии с зарубежными странами.</w:t>
      </w:r>
    </w:p>
    <w:p w:rsidR="00506A53" w:rsidRPr="00A81F9F" w:rsidRDefault="00506A53" w:rsidP="00506A53">
      <w:pPr>
        <w:ind w:firstLine="567"/>
        <w:jc w:val="both"/>
      </w:pPr>
      <w:r w:rsidRPr="00A81F9F">
        <w:t xml:space="preserve">В </w:t>
      </w:r>
      <w:r>
        <w:t>пятом</w:t>
      </w:r>
      <w:r w:rsidRPr="00A81F9F">
        <w:t xml:space="preserve"> разделе представить предложения по дальнейшему развитию реформы электроэнергетики, в которых должны быть отражены рыночные механизмы хозяйствования, гармонично сочетающие экономические интересы всех субъектов энергетического рынка, включая промышленных потребителей. Варианты всех этих дополнительных разделов представлены в Приложении 1.</w:t>
      </w:r>
    </w:p>
    <w:p w:rsidR="00506A53" w:rsidRPr="00A81F9F" w:rsidRDefault="00B22F4A" w:rsidP="00212929">
      <w:pPr>
        <w:pStyle w:val="2"/>
      </w:pPr>
      <w:r>
        <w:br w:type="page"/>
      </w:r>
      <w:bookmarkStart w:id="6" w:name="_Toc370759761"/>
      <w:bookmarkStart w:id="7" w:name="_Toc374557770"/>
      <w:r w:rsidR="00506A53" w:rsidRPr="00A81F9F">
        <w:t>По Разделу 2. Прогноз спроса на электрическую энергию по единой энергетической системе ЕЭС России и территориям субъектов Российской Федерации на 201</w:t>
      </w:r>
      <w:r w:rsidR="007B32E1">
        <w:t>3</w:t>
      </w:r>
      <w:r w:rsidR="00506A53" w:rsidRPr="00A81F9F">
        <w:t>-201</w:t>
      </w:r>
      <w:r w:rsidR="007B32E1">
        <w:t>9</w:t>
      </w:r>
      <w:r w:rsidR="00506A53" w:rsidRPr="00A81F9F">
        <w:t xml:space="preserve"> гг.</w:t>
      </w:r>
      <w:bookmarkEnd w:id="6"/>
      <w:bookmarkEnd w:id="7"/>
    </w:p>
    <w:p w:rsidR="00506A53" w:rsidRPr="00A81F9F" w:rsidRDefault="00506A53" w:rsidP="00506A53">
      <w:pPr>
        <w:ind w:firstLine="567"/>
        <w:jc w:val="both"/>
      </w:pPr>
      <w:r w:rsidRPr="00A81F9F">
        <w:t xml:space="preserve"> </w:t>
      </w:r>
    </w:p>
    <w:p w:rsidR="00506A53" w:rsidRPr="00A81F9F" w:rsidRDefault="00506A53" w:rsidP="00CB2171">
      <w:pPr>
        <w:ind w:firstLine="851"/>
        <w:jc w:val="both"/>
      </w:pPr>
      <w:r w:rsidRPr="00A81F9F">
        <w:t>1. Отсутствуют обоснования темпа роста электропотребления на период 201</w:t>
      </w:r>
      <w:r>
        <w:t>3</w:t>
      </w:r>
      <w:r w:rsidRPr="00A81F9F">
        <w:t xml:space="preserve"> – 201</w:t>
      </w:r>
      <w:r>
        <w:t>9</w:t>
      </w:r>
      <w:r w:rsidRPr="00A81F9F">
        <w:t>гг.</w:t>
      </w:r>
      <w:r>
        <w:t>, как и в предыдущих материалах Минэнерго 2011г. и 2012г.</w:t>
      </w:r>
      <w:r w:rsidRPr="00A81F9F">
        <w:t xml:space="preserve"> Принятое значение среднегодового темпа роста электропотребления</w:t>
      </w:r>
      <w:r>
        <w:t xml:space="preserve"> в ЕЭС России</w:t>
      </w:r>
      <w:r w:rsidRPr="00A81F9F">
        <w:t xml:space="preserve"> – </w:t>
      </w:r>
      <w:r>
        <w:t>1,82</w:t>
      </w:r>
      <w:r w:rsidRPr="00A81F9F">
        <w:t>%</w:t>
      </w:r>
      <w:r>
        <w:t xml:space="preserve"> явно завышено и никак не связано с прогнозами Минэкономразвития по темпам роста ВВП в стране на среднесрочный период.</w:t>
      </w:r>
    </w:p>
    <w:p w:rsidR="00506A53" w:rsidRPr="00A81F9F" w:rsidRDefault="00506A53" w:rsidP="00CB2171">
      <w:pPr>
        <w:ind w:firstLine="851"/>
        <w:jc w:val="both"/>
      </w:pPr>
      <w:r w:rsidRPr="00A81F9F">
        <w:t xml:space="preserve">2. В представленных замечаниях </w:t>
      </w:r>
      <w:r>
        <w:t>СПЭ</w:t>
      </w:r>
      <w:r w:rsidRPr="00A81F9F">
        <w:t xml:space="preserve"> показано, что в период 201</w:t>
      </w:r>
      <w:r>
        <w:t>3</w:t>
      </w:r>
      <w:r w:rsidRPr="00A81F9F">
        <w:t xml:space="preserve"> – 201</w:t>
      </w:r>
      <w:r>
        <w:t>9</w:t>
      </w:r>
      <w:r w:rsidRPr="00A81F9F">
        <w:t xml:space="preserve"> гг. во время  роста ВВП, на 1% среднегодового темпа роста ВВП приходится 0,3</w:t>
      </w:r>
      <w:r>
        <w:t>3</w:t>
      </w:r>
      <w:r w:rsidRPr="00A81F9F">
        <w:t>% роста электропотребления. И из этого следует, что</w:t>
      </w:r>
      <w:r>
        <w:t xml:space="preserve"> при условии среднегодового темпа роста ВВП около 3% и ниже,</w:t>
      </w:r>
      <w:r w:rsidRPr="00A81F9F">
        <w:t xml:space="preserve"> среднегодовой темп роста электропотребления будет </w:t>
      </w:r>
      <w:r>
        <w:t>равняться</w:t>
      </w:r>
      <w:r w:rsidRPr="00A81F9F">
        <w:t xml:space="preserve"> 1%</w:t>
      </w:r>
      <w:r>
        <w:t xml:space="preserve"> и ниже</w:t>
      </w:r>
      <w:r w:rsidRPr="00A81F9F">
        <w:t xml:space="preserve">. </w:t>
      </w:r>
    </w:p>
    <w:p w:rsidR="00506A53" w:rsidRPr="00A81F9F" w:rsidRDefault="00506A53" w:rsidP="00CB2171">
      <w:pPr>
        <w:ind w:firstLine="851"/>
        <w:jc w:val="both"/>
      </w:pPr>
      <w:r w:rsidRPr="00A81F9F">
        <w:t>3. Все основные показатели, принятые в прогнозе Минэнерго</w:t>
      </w:r>
      <w:r>
        <w:t xml:space="preserve"> 2013 г.</w:t>
      </w:r>
      <w:r w:rsidRPr="00A81F9F">
        <w:t xml:space="preserve"> существенно завышены, к ним</w:t>
      </w:r>
      <w:r>
        <w:t>, кроме электропотребления,</w:t>
      </w:r>
      <w:r w:rsidRPr="00A81F9F">
        <w:t xml:space="preserve"> относятся: максимум электрической нагрузки, объем ввода новых генерирующих мощностей, </w:t>
      </w:r>
      <w:r>
        <w:t xml:space="preserve">ввод протяженности </w:t>
      </w:r>
      <w:r w:rsidRPr="00A81F9F">
        <w:t xml:space="preserve">высоковольтных линий и трансформаторных мощностей.  </w:t>
      </w:r>
    </w:p>
    <w:p w:rsidR="00506A53" w:rsidRPr="00A81F9F" w:rsidRDefault="00506A53" w:rsidP="00CB2171">
      <w:pPr>
        <w:ind w:firstLine="851"/>
        <w:jc w:val="both"/>
      </w:pPr>
      <w:r w:rsidRPr="00A81F9F">
        <w:t>4. Прогноз Минэнерго 201</w:t>
      </w:r>
      <w:r>
        <w:t>3</w:t>
      </w:r>
      <w:r w:rsidRPr="00A81F9F">
        <w:t>г. по электропотреблению в России к 201</w:t>
      </w:r>
      <w:r>
        <w:t>9</w:t>
      </w:r>
      <w:r w:rsidRPr="00A81F9F">
        <w:t xml:space="preserve">г., равный </w:t>
      </w:r>
      <w:r>
        <w:t>1206</w:t>
      </w:r>
      <w:r w:rsidRPr="00A81F9F">
        <w:t xml:space="preserve"> млрд. кВт.ч должен быть снижен минимум на </w:t>
      </w:r>
      <w:r>
        <w:t>65</w:t>
      </w:r>
      <w:r w:rsidRPr="00A81F9F">
        <w:t xml:space="preserve"> млрд. кВт.ч до 113</w:t>
      </w:r>
      <w:r>
        <w:t>9</w:t>
      </w:r>
      <w:r w:rsidRPr="00A81F9F">
        <w:t xml:space="preserve"> млрд. кВт.ч; а по электропотреблению в ЕЭС России – с 11</w:t>
      </w:r>
      <w:r>
        <w:t>53,6</w:t>
      </w:r>
      <w:r w:rsidRPr="00A81F9F">
        <w:t xml:space="preserve"> млрд. кВт.ч до 1</w:t>
      </w:r>
      <w:r>
        <w:t>089,8</w:t>
      </w:r>
      <w:r w:rsidRPr="00A81F9F">
        <w:t xml:space="preserve"> млрд. кВт.ч или минимум на 63</w:t>
      </w:r>
      <w:r>
        <w:t>,8</w:t>
      </w:r>
      <w:r w:rsidRPr="00A81F9F">
        <w:t xml:space="preserve"> млрд. кВт.ч.</w:t>
      </w:r>
    </w:p>
    <w:p w:rsidR="00506A53" w:rsidRPr="00A81F9F" w:rsidRDefault="00506A53" w:rsidP="00506A53">
      <w:pPr>
        <w:ind w:firstLine="567"/>
        <w:jc w:val="both"/>
      </w:pPr>
    </w:p>
    <w:p w:rsidR="00506A53" w:rsidRPr="00A81F9F" w:rsidRDefault="00506A53" w:rsidP="00212929">
      <w:pPr>
        <w:pStyle w:val="2"/>
      </w:pPr>
      <w:bookmarkStart w:id="8" w:name="_Toc370759762"/>
      <w:bookmarkStart w:id="9" w:name="_Toc374557771"/>
      <w:r w:rsidRPr="00A81F9F">
        <w:t>По Разделу 3. Прогноз максимальных электрических нагрузок единой энергетической системы  России, объединенных энергетических систем и по территориям субъектов Российской Федерации за 201</w:t>
      </w:r>
      <w:r>
        <w:t>3</w:t>
      </w:r>
      <w:r w:rsidRPr="00A81F9F">
        <w:t xml:space="preserve"> – 201</w:t>
      </w:r>
      <w:r>
        <w:t>9</w:t>
      </w:r>
      <w:r w:rsidRPr="00A81F9F">
        <w:t xml:space="preserve"> гг.</w:t>
      </w:r>
      <w:bookmarkEnd w:id="8"/>
      <w:bookmarkEnd w:id="9"/>
    </w:p>
    <w:p w:rsidR="00506A53" w:rsidRPr="00A81F9F" w:rsidRDefault="00506A53" w:rsidP="00506A53">
      <w:pPr>
        <w:ind w:firstLine="567"/>
        <w:jc w:val="both"/>
      </w:pPr>
      <w:r w:rsidRPr="00A81F9F">
        <w:t>Прогноз Минэнерго 201</w:t>
      </w:r>
      <w:r>
        <w:t>3</w:t>
      </w:r>
      <w:r w:rsidRPr="00A81F9F">
        <w:t>г. по значениям максимальной электрической нагрузки в осенне-зимний максимум 201</w:t>
      </w:r>
      <w:r>
        <w:t>9</w:t>
      </w:r>
      <w:r w:rsidRPr="00A81F9F">
        <w:t xml:space="preserve"> – 20</w:t>
      </w:r>
      <w:r>
        <w:t>20</w:t>
      </w:r>
      <w:r w:rsidRPr="00A81F9F">
        <w:t>гг. должен быть снижен на 1</w:t>
      </w:r>
      <w:r>
        <w:t>0,7</w:t>
      </w:r>
      <w:r w:rsidRPr="00A81F9F">
        <w:t xml:space="preserve"> ГВт, с </w:t>
      </w:r>
      <w:r>
        <w:t>175,7</w:t>
      </w:r>
      <w:r w:rsidRPr="00A81F9F">
        <w:t xml:space="preserve"> ГВт до 16</w:t>
      </w:r>
      <w:r>
        <w:t>5</w:t>
      </w:r>
      <w:r w:rsidRPr="00A81F9F">
        <w:t xml:space="preserve"> ГВт. </w:t>
      </w:r>
    </w:p>
    <w:p w:rsidR="00506A53" w:rsidRPr="00A81F9F" w:rsidRDefault="00506A53" w:rsidP="00506A53">
      <w:pPr>
        <w:ind w:firstLine="567"/>
        <w:jc w:val="both"/>
      </w:pPr>
    </w:p>
    <w:p w:rsidR="00506A53" w:rsidRPr="00A81F9F" w:rsidRDefault="00506A53" w:rsidP="00212929">
      <w:pPr>
        <w:pStyle w:val="2"/>
      </w:pPr>
      <w:bookmarkStart w:id="10" w:name="_Toc370759763"/>
      <w:bookmarkStart w:id="11" w:name="_Toc374557772"/>
      <w:r w:rsidRPr="00A81F9F">
        <w:t>По Разделу 4. Прогноз требуемого увеличения мощностей для удовлетворения спроса на элек</w:t>
      </w:r>
      <w:r>
        <w:t>трическую энергию на период 2013</w:t>
      </w:r>
      <w:r w:rsidRPr="00A81F9F">
        <w:t xml:space="preserve"> – 201</w:t>
      </w:r>
      <w:r>
        <w:t>9</w:t>
      </w:r>
      <w:r w:rsidRPr="00A81F9F">
        <w:t>гг.</w:t>
      </w:r>
      <w:bookmarkEnd w:id="10"/>
      <w:bookmarkEnd w:id="11"/>
      <w:r w:rsidRPr="00A81F9F">
        <w:t xml:space="preserve"> </w:t>
      </w:r>
    </w:p>
    <w:p w:rsidR="00506A53" w:rsidRPr="00A81F9F" w:rsidRDefault="00506A53" w:rsidP="00506A53">
      <w:pPr>
        <w:ind w:firstLine="567"/>
        <w:jc w:val="both"/>
        <w:rPr>
          <w:b/>
          <w:bCs/>
          <w:i/>
          <w:iCs/>
          <w:sz w:val="28"/>
          <w:szCs w:val="28"/>
        </w:rPr>
      </w:pPr>
    </w:p>
    <w:p w:rsidR="00B12F0F" w:rsidRDefault="00B12F0F" w:rsidP="00B12F0F">
      <w:pPr>
        <w:ind w:firstLine="709"/>
        <w:jc w:val="both"/>
      </w:pPr>
      <w:r>
        <w:t xml:space="preserve">Нормативные значения резервов мощности и в ЕЭС России, и в отдельных ОЭС являются </w:t>
      </w:r>
      <w:r w:rsidRPr="001556A0">
        <w:rPr>
          <w:b/>
        </w:rPr>
        <w:t>фундаментальными</w:t>
      </w:r>
      <w:r>
        <w:t xml:space="preserve"> параметрами обеспечения надежности функционирования ЕЭС России и отдельных ОЭС. Они существенно влияют на величину спроса на мощность, и, соответственно, на объем дополнительных вводов новых генерирующих мощностей и темп выводов старых мощностей в ЕЭС России.</w:t>
      </w:r>
      <w:r w:rsidRPr="00176618">
        <w:t xml:space="preserve"> </w:t>
      </w:r>
      <w:r>
        <w:t>Поэтому конкретные цифры по нормативам резерва мощности требу</w:t>
      </w:r>
      <w:r w:rsidR="00E9272C">
        <w:t>ю</w:t>
      </w:r>
      <w:r>
        <w:t xml:space="preserve">т очень серьезного обоснования и должно утверждаться минимум на уровне Министра энергетики РФ. </w:t>
      </w:r>
    </w:p>
    <w:p w:rsidR="00B12F0F" w:rsidRDefault="00B12F0F" w:rsidP="00B12F0F">
      <w:pPr>
        <w:ind w:firstLine="709"/>
        <w:jc w:val="both"/>
      </w:pPr>
      <w:r>
        <w:t xml:space="preserve">В Схеме и Программе… Минэнерго 2011, 2012, 2013 указывается, что значения резервов мощности во всей ЕЭС России и в отдельных ОЭС, определены «в соответствии с методическими подходом к определению нормативных значений резерва мощности энергосистемы, разработанным в составе методических рекомендаций по проектированию развития энергосистемы». </w:t>
      </w:r>
    </w:p>
    <w:p w:rsidR="00B12F0F" w:rsidRDefault="00B12F0F" w:rsidP="00B12F0F">
      <w:pPr>
        <w:ind w:firstLine="567"/>
        <w:jc w:val="both"/>
      </w:pPr>
      <w:r>
        <w:t>В Минэнерго 2011, 2012 и 2013 дается ссылка на эти документы, но не приводятся: ни год издания этих материалов, ни организация, которая их разработала, ни процедура их обсуждения и рецензирования, ни процедура их утверждения и, соответственно, ни периодичность их пересмотра и т</w:t>
      </w:r>
      <w:r w:rsidR="00E9272C">
        <w:t>.</w:t>
      </w:r>
      <w:r>
        <w:t>д.</w:t>
      </w:r>
    </w:p>
    <w:p w:rsidR="00506A53" w:rsidRPr="00A81F9F" w:rsidRDefault="00506A53" w:rsidP="00506A53">
      <w:pPr>
        <w:ind w:firstLine="567"/>
        <w:jc w:val="both"/>
      </w:pPr>
      <w:r w:rsidRPr="00A81F9F">
        <w:t>С</w:t>
      </w:r>
      <w:r>
        <w:t xml:space="preserve">прос на мощность </w:t>
      </w:r>
      <w:r w:rsidRPr="00A81F9F">
        <w:t>по ЕЭС России</w:t>
      </w:r>
      <w:r>
        <w:t xml:space="preserve"> в 2019 г.</w:t>
      </w:r>
      <w:r w:rsidRPr="00A81F9F">
        <w:t xml:space="preserve"> по прогнозу Минэнерго 201</w:t>
      </w:r>
      <w:r>
        <w:t>3</w:t>
      </w:r>
      <w:r w:rsidRPr="00A81F9F">
        <w:t>г. должен быть снижен</w:t>
      </w:r>
      <w:r>
        <w:t xml:space="preserve"> на 13 ГВт</w:t>
      </w:r>
      <w:r w:rsidRPr="00A81F9F">
        <w:t xml:space="preserve"> с 21</w:t>
      </w:r>
      <w:r>
        <w:t>6</w:t>
      </w:r>
      <w:r w:rsidRPr="00A81F9F">
        <w:t xml:space="preserve"> ГВт до </w:t>
      </w:r>
      <w:r>
        <w:t>203</w:t>
      </w:r>
      <w:r w:rsidRPr="00A81F9F">
        <w:t xml:space="preserve"> ГВт.</w:t>
      </w:r>
    </w:p>
    <w:p w:rsidR="00506A53" w:rsidRPr="00A81F9F" w:rsidRDefault="00506A53" w:rsidP="00212929">
      <w:pPr>
        <w:pStyle w:val="2"/>
      </w:pPr>
      <w:bookmarkStart w:id="12" w:name="_Toc370759764"/>
      <w:bookmarkStart w:id="13" w:name="_Toc374557773"/>
      <w:r w:rsidRPr="00A81F9F">
        <w:t>По Разделу 5. Прогноз развития действующих и предполагаемых к сооружению новых генерирующих мощностей.</w:t>
      </w:r>
      <w:bookmarkEnd w:id="12"/>
      <w:bookmarkEnd w:id="13"/>
      <w:r w:rsidRPr="00A81F9F">
        <w:t xml:space="preserve"> </w:t>
      </w:r>
    </w:p>
    <w:p w:rsidR="00506A53" w:rsidRPr="00A81F9F" w:rsidRDefault="00506A53" w:rsidP="00506A53">
      <w:pPr>
        <w:ind w:firstLine="567"/>
        <w:jc w:val="both"/>
      </w:pPr>
    </w:p>
    <w:p w:rsidR="00506A53" w:rsidRPr="00A81F9F" w:rsidRDefault="00506A53" w:rsidP="00506A53">
      <w:pPr>
        <w:ind w:firstLine="567"/>
        <w:jc w:val="both"/>
      </w:pPr>
      <w:r w:rsidRPr="00A81F9F">
        <w:t>Объем ввода в эксплуатацию энергоблоков АЭС в период 201</w:t>
      </w:r>
      <w:r>
        <w:t>3</w:t>
      </w:r>
      <w:r w:rsidRPr="00A81F9F">
        <w:t xml:space="preserve"> – 201</w:t>
      </w:r>
      <w:r>
        <w:t>9</w:t>
      </w:r>
      <w:r w:rsidRPr="00A81F9F">
        <w:t>гг. должен быть сокращен</w:t>
      </w:r>
      <w:r>
        <w:t xml:space="preserve"> на 4,55 ГВт</w:t>
      </w:r>
      <w:r w:rsidRPr="00A81F9F">
        <w:t xml:space="preserve"> с 1</w:t>
      </w:r>
      <w:r>
        <w:t>1</w:t>
      </w:r>
      <w:r w:rsidRPr="00A81F9F">
        <w:t>,</w:t>
      </w:r>
      <w:r>
        <w:t>27</w:t>
      </w:r>
      <w:r w:rsidRPr="00A81F9F">
        <w:t xml:space="preserve"> ГВт до </w:t>
      </w:r>
      <w:r>
        <w:t>6,72</w:t>
      </w:r>
      <w:r w:rsidRPr="00A81F9F">
        <w:t xml:space="preserve"> ГВт. Это связано с тем, что практика в предыдущий период показала, что сроки вводов энергоблоков АЭС в промышленную эксплуатацию сдвигаютс</w:t>
      </w:r>
      <w:r>
        <w:t>я минимум на 2</w:t>
      </w:r>
      <w:r w:rsidRPr="00A81F9F">
        <w:t xml:space="preserve"> – </w:t>
      </w:r>
      <w:r>
        <w:t>4</w:t>
      </w:r>
      <w:r w:rsidRPr="00A81F9F">
        <w:t xml:space="preserve"> года. Строительство 2-х блоков экспортноориентированной Балтийской АЭС остановлено, из-за отказа стран Балтии и Польши приобретать энергию с этой станции и неконкурентным уровнем стоимости электроэнергии в Калининградской области в 201</w:t>
      </w:r>
      <w:r>
        <w:t>9</w:t>
      </w:r>
      <w:r w:rsidRPr="00A81F9F">
        <w:t>г. – к планиру</w:t>
      </w:r>
      <w:r>
        <w:t xml:space="preserve">емому году пуска этой станции. </w:t>
      </w:r>
      <w:r w:rsidRPr="001D50E2">
        <w:t xml:space="preserve">Но если даже </w:t>
      </w:r>
      <w:r w:rsidRPr="001D50E2">
        <w:rPr>
          <w:u w:val="single"/>
        </w:rPr>
        <w:t>гипотетически</w:t>
      </w:r>
      <w:r w:rsidRPr="00A81F9F">
        <w:t xml:space="preserve"> Балтийская АЭС будет все-таки достроена, то в балансе электропотребления</w:t>
      </w:r>
      <w:r>
        <w:t xml:space="preserve"> внутри страны</w:t>
      </w:r>
      <w:r w:rsidRPr="00A81F9F">
        <w:t xml:space="preserve"> она </w:t>
      </w:r>
      <w:r w:rsidRPr="00CE36C9">
        <w:rPr>
          <w:b/>
        </w:rPr>
        <w:t>никак</w:t>
      </w:r>
      <w:r w:rsidRPr="00A81F9F">
        <w:t xml:space="preserve"> не участвует.</w:t>
      </w:r>
    </w:p>
    <w:p w:rsidR="00506A53" w:rsidRPr="00A81F9F" w:rsidRDefault="00506A53" w:rsidP="00506A53">
      <w:pPr>
        <w:ind w:firstLine="567"/>
        <w:jc w:val="both"/>
      </w:pPr>
    </w:p>
    <w:p w:rsidR="00506A53" w:rsidRPr="00A81F9F" w:rsidRDefault="00506A53" w:rsidP="00212929">
      <w:pPr>
        <w:pStyle w:val="2"/>
      </w:pPr>
      <w:bookmarkStart w:id="14" w:name="_Toc370759765"/>
      <w:bookmarkStart w:id="15" w:name="_Toc374557774"/>
      <w:r w:rsidRPr="00A81F9F">
        <w:t>По Разделу 6. Прогноз балансов мощности и электрической энергии ЕЭС России на 201</w:t>
      </w:r>
      <w:r>
        <w:t>3</w:t>
      </w:r>
      <w:r w:rsidRPr="00A81F9F">
        <w:t>-201</w:t>
      </w:r>
      <w:r>
        <w:t>9</w:t>
      </w:r>
      <w:r w:rsidRPr="00A81F9F">
        <w:t xml:space="preserve"> гг.</w:t>
      </w:r>
      <w:bookmarkEnd w:id="14"/>
      <w:bookmarkEnd w:id="15"/>
    </w:p>
    <w:p w:rsidR="00506A53" w:rsidRPr="00A81F9F" w:rsidRDefault="00506A53" w:rsidP="00506A53">
      <w:pPr>
        <w:ind w:firstLine="567"/>
        <w:jc w:val="both"/>
      </w:pPr>
    </w:p>
    <w:p w:rsidR="00506A53" w:rsidRPr="00A81F9F" w:rsidRDefault="00506A53" w:rsidP="00506A53">
      <w:pPr>
        <w:ind w:firstLine="720"/>
        <w:jc w:val="both"/>
      </w:pPr>
      <w:r w:rsidRPr="00A81F9F">
        <w:t>Установленная мощность электростанции ЕЭС России</w:t>
      </w:r>
      <w:r>
        <w:t>, которая по</w:t>
      </w:r>
      <w:r w:rsidRPr="00A81F9F">
        <w:t xml:space="preserve"> прогноз</w:t>
      </w:r>
      <w:r>
        <w:t>у</w:t>
      </w:r>
      <w:r w:rsidRPr="00A81F9F">
        <w:t xml:space="preserve"> Минэнерго 201</w:t>
      </w:r>
      <w:r>
        <w:t>3г. в</w:t>
      </w:r>
      <w:r w:rsidRPr="00A81F9F">
        <w:t xml:space="preserve"> 201</w:t>
      </w:r>
      <w:r>
        <w:t>9г. равна 237,8</w:t>
      </w:r>
      <w:r w:rsidRPr="00A81F9F">
        <w:t xml:space="preserve"> ГВт</w:t>
      </w:r>
      <w:r>
        <w:t>, должна уменьшиться до 224,8</w:t>
      </w:r>
      <w:r w:rsidRPr="00A81F9F">
        <w:t xml:space="preserve"> ГВт. Располагаемая мощность упадет с </w:t>
      </w:r>
      <w:r>
        <w:t>221</w:t>
      </w:r>
      <w:r w:rsidRPr="00A81F9F">
        <w:t xml:space="preserve"> до 21</w:t>
      </w:r>
      <w:r>
        <w:t>7</w:t>
      </w:r>
      <w:r w:rsidRPr="00A81F9F">
        <w:t xml:space="preserve"> ГВт. А общий объем ввода новых гене</w:t>
      </w:r>
      <w:r>
        <w:t>рирующих мощностей, равный 33</w:t>
      </w:r>
      <w:r w:rsidRPr="00A81F9F">
        <w:t>,1 ГВт по прогнозу Минэнерго 201</w:t>
      </w:r>
      <w:r>
        <w:t>3</w:t>
      </w:r>
      <w:r w:rsidRPr="00A81F9F">
        <w:t xml:space="preserve">г </w:t>
      </w:r>
      <w:r>
        <w:t xml:space="preserve">должен </w:t>
      </w:r>
      <w:r w:rsidRPr="00A81F9F">
        <w:t>снизит</w:t>
      </w:r>
      <w:r>
        <w:t>ься до 23,1</w:t>
      </w:r>
      <w:r w:rsidRPr="00A81F9F">
        <w:t xml:space="preserve"> ГВт или на 3</w:t>
      </w:r>
      <w:r>
        <w:t>0</w:t>
      </w:r>
      <w:r w:rsidRPr="00A81F9F">
        <w:t>% за счет уменьшения вводов энергоблоков АЭС и ТЭС. Кроме того, в период до 201</w:t>
      </w:r>
      <w:r>
        <w:t>9</w:t>
      </w:r>
      <w:r w:rsidRPr="00A81F9F">
        <w:t xml:space="preserve"> г. </w:t>
      </w:r>
      <w:r>
        <w:t xml:space="preserve">необходимо </w:t>
      </w:r>
      <w:r w:rsidRPr="00A81F9F">
        <w:t>увеличить объемы вывода из экспл</w:t>
      </w:r>
      <w:r>
        <w:t>уатации старых мощностей на ТЭС,</w:t>
      </w:r>
      <w:r w:rsidRPr="00A81F9F">
        <w:t xml:space="preserve"> не менее чем на 10,0 ГВт. Сэкономленные за счет их содержания средства </w:t>
      </w:r>
      <w:r>
        <w:t xml:space="preserve">необходимо </w:t>
      </w:r>
      <w:r w:rsidRPr="00A81F9F">
        <w:t>направить на реконструкцию и перевооружение эксплуатируемых энергоблоков ТЭС.</w:t>
      </w:r>
    </w:p>
    <w:p w:rsidR="00506A53" w:rsidRPr="00A81F9F" w:rsidRDefault="00506A53" w:rsidP="00506A53">
      <w:pPr>
        <w:jc w:val="both"/>
      </w:pPr>
    </w:p>
    <w:p w:rsidR="00506A53" w:rsidRPr="00A81F9F" w:rsidRDefault="00506A53" w:rsidP="00212929">
      <w:pPr>
        <w:pStyle w:val="2"/>
      </w:pPr>
      <w:bookmarkStart w:id="16" w:name="_Toc370759766"/>
      <w:bookmarkStart w:id="17" w:name="_Toc374557775"/>
      <w:r w:rsidRPr="00A81F9F">
        <w:t>По Разделу 7. Прогноз спроса на топливо организации электроэнергетики ЕЭС России (без учета децентрализованных источников) на период 201</w:t>
      </w:r>
      <w:r>
        <w:t>3</w:t>
      </w:r>
      <w:r w:rsidRPr="00A81F9F">
        <w:t>-201</w:t>
      </w:r>
      <w:r>
        <w:t>9</w:t>
      </w:r>
      <w:r w:rsidRPr="00A81F9F">
        <w:t xml:space="preserve"> гг.</w:t>
      </w:r>
      <w:bookmarkEnd w:id="16"/>
      <w:bookmarkEnd w:id="17"/>
    </w:p>
    <w:p w:rsidR="00506A53" w:rsidRPr="00A81F9F" w:rsidRDefault="00506A53" w:rsidP="008B1D2F">
      <w:pPr>
        <w:pStyle w:val="10"/>
      </w:pPr>
    </w:p>
    <w:p w:rsidR="00506A53" w:rsidRPr="00A81F9F" w:rsidRDefault="00506A53" w:rsidP="00506A53">
      <w:pPr>
        <w:ind w:firstLine="567"/>
        <w:jc w:val="both"/>
      </w:pPr>
      <w:r w:rsidRPr="00A81F9F">
        <w:t>В прогнозе Минэнерго 201</w:t>
      </w:r>
      <w:r>
        <w:t>3</w:t>
      </w:r>
      <w:r w:rsidRPr="00A81F9F">
        <w:t xml:space="preserve">г. отсутствует развернутая программа реконструкции и тежперевооружения действующих газовых блоков - </w:t>
      </w:r>
      <w:r w:rsidRPr="00A81F9F">
        <w:rPr>
          <w:rStyle w:val="af5"/>
          <w:rFonts w:eastAsia="Calibri"/>
          <w:sz w:val="30"/>
        </w:rPr>
        <w:t>главный резерв снижения удельных расходов топлива на отпущенную электрическую энергию.</w:t>
      </w:r>
      <w:r w:rsidRPr="00A81F9F">
        <w:t xml:space="preserve"> Только реконструкция серийных газовых энергоблоков 150, 200 и 300 МВт суммарной мощностью 23,4 ГВт даст снижение потребления газа в электроэнергетике минимум на 10% </w:t>
      </w:r>
      <w:r>
        <w:t>в период 2013-2019</w:t>
      </w:r>
      <w:r w:rsidRPr="00A81F9F">
        <w:t xml:space="preserve"> гг.</w:t>
      </w:r>
    </w:p>
    <w:p w:rsidR="00506A53" w:rsidRPr="00A81F9F" w:rsidRDefault="00506A53" w:rsidP="00506A53">
      <w:pPr>
        <w:ind w:firstLine="567"/>
        <w:jc w:val="both"/>
      </w:pPr>
    </w:p>
    <w:p w:rsidR="00506A53" w:rsidRPr="00A81F9F" w:rsidRDefault="00506A53" w:rsidP="00212929">
      <w:pPr>
        <w:pStyle w:val="2"/>
      </w:pPr>
      <w:bookmarkStart w:id="18" w:name="_Toc370759767"/>
      <w:bookmarkStart w:id="19" w:name="_Toc374557776"/>
      <w:r w:rsidRPr="00A81F9F">
        <w:t>По Разделу 8. Развитие магистральных и распределительных сетей с учетом требований по обеспечению регулирования (компенсации) реактивной электрической мощности за 201</w:t>
      </w:r>
      <w:r>
        <w:t>3</w:t>
      </w:r>
      <w:r w:rsidRPr="00A81F9F">
        <w:t>-201</w:t>
      </w:r>
      <w:r>
        <w:t>9</w:t>
      </w:r>
      <w:r w:rsidRPr="00A81F9F">
        <w:t xml:space="preserve"> гг.</w:t>
      </w:r>
      <w:bookmarkEnd w:id="18"/>
      <w:bookmarkEnd w:id="19"/>
    </w:p>
    <w:p w:rsidR="00506A53" w:rsidRPr="00A81F9F" w:rsidRDefault="00506A53" w:rsidP="00506A53">
      <w:pPr>
        <w:ind w:firstLine="567"/>
        <w:jc w:val="both"/>
      </w:pPr>
      <w:r w:rsidRPr="00A81F9F">
        <w:t>Ввод электросетевых объектов ЕНЭС напряжением 220 кВ и выше, которые в соответствие с прогнозом Минэнерго 201</w:t>
      </w:r>
      <w:r>
        <w:t>3</w:t>
      </w:r>
      <w:r w:rsidRPr="00A81F9F">
        <w:t xml:space="preserve">г. должна достичь протяженности ВЛ </w:t>
      </w:r>
      <w:r>
        <w:t>40,6</w:t>
      </w:r>
      <w:r w:rsidRPr="00A81F9F">
        <w:t xml:space="preserve"> тыс. км и трансформаторной мощности 1</w:t>
      </w:r>
      <w:r>
        <w:t>37,7 тыс.</w:t>
      </w:r>
      <w:r w:rsidRPr="00A81F9F">
        <w:t xml:space="preserve"> МВА к 201</w:t>
      </w:r>
      <w:r>
        <w:t>9</w:t>
      </w:r>
      <w:r w:rsidRPr="00A81F9F">
        <w:t xml:space="preserve"> г. должен быть сокращен на </w:t>
      </w:r>
      <w:r>
        <w:t>30</w:t>
      </w:r>
      <w:r w:rsidRPr="00A81F9F">
        <w:t>%, в соответствии с сокращением на эту же величину вводов новых генерирующих мощностей. В результате в период 201</w:t>
      </w:r>
      <w:r>
        <w:t>3</w:t>
      </w:r>
      <w:r w:rsidRPr="00A81F9F">
        <w:t>–201</w:t>
      </w:r>
      <w:r>
        <w:t>9</w:t>
      </w:r>
      <w:r w:rsidRPr="00A81F9F">
        <w:t xml:space="preserve"> гг. предлагается ввести высоковольтных линий (ВЛ) до 220 кВ и выше </w:t>
      </w:r>
      <w:r>
        <w:t>28,4</w:t>
      </w:r>
      <w:r w:rsidRPr="00A81F9F">
        <w:t xml:space="preserve"> тыс. км и соответствующих трансформаторных мощностей – </w:t>
      </w:r>
      <w:r>
        <w:t>96,4 тыс.</w:t>
      </w:r>
      <w:r w:rsidRPr="00A81F9F">
        <w:t xml:space="preserve"> МВА. При этом доля объектов реновации должна составлять минимум 60% от общих вводов, а не 40%, как это фактически было в 2011г. Доля  объектов реновации в общем вводе новых мощностей должна постоянно увеличиваться. </w:t>
      </w:r>
    </w:p>
    <w:p w:rsidR="00506A53" w:rsidRPr="00A81F9F" w:rsidRDefault="00506A53" w:rsidP="00212929">
      <w:pPr>
        <w:pStyle w:val="2"/>
      </w:pPr>
      <w:bookmarkStart w:id="20" w:name="_Toc370759768"/>
      <w:bookmarkStart w:id="21" w:name="_Toc374557777"/>
      <w:r w:rsidRPr="00A81F9F">
        <w:t>По Разделу 9. Предложения по развитию электрических сетей напряжением 220-750 кВ по энергосистеме Московской области и г. Москвы на период 201</w:t>
      </w:r>
      <w:r w:rsidR="00A15FB0">
        <w:t>3</w:t>
      </w:r>
      <w:r w:rsidRPr="00A81F9F">
        <w:t>-201</w:t>
      </w:r>
      <w:r w:rsidR="00A15FB0">
        <w:t>9</w:t>
      </w:r>
      <w:r w:rsidRPr="00A81F9F">
        <w:t xml:space="preserve"> гг. </w:t>
      </w:r>
      <w:bookmarkEnd w:id="20"/>
      <w:bookmarkEnd w:id="21"/>
    </w:p>
    <w:p w:rsidR="00506A53" w:rsidRPr="00A81F9F" w:rsidRDefault="00506A53" w:rsidP="00506A53">
      <w:pPr>
        <w:ind w:firstLine="567"/>
        <w:jc w:val="both"/>
      </w:pPr>
    </w:p>
    <w:p w:rsidR="00506A53" w:rsidRPr="00A81F9F" w:rsidRDefault="00506A53" w:rsidP="00506A53">
      <w:pPr>
        <w:ind w:firstLine="567"/>
        <w:jc w:val="both"/>
      </w:pPr>
      <w:r w:rsidRPr="00A81F9F">
        <w:t>1. Отсутствуют обоснования среднегодового темпа роста электропотребления на период 201</w:t>
      </w:r>
      <w:r>
        <w:t>3</w:t>
      </w:r>
      <w:r w:rsidRPr="00A81F9F">
        <w:t xml:space="preserve"> – 201</w:t>
      </w:r>
      <w:r>
        <w:t>9</w:t>
      </w:r>
      <w:r w:rsidRPr="00A81F9F">
        <w:t xml:space="preserve">гг. Принятые значение среднегодового темпа роста электропотребления для базового варианта – 2,73% и регионального варианта -3,55% никак не связаны с прогнозируемыми среднегодовыми темпами роста ВРП Москвы </w:t>
      </w:r>
      <w:r w:rsidR="00F24EB2">
        <w:t>–</w:t>
      </w:r>
      <w:r w:rsidRPr="00A81F9F">
        <w:t xml:space="preserve"> </w:t>
      </w:r>
      <w:r w:rsidR="00F24EB2">
        <w:t>2,5-3% и Московской области – 3-4%</w:t>
      </w:r>
      <w:r w:rsidRPr="00A81F9F">
        <w:t xml:space="preserve">. </w:t>
      </w:r>
      <w:r w:rsidR="0021795B">
        <w:t>Соответственно</w:t>
      </w:r>
      <w:r w:rsidRPr="00A81F9F">
        <w:t xml:space="preserve">, среднегодовой темп роста ВРП Московского региона будет равняться </w:t>
      </w:r>
      <w:r w:rsidR="0021795B">
        <w:t>2,5-3,1</w:t>
      </w:r>
      <w:r w:rsidRPr="00A81F9F">
        <w:t xml:space="preserve">%. В </w:t>
      </w:r>
      <w:r w:rsidR="00443E54">
        <w:t xml:space="preserve">предшествующий </w:t>
      </w:r>
      <w:r w:rsidRPr="00A81F9F">
        <w:t xml:space="preserve">период </w:t>
      </w:r>
      <w:r w:rsidR="00443E54">
        <w:t>роста ВРП Московского региона (</w:t>
      </w:r>
      <w:r w:rsidRPr="00A81F9F">
        <w:t>199</w:t>
      </w:r>
      <w:r w:rsidR="0021795B">
        <w:t>7</w:t>
      </w:r>
      <w:r w:rsidR="00443E54">
        <w:t>; 1999</w:t>
      </w:r>
      <w:r w:rsidRPr="00A81F9F">
        <w:t>-2008</w:t>
      </w:r>
      <w:r w:rsidR="00443E54">
        <w:t xml:space="preserve"> и 2010-2012</w:t>
      </w:r>
      <w:r w:rsidRPr="00A81F9F">
        <w:t>гг.</w:t>
      </w:r>
      <w:r w:rsidR="00443E54">
        <w:t>)</w:t>
      </w:r>
      <w:r w:rsidRPr="00A81F9F">
        <w:t xml:space="preserve"> среднегодовой темп роста ВРП региона был</w:t>
      </w:r>
      <w:r w:rsidR="00443E54">
        <w:t xml:space="preserve"> в 2 раза </w:t>
      </w:r>
      <w:r w:rsidRPr="00A81F9F">
        <w:t xml:space="preserve">выше и </w:t>
      </w:r>
      <w:r w:rsidR="00DA555B">
        <w:t>равнялся</w:t>
      </w:r>
      <w:r w:rsidRPr="00A81F9F">
        <w:t xml:space="preserve"> </w:t>
      </w:r>
      <w:r w:rsidR="00443E54">
        <w:t>7,9</w:t>
      </w:r>
      <w:r w:rsidRPr="00A81F9F">
        <w:t xml:space="preserve">%. При этом среднегодовой темп электропотребления равнялся </w:t>
      </w:r>
      <w:r w:rsidR="00DA555B">
        <w:t>3,6</w:t>
      </w:r>
      <w:r w:rsidRPr="00A81F9F">
        <w:t>%.</w:t>
      </w:r>
    </w:p>
    <w:p w:rsidR="00506A53" w:rsidRPr="00A81F9F" w:rsidRDefault="00506A53" w:rsidP="00506A53">
      <w:pPr>
        <w:ind w:firstLine="567"/>
        <w:jc w:val="both"/>
      </w:pPr>
      <w:r w:rsidRPr="00A81F9F">
        <w:t>2. В Московском регионе в период роста ВРП (</w:t>
      </w:r>
      <w:r w:rsidR="00DA555B">
        <w:t>1997, 1999</w:t>
      </w:r>
      <w:r w:rsidRPr="00A81F9F">
        <w:t>–2008</w:t>
      </w:r>
      <w:r w:rsidR="00DA555B">
        <w:t xml:space="preserve"> и 2010-2012</w:t>
      </w:r>
      <w:r w:rsidR="00A509C7">
        <w:t xml:space="preserve"> </w:t>
      </w:r>
      <w:r w:rsidRPr="00A81F9F">
        <w:t xml:space="preserve">гг.) </w:t>
      </w:r>
      <w:r w:rsidR="00DA555B">
        <w:t xml:space="preserve">среднегодовой </w:t>
      </w:r>
      <w:r w:rsidRPr="00A81F9F">
        <w:t>коэффициент эластичности электропотребления к ВРП региона равнялся 0,</w:t>
      </w:r>
      <w:r w:rsidR="00DA555B">
        <w:t>51</w:t>
      </w:r>
      <w:r w:rsidRPr="00A81F9F">
        <w:t>. Это значит, чт</w:t>
      </w:r>
      <w:r w:rsidR="00DA555B">
        <w:t xml:space="preserve">о на 1% роста ВРП </w:t>
      </w:r>
      <w:r w:rsidR="00A509C7">
        <w:t xml:space="preserve">в регионе </w:t>
      </w:r>
      <w:r w:rsidR="00DA555B">
        <w:t>приходится 0,51</w:t>
      </w:r>
      <w:r w:rsidRPr="00A81F9F">
        <w:t xml:space="preserve">% роста электропотребления. В период </w:t>
      </w:r>
      <w:r w:rsidR="00A15FB0">
        <w:t>2013-2019 гг.</w:t>
      </w:r>
      <w:r w:rsidR="00A509C7">
        <w:t xml:space="preserve"> </w:t>
      </w:r>
      <w:r w:rsidRPr="00A81F9F">
        <w:t>коэффициент эластичности</w:t>
      </w:r>
      <w:r w:rsidR="00B8448F">
        <w:t xml:space="preserve"> принимается равным </w:t>
      </w:r>
      <w:r w:rsidR="00A15FB0">
        <w:t>0,51</w:t>
      </w:r>
      <w:r w:rsidR="0021730C">
        <w:t xml:space="preserve"> </w:t>
      </w:r>
      <w:r w:rsidR="00B8448F">
        <w:t>(</w:t>
      </w:r>
      <w:r w:rsidR="0021730C">
        <w:t>оценка сверху</w:t>
      </w:r>
      <w:r w:rsidR="00B8448F">
        <w:t>)</w:t>
      </w:r>
      <w:r w:rsidR="00974F51">
        <w:t>, т</w:t>
      </w:r>
      <w:r w:rsidR="00B8448F">
        <w:t xml:space="preserve">.к. </w:t>
      </w:r>
      <w:r w:rsidR="00974F51">
        <w:t>эта величина</w:t>
      </w:r>
      <w:r w:rsidR="0021730C">
        <w:t xml:space="preserve"> </w:t>
      </w:r>
      <w:r w:rsidR="00B8448F">
        <w:t>будет</w:t>
      </w:r>
      <w:r w:rsidRPr="00A81F9F">
        <w:t xml:space="preserve"> только уменьшаться</w:t>
      </w:r>
      <w:r w:rsidR="00974F51">
        <w:t xml:space="preserve"> </w:t>
      </w:r>
      <w:r w:rsidR="00A509C7">
        <w:t>из-за энерго- и электросбережения и изменения структуры экономики региона в строну снижения ее электроемкости</w:t>
      </w:r>
      <w:r w:rsidRPr="00A81F9F">
        <w:t>. Тогда, в период 201</w:t>
      </w:r>
      <w:r w:rsidR="00A15FB0">
        <w:t>3</w:t>
      </w:r>
      <w:r w:rsidRPr="00A81F9F">
        <w:t>-201</w:t>
      </w:r>
      <w:r w:rsidR="00A15FB0">
        <w:t>9</w:t>
      </w:r>
      <w:r w:rsidRPr="00A81F9F">
        <w:t xml:space="preserve"> гг.</w:t>
      </w:r>
      <w:r w:rsidR="00974F51">
        <w:t>,</w:t>
      </w:r>
      <w:r w:rsidRPr="00A81F9F">
        <w:t xml:space="preserve"> </w:t>
      </w:r>
      <w:r w:rsidR="008022B7">
        <w:t>исходя из</w:t>
      </w:r>
      <w:r w:rsidRPr="00A81F9F">
        <w:t xml:space="preserve"> прогноза среднегодового темпа роста ВРП</w:t>
      </w:r>
      <w:r w:rsidR="008022B7">
        <w:t xml:space="preserve"> в Московском регионе</w:t>
      </w:r>
      <w:r w:rsidR="00974F51">
        <w:t xml:space="preserve"> – 2,5-3,1%</w:t>
      </w:r>
      <w:r w:rsidRPr="00A81F9F">
        <w:t>, среднегодовой темп роста электропотребления  будет находиться в диапазоне 1,</w:t>
      </w:r>
      <w:r w:rsidR="008022B7">
        <w:t>3-1,6</w:t>
      </w:r>
      <w:r w:rsidRPr="00A81F9F">
        <w:t>%, (оценка сверху).</w:t>
      </w:r>
    </w:p>
    <w:p w:rsidR="00506A53" w:rsidRPr="00A81F9F" w:rsidRDefault="00506A53" w:rsidP="00506A53">
      <w:pPr>
        <w:ind w:firstLine="567"/>
        <w:jc w:val="both"/>
      </w:pPr>
      <w:r w:rsidRPr="00A81F9F">
        <w:t>3. Все основные показатели, принятые в прогнозе Минэнерго</w:t>
      </w:r>
      <w:r w:rsidR="008022B7">
        <w:t xml:space="preserve"> 2013</w:t>
      </w:r>
      <w:r>
        <w:t>,</w:t>
      </w:r>
      <w:r w:rsidRPr="00A81F9F">
        <w:t xml:space="preserve"> существенно завышены: электропотребление</w:t>
      </w:r>
      <w:r>
        <w:t xml:space="preserve"> -</w:t>
      </w:r>
      <w:r w:rsidRPr="00A81F9F">
        <w:t xml:space="preserve"> минимум на </w:t>
      </w:r>
      <w:r w:rsidR="003732AD">
        <w:t>13,3</w:t>
      </w:r>
      <w:r w:rsidRPr="00A81F9F">
        <w:t xml:space="preserve"> млрд. кВт.ч, максимум электрической нагрузки - на </w:t>
      </w:r>
      <w:r w:rsidR="003732AD">
        <w:t>2,5</w:t>
      </w:r>
      <w:r w:rsidRPr="00A81F9F">
        <w:t xml:space="preserve"> ГВТ к 201</w:t>
      </w:r>
      <w:r>
        <w:t>9</w:t>
      </w:r>
      <w:r w:rsidRPr="00A81F9F">
        <w:t xml:space="preserve"> г. Соответственно, завышен объем ввода новых генерирующих мощностей, высоковольтных линий и трансформаторных мощностей для Московского региона.  </w:t>
      </w:r>
    </w:p>
    <w:p w:rsidR="00506A53" w:rsidRPr="00A81F9F" w:rsidRDefault="00506A53" w:rsidP="00506A53">
      <w:pPr>
        <w:ind w:firstLine="709"/>
        <w:jc w:val="both"/>
      </w:pPr>
      <w:r w:rsidRPr="00A81F9F">
        <w:t xml:space="preserve">4. Неверно выполнена </w:t>
      </w:r>
      <w:r w:rsidRPr="00A81F9F">
        <w:rPr>
          <w:bCs/>
        </w:rPr>
        <w:t>экспертная оценка перспективного спроса на электрическую энергию и уровня потребления мощности по г. Москве</w:t>
      </w:r>
      <w:r w:rsidRPr="00A81F9F">
        <w:t xml:space="preserve"> в разделе электроснабжения новых потребителей в зоне расширения Москвы</w:t>
      </w:r>
      <w:r w:rsidRPr="00A81F9F">
        <w:rPr>
          <w:bCs/>
        </w:rPr>
        <w:t xml:space="preserve">. Анализ </w:t>
      </w:r>
      <w:r w:rsidRPr="00A81F9F">
        <w:t>потенциального объема рынка потребителей, объема инвестиций по годам для обеспечения строительства на новой территории и потенциальные возможности строительного комплекса Московского региона показали, что реальный спрос на электроэнергию будет не 20 млрд.</w:t>
      </w:r>
      <w:r>
        <w:t xml:space="preserve"> кВт.ч</w:t>
      </w:r>
      <w:r w:rsidRPr="00A81F9F">
        <w:t xml:space="preserve"> до </w:t>
      </w:r>
      <w:smartTag w:uri="urn:schemas-microsoft-com:office:smarttags" w:element="metricconverter">
        <w:smartTagPr>
          <w:attr w:name="ProductID" w:val="2020 г"/>
        </w:smartTagPr>
        <w:r w:rsidRPr="00A81F9F">
          <w:t>2020 г</w:t>
        </w:r>
      </w:smartTag>
      <w:r w:rsidRPr="00A81F9F">
        <w:t xml:space="preserve">., а всего 1,5 млрд. кВт.ч. Эта величина вполне укладывается в разброс между </w:t>
      </w:r>
      <w:r w:rsidR="003732AD">
        <w:t>наиболее вероятными</w:t>
      </w:r>
      <w:r w:rsidRPr="00A81F9F">
        <w:t xml:space="preserve"> сценариями электропотребления</w:t>
      </w:r>
      <w:r w:rsidR="003732AD">
        <w:t>, предложенными в настоящем анализе.</w:t>
      </w:r>
    </w:p>
    <w:p w:rsidR="00506A53" w:rsidRPr="00A81F9F" w:rsidRDefault="00506A53" w:rsidP="00506A53">
      <w:pPr>
        <w:jc w:val="both"/>
      </w:pPr>
    </w:p>
    <w:p w:rsidR="00506A53" w:rsidRPr="00A81F9F" w:rsidRDefault="00506A53" w:rsidP="00212929">
      <w:pPr>
        <w:pStyle w:val="2"/>
      </w:pPr>
      <w:bookmarkStart w:id="22" w:name="_Toc370759769"/>
      <w:bookmarkStart w:id="23" w:name="_Toc374557778"/>
      <w:r w:rsidRPr="00A81F9F">
        <w:t>По Разделу 10. Оценка необходимых объемов капитальных вложений в сооружение электростанций и электросетевых объектов напряжением 220 кВ и выше на 201</w:t>
      </w:r>
      <w:r>
        <w:t>3</w:t>
      </w:r>
      <w:r w:rsidRPr="00A81F9F">
        <w:t>-201</w:t>
      </w:r>
      <w:r>
        <w:t>9</w:t>
      </w:r>
      <w:r w:rsidRPr="00A81F9F">
        <w:t xml:space="preserve"> гг.</w:t>
      </w:r>
      <w:bookmarkEnd w:id="22"/>
      <w:bookmarkEnd w:id="23"/>
      <w:r w:rsidRPr="00A81F9F">
        <w:t xml:space="preserve"> </w:t>
      </w:r>
    </w:p>
    <w:p w:rsidR="00506A53" w:rsidRPr="00A81F9F" w:rsidRDefault="00506A53" w:rsidP="00506A53">
      <w:pPr>
        <w:ind w:firstLine="567"/>
        <w:jc w:val="both"/>
      </w:pPr>
    </w:p>
    <w:p w:rsidR="00506A53" w:rsidRDefault="00506A53" w:rsidP="00506A53">
      <w:pPr>
        <w:ind w:firstLine="567"/>
        <w:jc w:val="both"/>
      </w:pPr>
      <w:r w:rsidRPr="00A81F9F">
        <w:t>Суммарные капитальные вложения в электроэнергетику России в период 201</w:t>
      </w:r>
      <w:r>
        <w:t>3</w:t>
      </w:r>
      <w:r w:rsidRPr="00A81F9F">
        <w:t xml:space="preserve"> – 201</w:t>
      </w:r>
      <w:r>
        <w:t>9</w:t>
      </w:r>
      <w:r w:rsidRPr="00A81F9F">
        <w:t xml:space="preserve">гг., равные </w:t>
      </w:r>
      <w:r>
        <w:t>3,35 трлн.</w:t>
      </w:r>
      <w:r w:rsidRPr="00A81F9F">
        <w:t xml:space="preserve"> руб., в т.ч. по генерирующим объектам – </w:t>
      </w:r>
      <w:r>
        <w:t>1,77</w:t>
      </w:r>
      <w:r w:rsidRPr="00A81F9F">
        <w:t xml:space="preserve"> трлн. руб., электрическим сетям 220 кВ и выше -</w:t>
      </w:r>
      <w:r>
        <w:t xml:space="preserve"> </w:t>
      </w:r>
      <w:r w:rsidRPr="00A81F9F">
        <w:t>1,</w:t>
      </w:r>
      <w:r>
        <w:t>59</w:t>
      </w:r>
      <w:r w:rsidRPr="00A81F9F">
        <w:t xml:space="preserve"> трлн. руб.,  по прогнозу Минэнерго 201</w:t>
      </w:r>
      <w:r>
        <w:t>3</w:t>
      </w:r>
      <w:r w:rsidRPr="00A81F9F">
        <w:t xml:space="preserve">г, должны быть сокращены на </w:t>
      </w:r>
      <w:r>
        <w:t>30</w:t>
      </w:r>
      <w:r w:rsidRPr="00A81F9F">
        <w:t>% до 2,</w:t>
      </w:r>
      <w:r>
        <w:t>35</w:t>
      </w:r>
      <w:r w:rsidRPr="00A81F9F">
        <w:t xml:space="preserve"> трлн. руб.</w:t>
      </w:r>
      <w:r>
        <w:t xml:space="preserve"> (на 1 трлн. руб. или в среднем на 143 млрд. руб. в год)</w:t>
      </w:r>
      <w:r w:rsidRPr="00A81F9F">
        <w:t>, в т.ч. по генерирующим мощностям до 1,</w:t>
      </w:r>
      <w:r>
        <w:t>2</w:t>
      </w:r>
      <w:r w:rsidRPr="00A81F9F">
        <w:t xml:space="preserve"> трлн. руб. и по сетям до 1,1 трлн. руб. </w:t>
      </w:r>
    </w:p>
    <w:p w:rsidR="009478DB" w:rsidRPr="00A81F9F" w:rsidRDefault="00B22F4A" w:rsidP="008B1D2F">
      <w:pPr>
        <w:pStyle w:val="1"/>
      </w:pPr>
      <w:r>
        <w:br w:type="page"/>
      </w:r>
      <w:bookmarkStart w:id="24" w:name="_Toc370759770"/>
      <w:bookmarkStart w:id="25" w:name="_Toc374557779"/>
      <w:r w:rsidR="009478DB" w:rsidRPr="00A81F9F">
        <w:t xml:space="preserve">Часть  </w:t>
      </w:r>
      <w:r w:rsidR="009478DB" w:rsidRPr="00A81F9F">
        <w:rPr>
          <w:lang w:val="en-US"/>
        </w:rPr>
        <w:t>ii</w:t>
      </w:r>
      <w:r w:rsidR="009478DB" w:rsidRPr="00A81F9F">
        <w:t>. Обоснования замечаний к «Схеме и программе р</w:t>
      </w:r>
      <w:r w:rsidR="001F1E9E">
        <w:t>азвития ЕЭС России в период 2013-2019</w:t>
      </w:r>
      <w:r w:rsidR="00F80151">
        <w:t xml:space="preserve"> гг.», Минэнерго, 2013</w:t>
      </w:r>
      <w:r w:rsidR="009478DB" w:rsidRPr="00A81F9F">
        <w:t xml:space="preserve"> г.</w:t>
      </w:r>
      <w:bookmarkEnd w:id="24"/>
      <w:bookmarkEnd w:id="25"/>
    </w:p>
    <w:p w:rsidR="009478DB" w:rsidRPr="00A81F9F" w:rsidRDefault="009478DB" w:rsidP="00212929">
      <w:pPr>
        <w:pStyle w:val="2"/>
      </w:pPr>
      <w:bookmarkStart w:id="26" w:name="_Toc370759771"/>
      <w:bookmarkStart w:id="27" w:name="_Toc374557780"/>
      <w:r w:rsidRPr="00A81F9F">
        <w:t xml:space="preserve">По Разделу 2. Прогноз </w:t>
      </w:r>
      <w:r w:rsidR="00303CDC">
        <w:t>электропотребления в РФ и в</w:t>
      </w:r>
      <w:r w:rsidRPr="00A81F9F">
        <w:t xml:space="preserve"> ЕЭС России и </w:t>
      </w:r>
      <w:r w:rsidR="00303CDC">
        <w:t xml:space="preserve">ряда </w:t>
      </w:r>
      <w:r w:rsidRPr="00A81F9F">
        <w:t>территори</w:t>
      </w:r>
      <w:r w:rsidR="00303CDC">
        <w:t>й</w:t>
      </w:r>
      <w:r w:rsidRPr="00A81F9F">
        <w:t xml:space="preserve"> субъектов Российской Федера</w:t>
      </w:r>
      <w:r w:rsidR="00F80151">
        <w:t>ции на 2013-2019</w:t>
      </w:r>
      <w:r w:rsidRPr="00A81F9F">
        <w:t xml:space="preserve"> гг.</w:t>
      </w:r>
      <w:bookmarkEnd w:id="26"/>
      <w:bookmarkEnd w:id="27"/>
    </w:p>
    <w:p w:rsidR="009478DB" w:rsidRPr="00A81F9F" w:rsidRDefault="009478DB" w:rsidP="00EE1A61">
      <w:pPr>
        <w:ind w:firstLine="709"/>
        <w:jc w:val="both"/>
      </w:pPr>
    </w:p>
    <w:p w:rsidR="000B5BF0" w:rsidRPr="00AC1FD8" w:rsidRDefault="000B5BF0" w:rsidP="005304F6">
      <w:pPr>
        <w:pStyle w:val="3"/>
      </w:pPr>
      <w:bookmarkStart w:id="28" w:name="_Toc370759772"/>
      <w:bookmarkStart w:id="29" w:name="_Toc374557781"/>
      <w:r w:rsidRPr="00AC1FD8">
        <w:t>2.1. Анализ прогноза электропотребления в России и в ЕЭС России в период 2008-2020 с перспективой до 2030 года, по различным материалам Минэнерго</w:t>
      </w:r>
      <w:r w:rsidR="00AC1FD8" w:rsidRPr="00AC1FD8">
        <w:t xml:space="preserve"> РФ</w:t>
      </w:r>
      <w:r w:rsidRPr="00AC1FD8">
        <w:t>.</w:t>
      </w:r>
      <w:bookmarkEnd w:id="28"/>
      <w:bookmarkEnd w:id="29"/>
    </w:p>
    <w:p w:rsidR="000B5BF0" w:rsidRDefault="000B5BF0" w:rsidP="00EE1A61">
      <w:pPr>
        <w:ind w:firstLine="709"/>
        <w:jc w:val="both"/>
      </w:pPr>
    </w:p>
    <w:p w:rsidR="009478DB" w:rsidRPr="00A81F9F" w:rsidRDefault="009478DB" w:rsidP="00EE1A61">
      <w:pPr>
        <w:ind w:firstLine="709"/>
        <w:jc w:val="both"/>
      </w:pPr>
      <w:r w:rsidRPr="00A81F9F">
        <w:t>Разработка Схемы и программы развития ЕЭС России, определяющим образом, зависит от принятого среднегодового темпа роста энергопотребления. В рассматриваемых м</w:t>
      </w:r>
      <w:r w:rsidR="00F80151">
        <w:t>атериалах (Минэнерго</w:t>
      </w:r>
      <w:r w:rsidR="005659C1">
        <w:t>,</w:t>
      </w:r>
      <w:r w:rsidR="00F80151">
        <w:t xml:space="preserve"> версия 2013 г.) в период 2013 – 2019 </w:t>
      </w:r>
      <w:r w:rsidRPr="00A81F9F">
        <w:t xml:space="preserve">гг. принято </w:t>
      </w:r>
      <w:r w:rsidR="005659C1">
        <w:rPr>
          <w:rStyle w:val="af5"/>
          <w:rFonts w:eastAsia="Calibri"/>
          <w:sz w:val="30"/>
        </w:rPr>
        <w:t>1,21</w:t>
      </w:r>
      <w:r w:rsidRPr="00A81F9F">
        <w:rPr>
          <w:rStyle w:val="af5"/>
          <w:rFonts w:eastAsia="Calibri"/>
          <w:sz w:val="30"/>
        </w:rPr>
        <w:t xml:space="preserve"> – </w:t>
      </w:r>
      <w:r w:rsidR="005659C1">
        <w:rPr>
          <w:rStyle w:val="af5"/>
          <w:rFonts w:eastAsia="Calibri"/>
          <w:sz w:val="30"/>
        </w:rPr>
        <w:t>2,27</w:t>
      </w:r>
      <w:r w:rsidRPr="00A81F9F">
        <w:rPr>
          <w:rStyle w:val="af5"/>
          <w:rFonts w:eastAsia="Calibri"/>
          <w:sz w:val="30"/>
        </w:rPr>
        <w:t>%,</w:t>
      </w:r>
      <w:r w:rsidRPr="00A81F9F">
        <w:t xml:space="preserve"> </w:t>
      </w:r>
      <w:r w:rsidR="001D5F6B">
        <w:t>и</w:t>
      </w:r>
      <w:r w:rsidRPr="00A81F9F">
        <w:t xml:space="preserve"> в среднем – </w:t>
      </w:r>
      <w:r w:rsidR="005659C1">
        <w:rPr>
          <w:rStyle w:val="af5"/>
          <w:rFonts w:eastAsia="Calibri"/>
          <w:sz w:val="30"/>
        </w:rPr>
        <w:t>1,82</w:t>
      </w:r>
      <w:r w:rsidRPr="00A81F9F">
        <w:rPr>
          <w:rStyle w:val="af5"/>
          <w:rFonts w:eastAsia="Calibri"/>
          <w:sz w:val="30"/>
        </w:rPr>
        <w:t>%</w:t>
      </w:r>
      <w:r>
        <w:rPr>
          <w:rStyle w:val="af5"/>
          <w:rFonts w:eastAsia="Calibri"/>
          <w:sz w:val="30"/>
        </w:rPr>
        <w:t>,</w:t>
      </w:r>
      <w:r w:rsidRPr="00A81F9F">
        <w:t xml:space="preserve"> </w:t>
      </w:r>
      <w:r w:rsidR="005659C1">
        <w:t>в предыдущих версиях</w:t>
      </w:r>
      <w:r w:rsidR="00D465BD">
        <w:t>:</w:t>
      </w:r>
      <w:r w:rsidRPr="00A81F9F">
        <w:t xml:space="preserve"> Минэнерго 2011г.</w:t>
      </w:r>
      <w:r w:rsidR="005659C1">
        <w:t xml:space="preserve"> </w:t>
      </w:r>
      <w:r w:rsidRPr="00A81F9F">
        <w:t xml:space="preserve">в период 2011 – 2017 гг. принимался темп роста электропотребления в диапазоне </w:t>
      </w:r>
      <w:r w:rsidRPr="00A81F9F">
        <w:rPr>
          <w:rStyle w:val="af5"/>
          <w:rFonts w:eastAsia="Calibri"/>
          <w:sz w:val="30"/>
        </w:rPr>
        <w:t>2,1 – 3,5%,</w:t>
      </w:r>
      <w:r w:rsidR="001D5F6B">
        <w:t xml:space="preserve"> и</w:t>
      </w:r>
      <w:r w:rsidRPr="00A81F9F">
        <w:t xml:space="preserve"> в среднем </w:t>
      </w:r>
      <w:r w:rsidRPr="00A81F9F">
        <w:rPr>
          <w:rStyle w:val="af5"/>
          <w:rFonts w:eastAsia="Calibri"/>
          <w:sz w:val="30"/>
        </w:rPr>
        <w:t>2,6%</w:t>
      </w:r>
      <w:r w:rsidRPr="00A81F9F">
        <w:t xml:space="preserve"> в год</w:t>
      </w:r>
      <w:r w:rsidR="005659C1">
        <w:t xml:space="preserve">, а в Минэнерго 2012 – в период 2012-2018 гг. принято </w:t>
      </w:r>
      <w:r w:rsidR="005659C1" w:rsidRPr="00D465BD">
        <w:rPr>
          <w:rStyle w:val="af5"/>
          <w:rFonts w:eastAsia="Calibri"/>
          <w:sz w:val="30"/>
        </w:rPr>
        <w:t>2,14-2,95</w:t>
      </w:r>
      <w:r w:rsidR="00D465BD" w:rsidRPr="00D465BD">
        <w:rPr>
          <w:rStyle w:val="af5"/>
          <w:rFonts w:eastAsia="Calibri"/>
          <w:sz w:val="30"/>
        </w:rPr>
        <w:t>%</w:t>
      </w:r>
      <w:r w:rsidR="005659C1" w:rsidRPr="00D465BD">
        <w:rPr>
          <w:rStyle w:val="af5"/>
          <w:rFonts w:eastAsia="Calibri"/>
          <w:sz w:val="30"/>
        </w:rPr>
        <w:t>,</w:t>
      </w:r>
      <w:r w:rsidR="005659C1" w:rsidRPr="00D465BD">
        <w:t xml:space="preserve"> </w:t>
      </w:r>
      <w:r w:rsidR="001D5F6B">
        <w:t>и</w:t>
      </w:r>
      <w:r w:rsidR="005659C1">
        <w:t xml:space="preserve"> в среднем </w:t>
      </w:r>
      <w:r w:rsidR="005659C1" w:rsidRPr="00D465BD">
        <w:rPr>
          <w:b/>
          <w:sz w:val="28"/>
        </w:rPr>
        <w:t>2,33%.</w:t>
      </w:r>
      <w:r w:rsidRPr="00D465BD">
        <w:rPr>
          <w:sz w:val="28"/>
        </w:rPr>
        <w:t xml:space="preserve"> </w:t>
      </w:r>
      <w:r>
        <w:t>В Генеральной схеме размещения объектов электроэнергетики до 2020г. (РАО «ЕЭС», А.Б. Чубайс, и «Росатом», С.В. Кириенко), одобренной Правительством РФ в 2008г, принимался среднегодовой темп роста электропотребления в диапазоне 4,1 – 5,2%.</w:t>
      </w:r>
      <w:r w:rsidRPr="00A81F9F">
        <w:t xml:space="preserve"> А в Энергетическ</w:t>
      </w:r>
      <w:r>
        <w:t xml:space="preserve">ой стратегии России до 2030г., </w:t>
      </w:r>
      <w:r w:rsidRPr="00A81F9F">
        <w:t xml:space="preserve">одобренной Правительством РФ в </w:t>
      </w:r>
      <w:smartTag w:uri="urn:schemas-microsoft-com:office:smarttags" w:element="metricconverter">
        <w:smartTagPr>
          <w:attr w:name="ProductID" w:val="2009 г"/>
        </w:smartTagPr>
        <w:r w:rsidRPr="00A81F9F">
          <w:t>2009 г</w:t>
        </w:r>
      </w:smartTag>
      <w:r>
        <w:t>.</w:t>
      </w:r>
      <w:r w:rsidRPr="00A81F9F">
        <w:t xml:space="preserve">, в период 2010-2015гг. для варианта с пониженным уровнем электропотребления этот темп принимался в среднем  </w:t>
      </w:r>
      <w:r w:rsidRPr="00A81F9F">
        <w:rPr>
          <w:rStyle w:val="af5"/>
          <w:rFonts w:eastAsia="Calibri"/>
          <w:sz w:val="30"/>
        </w:rPr>
        <w:t>2,4%</w:t>
      </w:r>
      <w:r w:rsidRPr="00A81F9F">
        <w:t xml:space="preserve"> в год, а в период 2016-2020 гг. – </w:t>
      </w:r>
      <w:r w:rsidRPr="00A81F9F">
        <w:rPr>
          <w:rStyle w:val="af5"/>
          <w:rFonts w:eastAsia="Calibri"/>
          <w:sz w:val="30"/>
        </w:rPr>
        <w:t>3,4%,</w:t>
      </w:r>
      <w:r w:rsidRPr="00A81F9F">
        <w:t xml:space="preserve"> а в других вариантах этот темп принимался еще выше – </w:t>
      </w:r>
      <w:r w:rsidRPr="00A81F9F">
        <w:rPr>
          <w:rStyle w:val="af5"/>
          <w:rFonts w:eastAsia="Calibri"/>
          <w:sz w:val="30"/>
        </w:rPr>
        <w:t>3,8-5,2%</w:t>
      </w:r>
      <w:r w:rsidRPr="00A81F9F">
        <w:t xml:space="preserve"> в год. </w:t>
      </w:r>
    </w:p>
    <w:p w:rsidR="009478DB" w:rsidRDefault="009478DB" w:rsidP="00EE1A61">
      <w:pPr>
        <w:jc w:val="both"/>
        <w:rPr>
          <w:noProof/>
        </w:rPr>
      </w:pPr>
    </w:p>
    <w:p w:rsidR="009478DB" w:rsidRPr="00E9089C" w:rsidRDefault="007C1ADE" w:rsidP="00CE562B">
      <w:pPr>
        <w:ind w:left="-360"/>
        <w:jc w:val="center"/>
        <w:rPr>
          <w:noProof/>
        </w:rPr>
      </w:pPr>
      <w:r>
        <w:rPr>
          <w:noProof/>
        </w:rPr>
        <w:drawing>
          <wp:inline distT="0" distB="0" distL="0" distR="0">
            <wp:extent cx="5457825" cy="3895725"/>
            <wp:effectExtent l="19050" t="19050" r="28575" b="28575"/>
            <wp:docPr id="1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31897" t="27814" r="15630" b="25507"/>
                    <a:stretch>
                      <a:fillRect/>
                    </a:stretch>
                  </pic:blipFill>
                  <pic:spPr bwMode="auto">
                    <a:xfrm>
                      <a:off x="0" y="0"/>
                      <a:ext cx="5457825" cy="3895725"/>
                    </a:xfrm>
                    <a:prstGeom prst="rect">
                      <a:avLst/>
                    </a:prstGeom>
                    <a:noFill/>
                    <a:ln w="6350" cmpd="sng">
                      <a:solidFill>
                        <a:srgbClr val="000000"/>
                      </a:solidFill>
                      <a:miter lim="800000"/>
                      <a:headEnd/>
                      <a:tailEnd/>
                    </a:ln>
                    <a:effectLst/>
                  </pic:spPr>
                </pic:pic>
              </a:graphicData>
            </a:graphic>
          </wp:inline>
        </w:drawing>
      </w:r>
    </w:p>
    <w:p w:rsidR="009478DB" w:rsidRPr="00E9089C" w:rsidRDefault="009478DB" w:rsidP="00EE1A61">
      <w:pPr>
        <w:jc w:val="both"/>
      </w:pPr>
    </w:p>
    <w:p w:rsidR="005C0387" w:rsidRDefault="009478DB" w:rsidP="005C0387">
      <w:pPr>
        <w:ind w:firstLine="709"/>
        <w:jc w:val="both"/>
      </w:pPr>
      <w:r w:rsidRPr="00A81F9F">
        <w:t>Рис. 1. Динамика внутреннего электропотребления</w:t>
      </w:r>
      <w:r w:rsidR="00640A9C">
        <w:t xml:space="preserve"> в РФ, млрд. КВт.ч. с</w:t>
      </w:r>
      <w:r w:rsidRPr="00A81F9F">
        <w:t xml:space="preserve"> прогнозом электропотребления до 20</w:t>
      </w:r>
      <w:r>
        <w:t>2</w:t>
      </w:r>
      <w:r w:rsidRPr="00A81F9F">
        <w:t>0г.</w:t>
      </w:r>
      <w:r>
        <w:t xml:space="preserve"> (по данным Генеральной схемы, 2008г.), с прогнозом до 2030г.</w:t>
      </w:r>
      <w:r w:rsidRPr="00A81F9F">
        <w:t xml:space="preserve"> </w:t>
      </w:r>
      <w:r>
        <w:t>(</w:t>
      </w:r>
      <w:r w:rsidRPr="00A81F9F">
        <w:t>по данным</w:t>
      </w:r>
      <w:r>
        <w:t xml:space="preserve"> Энергостратегии РФ, Минэнерго 2009г.), прогноз</w:t>
      </w:r>
      <w:r w:rsidRPr="00A81F9F">
        <w:t xml:space="preserve"> Минэнерго </w:t>
      </w:r>
      <w:smartTag w:uri="urn:schemas-microsoft-com:office:smarttags" w:element="metricconverter">
        <w:smartTagPr>
          <w:attr w:name="ProductID" w:val="2011 г"/>
        </w:smartTagPr>
        <w:r w:rsidRPr="00A81F9F">
          <w:t>2011 г</w:t>
        </w:r>
      </w:smartTag>
      <w:r w:rsidRPr="00A81F9F">
        <w:t>.</w:t>
      </w:r>
      <w:r>
        <w:t xml:space="preserve"> на период 2011 – 2017гг., и прогноз Минэнерго</w:t>
      </w:r>
      <w:r w:rsidRPr="00A81F9F">
        <w:t xml:space="preserve"> </w:t>
      </w:r>
      <w:smartTag w:uri="urn:schemas-microsoft-com:office:smarttags" w:element="metricconverter">
        <w:smartTagPr>
          <w:attr w:name="ProductID" w:val="2012 г"/>
        </w:smartTagPr>
        <w:r w:rsidRPr="00A81F9F">
          <w:t>2012 г</w:t>
        </w:r>
      </w:smartTag>
      <w:r>
        <w:t>., на период 2012 – 2018гг, и прогноз</w:t>
      </w:r>
      <w:r w:rsidRPr="00A81F9F">
        <w:t xml:space="preserve"> </w:t>
      </w:r>
      <w:r w:rsidR="001A6B77">
        <w:t>СПЭ</w:t>
      </w:r>
      <w:r>
        <w:t xml:space="preserve"> 2010г. на период до 2030г.</w:t>
      </w:r>
    </w:p>
    <w:p w:rsidR="00DC68D3" w:rsidRDefault="00DC68D3" w:rsidP="00244E62">
      <w:pPr>
        <w:ind w:firstLine="709"/>
        <w:jc w:val="both"/>
      </w:pPr>
    </w:p>
    <w:p w:rsidR="009478DB" w:rsidRDefault="009478DB" w:rsidP="00244E62">
      <w:pPr>
        <w:ind w:firstLine="709"/>
        <w:jc w:val="both"/>
      </w:pPr>
      <w:r w:rsidRPr="00A81F9F">
        <w:t xml:space="preserve">На рис. 1 представлена динамика внутреннего электропотребления </w:t>
      </w:r>
      <w:r>
        <w:t xml:space="preserve">по данным Генсхемы 2008г., </w:t>
      </w:r>
      <w:r w:rsidRPr="00A81F9F">
        <w:t xml:space="preserve">для различных вариантов прогноза, принятого в Энергетической  стратегии России (2009г.),  и там же представлены прогнозы электропотребления, предлагаемые Минэнерго (версия 2011г. и версия 2012г.) и </w:t>
      </w:r>
      <w:r w:rsidR="00244E62">
        <w:t>СПЭ</w:t>
      </w:r>
      <w:r w:rsidRPr="00A81F9F">
        <w:t xml:space="preserve"> 2012 г.</w:t>
      </w:r>
    </w:p>
    <w:p w:rsidR="009478DB" w:rsidRPr="00A81F9F" w:rsidRDefault="009478DB" w:rsidP="000F1ED4">
      <w:pPr>
        <w:ind w:firstLine="709"/>
        <w:jc w:val="both"/>
      </w:pPr>
      <w:r>
        <w:t xml:space="preserve">Сегодня прогнозы электропотребления, заложенные в Генсхеме 2008г., экспертное сообщество признает чрезвычайно завышенными. Значение электропотребления по различным прогнозам, заложенным в Энергостратегии, </w:t>
      </w:r>
      <w:r w:rsidRPr="00A81F9F">
        <w:t>наход</w:t>
      </w:r>
      <w:r>
        <w:t>ят</w:t>
      </w:r>
      <w:r w:rsidRPr="00A81F9F">
        <w:t xml:space="preserve">ся в очень широком диапазоне от 1270 до 1520 млрд. КВт.ч., а к 2030 году - от 1560 до 2165 млрд. КВтч. Такой широкий диапазон электропотребления (250 млрд. КВт.ч к 2020 году и 605 млрд. КВт.ч. к 2030 году) показывает, что данные прогнозы носят </w:t>
      </w:r>
      <w:r w:rsidRPr="00A81F9F">
        <w:rPr>
          <w:rStyle w:val="af5"/>
          <w:rFonts w:eastAsia="Calibri"/>
          <w:sz w:val="30"/>
        </w:rPr>
        <w:t xml:space="preserve">конъюнктурный </w:t>
      </w:r>
      <w:r w:rsidRPr="00A81F9F">
        <w:t xml:space="preserve">характер, их научное обоснование  </w:t>
      </w:r>
      <w:r w:rsidRPr="00A81F9F">
        <w:rPr>
          <w:rStyle w:val="af5"/>
          <w:rFonts w:eastAsia="Calibri"/>
          <w:sz w:val="30"/>
        </w:rPr>
        <w:t>неудовлетворительно</w:t>
      </w:r>
      <w:r w:rsidRPr="00A81F9F">
        <w:t xml:space="preserve"> и, соответственно, они не могут служить основой для разработки Схемы и программы развития ЕЭС России на сколько-нибудь значительный период времени (более чем на 2 года), не говоря уже о горизонте времени 5-10-15 лет. В результате, </w:t>
      </w:r>
      <w:r>
        <w:t xml:space="preserve">Минэнерго при </w:t>
      </w:r>
      <w:r w:rsidRPr="00A81F9F">
        <w:t>разработ</w:t>
      </w:r>
      <w:r>
        <w:t>ке</w:t>
      </w:r>
      <w:r w:rsidRPr="00A81F9F">
        <w:t xml:space="preserve"> Схемы и программы</w:t>
      </w:r>
      <w:r>
        <w:t xml:space="preserve"> развития ЕЭС (на период 7 лет)</w:t>
      </w:r>
      <w:r w:rsidRPr="00A81F9F">
        <w:t xml:space="preserve"> каждый год</w:t>
      </w:r>
      <w:r>
        <w:t xml:space="preserve"> (2011, 2012, 2013гг.) </w:t>
      </w:r>
      <w:r w:rsidRPr="00A81F9F">
        <w:t>вынужден</w:t>
      </w:r>
      <w:r>
        <w:t>о</w:t>
      </w:r>
      <w:r w:rsidRPr="00A81F9F">
        <w:t xml:space="preserve"> снижать темп роста электропотребления, чтобы как-то учитывать фактические данные по электропотреблению за предшествующий год. </w:t>
      </w:r>
    </w:p>
    <w:p w:rsidR="004A7825" w:rsidRDefault="009478DB" w:rsidP="00EE1A61">
      <w:pPr>
        <w:ind w:firstLine="709"/>
        <w:jc w:val="both"/>
        <w:rPr>
          <w:b/>
          <w:bCs/>
          <w:i/>
          <w:iCs/>
          <w:sz w:val="22"/>
        </w:rPr>
      </w:pPr>
      <w:r w:rsidRPr="00A81F9F">
        <w:t>Все это приводит к тому, что во всех  документах Минэнерго, посвященных развитию электроэнергетической отрасли, основополагающий параметр</w:t>
      </w:r>
      <w:r w:rsidRPr="00A81F9F">
        <w:rPr>
          <w:sz w:val="28"/>
          <w:szCs w:val="28"/>
        </w:rPr>
        <w:t xml:space="preserve"> </w:t>
      </w:r>
      <w:r w:rsidRPr="00A81F9F">
        <w:t>-</w:t>
      </w:r>
      <w:r w:rsidRPr="00A81F9F">
        <w:rPr>
          <w:sz w:val="28"/>
          <w:szCs w:val="28"/>
        </w:rPr>
        <w:t xml:space="preserve"> </w:t>
      </w:r>
      <w:r w:rsidRPr="000F1ED4">
        <w:rPr>
          <w:b/>
          <w:sz w:val="28"/>
          <w:szCs w:val="28"/>
        </w:rPr>
        <w:t>среднегодовой темп</w:t>
      </w:r>
      <w:r w:rsidRPr="00A81F9F">
        <w:rPr>
          <w:sz w:val="28"/>
          <w:szCs w:val="28"/>
        </w:rPr>
        <w:t xml:space="preserve"> роста энергопотребления </w:t>
      </w:r>
      <w:r w:rsidRPr="00A81F9F">
        <w:t xml:space="preserve">постоянно уменьшается в зависимости от года принятия документа. Чем более поздний вариант программы (стратегии) развития  ЕЭС России, тем меньше значение этого темпа. При этом во всех вариантах программы (стратегии) отсутствует какое-либо внятное обоснование, почему  принимается то или иное значение этого параметра, и почему оно уменьшается в зависимости от года принятия документа.  </w:t>
      </w:r>
      <w:r w:rsidR="00AF6B3E">
        <w:t xml:space="preserve">Например, в </w:t>
      </w:r>
      <w:r w:rsidRPr="00A81F9F">
        <w:t xml:space="preserve"> версии Минэнерго</w:t>
      </w:r>
      <w:r>
        <w:t xml:space="preserve"> </w:t>
      </w:r>
      <w:r w:rsidR="00AF6B3E">
        <w:t xml:space="preserve">2013 г. (рецензируемый документ) </w:t>
      </w:r>
      <w:r>
        <w:t xml:space="preserve">среднегодовой темп электропотребления составлял </w:t>
      </w:r>
      <w:r w:rsidR="00AF6B3E" w:rsidRPr="00AF6B3E">
        <w:rPr>
          <w:b/>
        </w:rPr>
        <w:t>1,8</w:t>
      </w:r>
      <w:r w:rsidR="000B5BF0">
        <w:rPr>
          <w:b/>
        </w:rPr>
        <w:t>2</w:t>
      </w:r>
      <w:r w:rsidR="00AF6B3E" w:rsidRPr="00AF6B3E">
        <w:rPr>
          <w:b/>
        </w:rPr>
        <w:t>%,</w:t>
      </w:r>
      <w:r w:rsidR="00AF6B3E">
        <w:t xml:space="preserve"> а в предыдущих версиях: Минэнерго 2011 – </w:t>
      </w:r>
      <w:r w:rsidR="00AF6B3E" w:rsidRPr="00521455">
        <w:rPr>
          <w:b/>
        </w:rPr>
        <w:t>2,6%</w:t>
      </w:r>
      <w:r w:rsidR="00AF6B3E">
        <w:t xml:space="preserve">, </w:t>
      </w:r>
      <w:r>
        <w:t>Минэнерго</w:t>
      </w:r>
      <w:r w:rsidRPr="00A81F9F">
        <w:t xml:space="preserve"> 2012г.</w:t>
      </w:r>
      <w:r w:rsidR="00102AE9">
        <w:t xml:space="preserve"> </w:t>
      </w:r>
      <w:r w:rsidRPr="00A81F9F">
        <w:t xml:space="preserve"> принятое </w:t>
      </w:r>
      <w:r w:rsidR="00AF6B3E">
        <w:t xml:space="preserve"> -</w:t>
      </w:r>
      <w:r w:rsidRPr="00AF6B3E">
        <w:rPr>
          <w:rStyle w:val="af5"/>
          <w:rFonts w:eastAsia="Calibri"/>
          <w:sz w:val="28"/>
        </w:rPr>
        <w:t>2,33%</w:t>
      </w:r>
      <w:r w:rsidRPr="00AF6B3E">
        <w:rPr>
          <w:sz w:val="22"/>
        </w:rPr>
        <w:t xml:space="preserve"> </w:t>
      </w:r>
      <w:r w:rsidRPr="00A81F9F">
        <w:t xml:space="preserve">практически совпадает с фактическим среднегодовым темпом электропотребления – </w:t>
      </w:r>
      <w:r w:rsidRPr="00A81F9F">
        <w:rPr>
          <w:rStyle w:val="af5"/>
          <w:rFonts w:eastAsia="Calibri"/>
          <w:sz w:val="30"/>
        </w:rPr>
        <w:t>2,37%</w:t>
      </w:r>
      <w:r w:rsidRPr="00A81F9F">
        <w:t xml:space="preserve"> в период 1999 – 2008 гг. (</w:t>
      </w:r>
      <w:r w:rsidRPr="006054B6">
        <w:t>см. Приложение 3 Таблица П10)</w:t>
      </w:r>
      <w:r w:rsidR="00D27BF0">
        <w:t xml:space="preserve">. </w:t>
      </w:r>
      <w:r w:rsidRPr="00A81F9F">
        <w:t xml:space="preserve">Следует отметить, что в этот период среднегодовой темп роста ВВП в стране составлял </w:t>
      </w:r>
      <w:r w:rsidRPr="00A81F9F">
        <w:rPr>
          <w:rStyle w:val="af5"/>
          <w:rFonts w:eastAsia="Calibri"/>
          <w:sz w:val="30"/>
        </w:rPr>
        <w:t>6,8%</w:t>
      </w:r>
      <w:r w:rsidRPr="00A81F9F">
        <w:t xml:space="preserve"> (см. Таблица 1), что приблизительно в 2 раза выше, чем сегодня прогнозирует Минэкономразвития на период 2012 – 2018 гг. </w:t>
      </w:r>
      <w:r w:rsidRPr="00A81F9F">
        <w:rPr>
          <w:b/>
          <w:bCs/>
          <w:i/>
          <w:iCs/>
        </w:rPr>
        <w:t>В сценарные условия долгосрочного прогноза социально-экономического развития Ро</w:t>
      </w:r>
      <w:r w:rsidR="005C0387">
        <w:rPr>
          <w:b/>
          <w:bCs/>
          <w:i/>
          <w:iCs/>
        </w:rPr>
        <w:t xml:space="preserve">ссийской Федерации до 2030 года </w:t>
      </w:r>
      <w:r w:rsidRPr="005C0387">
        <w:rPr>
          <w:b/>
          <w:bCs/>
          <w:i/>
          <w:iCs/>
          <w:sz w:val="22"/>
        </w:rPr>
        <w:t>(</w:t>
      </w:r>
      <w:hyperlink r:id="rId10" w:history="1">
        <w:r w:rsidR="005C0387" w:rsidRPr="005C0387">
          <w:rPr>
            <w:rStyle w:val="a4"/>
            <w:b/>
            <w:bCs/>
            <w:i/>
            <w:iCs/>
            <w:sz w:val="22"/>
          </w:rPr>
          <w:t>http://www.economy.gov.ru/minec/activity/sections/macro/prognoz/doc20120428_0010</w:t>
        </w:r>
      </w:hyperlink>
      <w:r w:rsidRPr="005C0387">
        <w:rPr>
          <w:b/>
          <w:bCs/>
          <w:i/>
          <w:iCs/>
          <w:sz w:val="22"/>
        </w:rPr>
        <w:t>)</w:t>
      </w:r>
      <w:r w:rsidR="005C0387" w:rsidRPr="005C0387">
        <w:rPr>
          <w:b/>
          <w:bCs/>
          <w:i/>
          <w:iCs/>
          <w:sz w:val="22"/>
        </w:rPr>
        <w:t xml:space="preserve">. </w:t>
      </w:r>
    </w:p>
    <w:p w:rsidR="009478DB" w:rsidRPr="00A81F9F" w:rsidRDefault="009478DB" w:rsidP="00B569D3">
      <w:pPr>
        <w:pStyle w:val="3"/>
      </w:pPr>
      <w:bookmarkStart w:id="30" w:name="_Toc370759773"/>
      <w:bookmarkStart w:id="31" w:name="_Toc374557782"/>
      <w:r w:rsidRPr="00A81F9F">
        <w:t>2.</w:t>
      </w:r>
      <w:r w:rsidR="00AC1FD8">
        <w:t>2</w:t>
      </w:r>
      <w:r w:rsidRPr="00A81F9F">
        <w:t xml:space="preserve">. </w:t>
      </w:r>
      <w:r w:rsidR="00AC1FD8">
        <w:t xml:space="preserve">Метод прогнозирования </w:t>
      </w:r>
      <w:r w:rsidRPr="00A81F9F">
        <w:t>электропотребления</w:t>
      </w:r>
      <w:r w:rsidR="004779D9">
        <w:t xml:space="preserve"> через эластичность между электропотреблением и ВВП</w:t>
      </w:r>
      <w:r w:rsidR="00AC1FD8">
        <w:t>.</w:t>
      </w:r>
      <w:bookmarkEnd w:id="30"/>
      <w:bookmarkEnd w:id="31"/>
      <w:r w:rsidR="00F508FE">
        <w:t xml:space="preserve"> </w:t>
      </w:r>
    </w:p>
    <w:p w:rsidR="009478DB" w:rsidRPr="004779D9" w:rsidRDefault="009478DB" w:rsidP="00726B9F">
      <w:pPr>
        <w:pStyle w:val="4"/>
        <w:rPr>
          <w:iCs/>
          <w:sz w:val="26"/>
          <w:szCs w:val="26"/>
          <w:shd w:val="clear" w:color="auto" w:fill="FFFFFF"/>
        </w:rPr>
      </w:pPr>
      <w:bookmarkStart w:id="32" w:name="_Toc370759774"/>
      <w:bookmarkStart w:id="33" w:name="_Toc344496535"/>
      <w:r w:rsidRPr="004779D9">
        <w:rPr>
          <w:iCs/>
          <w:sz w:val="26"/>
          <w:szCs w:val="26"/>
          <w:shd w:val="clear" w:color="auto" w:fill="FFFFFF"/>
        </w:rPr>
        <w:t>2.</w:t>
      </w:r>
      <w:r w:rsidR="00AC1FD8" w:rsidRPr="004779D9">
        <w:rPr>
          <w:iCs/>
          <w:sz w:val="26"/>
          <w:szCs w:val="26"/>
          <w:shd w:val="clear" w:color="auto" w:fill="FFFFFF"/>
        </w:rPr>
        <w:t>2</w:t>
      </w:r>
      <w:r w:rsidRPr="004779D9">
        <w:rPr>
          <w:iCs/>
          <w:sz w:val="26"/>
          <w:szCs w:val="26"/>
          <w:shd w:val="clear" w:color="auto" w:fill="FFFFFF"/>
        </w:rPr>
        <w:t>.1. Сопоставление динамики изменения ВВП и электропотребления в России</w:t>
      </w:r>
      <w:bookmarkEnd w:id="32"/>
      <w:r w:rsidRPr="004779D9">
        <w:rPr>
          <w:iCs/>
          <w:sz w:val="26"/>
          <w:szCs w:val="26"/>
          <w:shd w:val="clear" w:color="auto" w:fill="FFFFFF"/>
        </w:rPr>
        <w:t xml:space="preserve"> </w:t>
      </w:r>
      <w:bookmarkEnd w:id="33"/>
    </w:p>
    <w:p w:rsidR="005304F6" w:rsidRDefault="005304F6" w:rsidP="00EE1A61">
      <w:pPr>
        <w:tabs>
          <w:tab w:val="num" w:pos="360"/>
        </w:tabs>
        <w:ind w:firstLine="709"/>
        <w:jc w:val="both"/>
      </w:pPr>
    </w:p>
    <w:p w:rsidR="009478DB" w:rsidRPr="00A81F9F" w:rsidRDefault="009478DB" w:rsidP="00EE1A61">
      <w:pPr>
        <w:tabs>
          <w:tab w:val="num" w:pos="360"/>
        </w:tabs>
        <w:ind w:firstLine="709"/>
        <w:jc w:val="both"/>
      </w:pPr>
      <w:r w:rsidRPr="00A81F9F">
        <w:t xml:space="preserve">На рис. 2 и рис. 3 показана индексы изменения ВВП и производства (потребления) </w:t>
      </w:r>
      <w:r w:rsidR="003101F5">
        <w:t xml:space="preserve">электроэнергии </w:t>
      </w:r>
      <w:r w:rsidRPr="00A81F9F">
        <w:t>в РФ (РСФСР) в 1950—201</w:t>
      </w:r>
      <w:r w:rsidR="003101F5">
        <w:t>2</w:t>
      </w:r>
      <w:r w:rsidRPr="00A81F9F">
        <w:t xml:space="preserve"> гг., отнесенные к </w:t>
      </w:r>
      <w:smartTag w:uri="urn:schemas-microsoft-com:office:smarttags" w:element="metricconverter">
        <w:smartTagPr>
          <w:attr w:name="ProductID" w:val="1950 г"/>
        </w:smartTagPr>
        <w:r w:rsidRPr="00A81F9F">
          <w:t>1950 г</w:t>
        </w:r>
      </w:smartTag>
      <w:r w:rsidRPr="00A81F9F">
        <w:t xml:space="preserve">. Весь этот диапазон можно разделить на пять периодов, в которых соотношение темпов изменения ВВП и темпов потребления (производства) электроэнергии различны. </w:t>
      </w:r>
    </w:p>
    <w:p w:rsidR="009478DB" w:rsidRPr="00A81F9F" w:rsidRDefault="009478DB" w:rsidP="00EE1A61">
      <w:pPr>
        <w:ind w:left="360" w:firstLine="709"/>
        <w:jc w:val="both"/>
        <w:rPr>
          <w:b/>
          <w:sz w:val="22"/>
          <w:szCs w:val="22"/>
        </w:rPr>
      </w:pPr>
    </w:p>
    <w:p w:rsidR="009478DB" w:rsidRPr="00A81F9F" w:rsidRDefault="007C1ADE" w:rsidP="00514310">
      <w:pPr>
        <w:jc w:val="center"/>
        <w:rPr>
          <w:b/>
          <w:sz w:val="22"/>
          <w:szCs w:val="22"/>
          <w:lang w:val="en-US"/>
        </w:rPr>
      </w:pPr>
      <w:r>
        <w:rPr>
          <w:b/>
          <w:noProof/>
          <w:sz w:val="22"/>
          <w:szCs w:val="22"/>
        </w:rPr>
        <w:drawing>
          <wp:inline distT="0" distB="0" distL="0" distR="0">
            <wp:extent cx="5448300" cy="3171825"/>
            <wp:effectExtent l="19050" t="0" r="0" b="0"/>
            <wp:docPr id="12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21220" t="25221" r="25031" b="35535"/>
                    <a:stretch>
                      <a:fillRect/>
                    </a:stretch>
                  </pic:blipFill>
                  <pic:spPr bwMode="auto">
                    <a:xfrm>
                      <a:off x="0" y="0"/>
                      <a:ext cx="5448300" cy="3171825"/>
                    </a:xfrm>
                    <a:prstGeom prst="rect">
                      <a:avLst/>
                    </a:prstGeom>
                    <a:noFill/>
                    <a:ln w="9525">
                      <a:noFill/>
                      <a:miter lim="800000"/>
                      <a:headEnd/>
                      <a:tailEnd/>
                    </a:ln>
                  </pic:spPr>
                </pic:pic>
              </a:graphicData>
            </a:graphic>
          </wp:inline>
        </w:drawing>
      </w:r>
    </w:p>
    <w:p w:rsidR="009478DB" w:rsidRPr="00A81F9F" w:rsidRDefault="003B0104" w:rsidP="001A4185">
      <w:pPr>
        <w:ind w:firstLine="851"/>
      </w:pPr>
      <w:r>
        <w:rPr>
          <w:noProof/>
        </w:rPr>
        <w:pict>
          <v:shapetype id="_x0000_t202" coordsize="21600,21600" o:spt="202" path="m,l,21600r21600,l21600,xe">
            <v:stroke joinstyle="miter"/>
            <v:path gradientshapeok="t" o:connecttype="rect"/>
          </v:shapetype>
          <v:shape id="_x0000_s1026" type="#_x0000_t202" style="position:absolute;left:0;text-align:left;margin-left:468pt;margin-top:562.4pt;width:36pt;height:27pt;z-index:251655680" strokecolor="white">
            <v:textbox style="mso-next-textbox:#_x0000_s1026">
              <w:txbxContent>
                <w:p w:rsidR="00C03B3E" w:rsidRPr="00C725F2" w:rsidRDefault="00C03B3E" w:rsidP="00EE1A61">
                  <w:pPr>
                    <w:rPr>
                      <w:b/>
                      <w:sz w:val="28"/>
                      <w:szCs w:val="28"/>
                      <w:lang w:val="en-US"/>
                    </w:rPr>
                  </w:pPr>
                  <w:r w:rsidRPr="006B229B">
                    <w:rPr>
                      <w:b/>
                      <w:sz w:val="28"/>
                      <w:szCs w:val="28"/>
                    </w:rPr>
                    <w:t>V</w:t>
                  </w:r>
                  <w:r>
                    <w:rPr>
                      <w:b/>
                      <w:sz w:val="28"/>
                      <w:szCs w:val="28"/>
                      <w:lang w:val="en-US"/>
                    </w:rPr>
                    <w:t>I</w:t>
                  </w:r>
                </w:p>
              </w:txbxContent>
            </v:textbox>
          </v:shape>
        </w:pict>
      </w:r>
      <w:r w:rsidR="009478DB" w:rsidRPr="00A81F9F">
        <w:t xml:space="preserve">Рис. 2. Индексы изменения ВВП и потребления (производства) электроэнергии в РФ (РСФСР) к </w:t>
      </w:r>
      <w:smartTag w:uri="urn:schemas-microsoft-com:office:smarttags" w:element="metricconverter">
        <w:smartTagPr>
          <w:attr w:name="ProductID" w:val="1950 г"/>
        </w:smartTagPr>
        <w:r w:rsidR="009478DB" w:rsidRPr="00A81F9F">
          <w:t>1950 г</w:t>
        </w:r>
      </w:smartTag>
      <w:r w:rsidR="009478DB" w:rsidRPr="00A81F9F">
        <w:t>.</w:t>
      </w:r>
    </w:p>
    <w:p w:rsidR="009478DB" w:rsidRPr="00A81F9F" w:rsidRDefault="007C1ADE" w:rsidP="0066588F">
      <w:pPr>
        <w:jc w:val="center"/>
        <w:rPr>
          <w:b/>
          <w:sz w:val="22"/>
          <w:szCs w:val="22"/>
        </w:rPr>
      </w:pPr>
      <w:r>
        <w:rPr>
          <w:b/>
          <w:noProof/>
          <w:sz w:val="22"/>
          <w:szCs w:val="22"/>
        </w:rPr>
        <w:drawing>
          <wp:inline distT="0" distB="0" distL="0" distR="0">
            <wp:extent cx="5667375" cy="3438525"/>
            <wp:effectExtent l="19050" t="0" r="9525" b="0"/>
            <wp:docPr id="1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l="20276" t="25703" r="24541" b="32185"/>
                    <a:stretch>
                      <a:fillRect/>
                    </a:stretch>
                  </pic:blipFill>
                  <pic:spPr bwMode="auto">
                    <a:xfrm>
                      <a:off x="0" y="0"/>
                      <a:ext cx="5667375" cy="3438525"/>
                    </a:xfrm>
                    <a:prstGeom prst="rect">
                      <a:avLst/>
                    </a:prstGeom>
                    <a:noFill/>
                    <a:ln w="9525">
                      <a:noFill/>
                      <a:miter lim="800000"/>
                      <a:headEnd/>
                      <a:tailEnd/>
                    </a:ln>
                  </pic:spPr>
                </pic:pic>
              </a:graphicData>
            </a:graphic>
          </wp:inline>
        </w:drawing>
      </w:r>
    </w:p>
    <w:p w:rsidR="009478DB" w:rsidRPr="00514310" w:rsidRDefault="009478DB" w:rsidP="001A4185">
      <w:pPr>
        <w:ind w:firstLine="851"/>
        <w:jc w:val="both"/>
        <w:rPr>
          <w:sz w:val="22"/>
          <w:szCs w:val="22"/>
        </w:rPr>
      </w:pPr>
      <w:r w:rsidRPr="00514310">
        <w:rPr>
          <w:sz w:val="22"/>
          <w:szCs w:val="22"/>
        </w:rPr>
        <w:t>Рис. 3. Индексы потребления (производства) электроэнергии и ВВП.</w:t>
      </w:r>
    </w:p>
    <w:p w:rsidR="009478DB" w:rsidRPr="00514310" w:rsidRDefault="009478DB" w:rsidP="001A4185">
      <w:pPr>
        <w:ind w:firstLine="851"/>
        <w:jc w:val="both"/>
        <w:rPr>
          <w:sz w:val="22"/>
          <w:szCs w:val="22"/>
        </w:rPr>
      </w:pPr>
      <w:r w:rsidRPr="00514310">
        <w:rPr>
          <w:sz w:val="22"/>
          <w:szCs w:val="22"/>
          <w:lang w:val="en-US"/>
        </w:rPr>
        <w:t>I</w:t>
      </w:r>
      <w:r w:rsidRPr="00514310">
        <w:rPr>
          <w:sz w:val="22"/>
          <w:szCs w:val="22"/>
        </w:rPr>
        <w:t xml:space="preserve"> — к </w:t>
      </w:r>
      <w:smartTag w:uri="urn:schemas-microsoft-com:office:smarttags" w:element="metricconverter">
        <w:smartTagPr>
          <w:attr w:name="ProductID" w:val="1950 г"/>
        </w:smartTagPr>
        <w:r w:rsidRPr="00514310">
          <w:rPr>
            <w:sz w:val="22"/>
            <w:szCs w:val="22"/>
          </w:rPr>
          <w:t>1950 г</w:t>
        </w:r>
      </w:smartTag>
      <w:r w:rsidRPr="00514310">
        <w:rPr>
          <w:sz w:val="22"/>
          <w:szCs w:val="22"/>
        </w:rPr>
        <w:t xml:space="preserve">.; </w:t>
      </w:r>
      <w:r w:rsidRPr="00514310">
        <w:rPr>
          <w:sz w:val="22"/>
          <w:szCs w:val="22"/>
          <w:lang w:val="en-US"/>
        </w:rPr>
        <w:t>II</w:t>
      </w:r>
      <w:r w:rsidRPr="00514310">
        <w:rPr>
          <w:sz w:val="22"/>
          <w:szCs w:val="22"/>
        </w:rPr>
        <w:t xml:space="preserve"> — к </w:t>
      </w:r>
      <w:smartTag w:uri="urn:schemas-microsoft-com:office:smarttags" w:element="metricconverter">
        <w:smartTagPr>
          <w:attr w:name="ProductID" w:val="1965 г"/>
        </w:smartTagPr>
        <w:r w:rsidRPr="00514310">
          <w:rPr>
            <w:sz w:val="22"/>
            <w:szCs w:val="22"/>
          </w:rPr>
          <w:t>1965 г</w:t>
        </w:r>
      </w:smartTag>
      <w:r w:rsidRPr="00514310">
        <w:rPr>
          <w:sz w:val="22"/>
          <w:szCs w:val="22"/>
        </w:rPr>
        <w:t xml:space="preserve">.; </w:t>
      </w:r>
      <w:r w:rsidRPr="00514310">
        <w:rPr>
          <w:sz w:val="22"/>
          <w:szCs w:val="22"/>
          <w:lang w:val="en-US"/>
        </w:rPr>
        <w:t>III</w:t>
      </w:r>
      <w:r w:rsidRPr="00514310">
        <w:rPr>
          <w:sz w:val="22"/>
          <w:szCs w:val="22"/>
        </w:rPr>
        <w:t xml:space="preserve"> — к </w:t>
      </w:r>
      <w:smartTag w:uri="urn:schemas-microsoft-com:office:smarttags" w:element="metricconverter">
        <w:smartTagPr>
          <w:attr w:name="ProductID" w:val="1990 г"/>
        </w:smartTagPr>
        <w:r w:rsidRPr="00514310">
          <w:rPr>
            <w:sz w:val="22"/>
            <w:szCs w:val="22"/>
          </w:rPr>
          <w:t>1990 г</w:t>
        </w:r>
      </w:smartTag>
      <w:r w:rsidRPr="00514310">
        <w:rPr>
          <w:sz w:val="22"/>
          <w:szCs w:val="22"/>
        </w:rPr>
        <w:t xml:space="preserve">.; </w:t>
      </w:r>
      <w:r w:rsidRPr="00514310">
        <w:rPr>
          <w:sz w:val="22"/>
          <w:szCs w:val="22"/>
          <w:lang w:val="en-US"/>
        </w:rPr>
        <w:t>IV</w:t>
      </w:r>
      <w:r w:rsidRPr="00514310">
        <w:rPr>
          <w:sz w:val="22"/>
          <w:szCs w:val="22"/>
        </w:rPr>
        <w:t xml:space="preserve"> — к </w:t>
      </w:r>
      <w:smartTag w:uri="urn:schemas-microsoft-com:office:smarttags" w:element="metricconverter">
        <w:smartTagPr>
          <w:attr w:name="ProductID" w:val="1999 г"/>
        </w:smartTagPr>
        <w:r w:rsidRPr="00514310">
          <w:rPr>
            <w:sz w:val="22"/>
            <w:szCs w:val="22"/>
          </w:rPr>
          <w:t>1999 г</w:t>
        </w:r>
      </w:smartTag>
      <w:r w:rsidRPr="00514310">
        <w:rPr>
          <w:sz w:val="22"/>
          <w:szCs w:val="22"/>
        </w:rPr>
        <w:t>.</w:t>
      </w:r>
    </w:p>
    <w:p w:rsidR="009478DB" w:rsidRPr="00A81F9F" w:rsidRDefault="009478DB" w:rsidP="00EE1A61">
      <w:pPr>
        <w:tabs>
          <w:tab w:val="num" w:pos="360"/>
        </w:tabs>
        <w:ind w:firstLine="709"/>
        <w:jc w:val="both"/>
        <w:rPr>
          <w:sz w:val="22"/>
          <w:szCs w:val="22"/>
        </w:rPr>
      </w:pPr>
    </w:p>
    <w:p w:rsidR="009478DB" w:rsidRPr="00A81F9F" w:rsidRDefault="009478DB" w:rsidP="00EE1A61">
      <w:pPr>
        <w:tabs>
          <w:tab w:val="num" w:pos="0"/>
        </w:tabs>
        <w:ind w:firstLine="709"/>
        <w:jc w:val="both"/>
      </w:pPr>
      <w:r w:rsidRPr="00A81F9F">
        <w:rPr>
          <w:lang w:val="en-US"/>
        </w:rPr>
        <w:t>I</w:t>
      </w:r>
      <w:r w:rsidRPr="00A81F9F">
        <w:t>. 1950—1964 гг. — послевоенное восстановление и ускоренная индустриализация. ВВП изменился в три раза, а потребление (производство) электроэнергии — в пять раз; в среднем на 1% роста национального дохода (ВВП) приходилось 1,7% роста потребления (производства) электроэнергии.</w:t>
      </w:r>
    </w:p>
    <w:p w:rsidR="009478DB" w:rsidRPr="00A81F9F" w:rsidRDefault="009478DB" w:rsidP="00EE1A61">
      <w:pPr>
        <w:tabs>
          <w:tab w:val="num" w:pos="0"/>
        </w:tabs>
        <w:ind w:firstLine="709"/>
        <w:jc w:val="both"/>
      </w:pPr>
      <w:r w:rsidRPr="00A81F9F">
        <w:rPr>
          <w:lang w:val="en-US"/>
        </w:rPr>
        <w:t>II</w:t>
      </w:r>
      <w:r w:rsidRPr="00A81F9F">
        <w:t>. 1965—1989 гг. — экономические реформы А.Н. Косыгина, сбалансированный рост потребления (производства) электроэнергии в соответствии с государственными пятилетними планами экономического развития СССР в целом и союзных республик в частности. ВВП увеличился в 3,08 раза, а потребление (производство) электроэнергии — в 3,24 раза; в среднем на 1% роста ВВП приходилось 1,05% роста потребления (производства) электроэнергии.</w:t>
      </w:r>
    </w:p>
    <w:p w:rsidR="009478DB" w:rsidRPr="00A81F9F" w:rsidRDefault="009478DB" w:rsidP="00EE1A61">
      <w:pPr>
        <w:tabs>
          <w:tab w:val="num" w:pos="0"/>
        </w:tabs>
        <w:ind w:firstLine="709"/>
        <w:jc w:val="both"/>
      </w:pPr>
      <w:r w:rsidRPr="00A81F9F">
        <w:rPr>
          <w:lang w:val="en-US"/>
        </w:rPr>
        <w:t>III</w:t>
      </w:r>
      <w:r w:rsidRPr="00A81F9F">
        <w:t>. 1990—1998 гг. — распад СССР, глубокий экономический кризис, приватизация, перестройка экономики на рыночные и квазирыночные рельсы. ВВП снизился на 42%, а потребление (производство) электроэнергии — на 23%; в среднем на 1% падения ВВП приходилось 0,55% падения потребления электроэнергии.</w:t>
      </w:r>
    </w:p>
    <w:p w:rsidR="009478DB" w:rsidRPr="00A81F9F" w:rsidRDefault="009478DB" w:rsidP="00EE1A61">
      <w:pPr>
        <w:tabs>
          <w:tab w:val="num" w:pos="0"/>
        </w:tabs>
        <w:ind w:firstLine="709"/>
        <w:jc w:val="both"/>
      </w:pPr>
      <w:r w:rsidRPr="00A81F9F">
        <w:rPr>
          <w:lang w:val="en-US"/>
        </w:rPr>
        <w:t>IV</w:t>
      </w:r>
      <w:r w:rsidRPr="00A81F9F">
        <w:t>. 1999—2008 гг. — восстановление экономики страны, стабильный рост стоимости нефти и газа на мировых рынках, деиндустриализация экономики, изменение структуры ВВП (рост доли услуг до 60%, снижение доли производства до 40%). ВВП увеличился в 1,86 раза, или на 86%, а потребление (производство) электроэнергии — в 1,25 раза, или на 25%. На 1% роста ВВП приходилось всего 0,3% роста потребления (производства) электроэнергии.</w:t>
      </w:r>
    </w:p>
    <w:p w:rsidR="009478DB" w:rsidRPr="00A81F9F" w:rsidRDefault="009478DB" w:rsidP="00EE1A61">
      <w:pPr>
        <w:tabs>
          <w:tab w:val="num" w:pos="0"/>
        </w:tabs>
        <w:ind w:firstLine="709"/>
        <w:jc w:val="both"/>
      </w:pPr>
      <w:r w:rsidRPr="00A81F9F">
        <w:rPr>
          <w:lang w:val="en-US"/>
        </w:rPr>
        <w:t>V</w:t>
      </w:r>
      <w:r w:rsidRPr="00A81F9F">
        <w:t xml:space="preserve">. 2008—2009 гг. – мировой экономический кризис. ВВП снизился на 7,9%, а потребление (производство) на 4,4%. На 1% падения ВВП потребление (производство) электроэнергии снизилось на 0,55%, как в 1990—1998 гг. </w:t>
      </w:r>
    </w:p>
    <w:p w:rsidR="009478DB" w:rsidRPr="00A81F9F" w:rsidRDefault="009478DB" w:rsidP="00EE1A61">
      <w:pPr>
        <w:tabs>
          <w:tab w:val="num" w:pos="0"/>
        </w:tabs>
        <w:ind w:firstLine="709"/>
        <w:jc w:val="both"/>
      </w:pPr>
      <w:r w:rsidRPr="00A81F9F">
        <w:rPr>
          <w:lang w:val="en-US"/>
        </w:rPr>
        <w:t>VI</w:t>
      </w:r>
      <w:r w:rsidRPr="00A81F9F">
        <w:t xml:space="preserve">. </w:t>
      </w:r>
      <w:smartTag w:uri="urn:schemas-microsoft-com:office:smarttags" w:element="metricconverter">
        <w:smartTagPr>
          <w:attr w:name="ProductID" w:val="2010 г"/>
        </w:smartTagPr>
        <w:r w:rsidRPr="00A81F9F">
          <w:t>2010 г</w:t>
        </w:r>
      </w:smartTag>
      <w:r w:rsidRPr="00A81F9F">
        <w:t xml:space="preserve">. — восстановление экономики после кризиса. Рост ВВП составил 4%, а рост потребления (производства) электроэнергии — 4,7%. На 1% роста ВВП пришлось 1,17% роста потребления (производства) электроэнергии. Такой опережающий рост потребления (производства) электроэнергии, с одной стороны, связан с ростом экономики страны в послекризисный период (как это было в 1999—2000 гг. после дефолта </w:t>
      </w:r>
      <w:smartTag w:uri="urn:schemas-microsoft-com:office:smarttags" w:element="metricconverter">
        <w:smartTagPr>
          <w:attr w:name="ProductID" w:val="1998 г"/>
        </w:smartTagPr>
        <w:r w:rsidRPr="00A81F9F">
          <w:t>1998 г</w:t>
        </w:r>
      </w:smartTag>
      <w:r w:rsidRPr="00A81F9F">
        <w:t>.), с другой — с аномально холодной зимой и жарким летом: дополнительный рост потребления (производства) электроэнергии составил около 2%.</w:t>
      </w:r>
    </w:p>
    <w:p w:rsidR="009478DB" w:rsidRPr="00A81F9F" w:rsidRDefault="009478DB" w:rsidP="00445F8D">
      <w:pPr>
        <w:tabs>
          <w:tab w:val="num" w:pos="0"/>
        </w:tabs>
        <w:ind w:firstLine="709"/>
        <w:jc w:val="both"/>
      </w:pPr>
      <w:r w:rsidRPr="00A81F9F">
        <w:rPr>
          <w:lang w:val="en-US"/>
        </w:rPr>
        <w:t>VII</w:t>
      </w:r>
      <w:r w:rsidRPr="00A81F9F">
        <w:t>.</w:t>
      </w:r>
      <w:r w:rsidR="007356A0">
        <w:t xml:space="preserve"> 2011-2012 гг. – рост ВВП в</w:t>
      </w:r>
      <w:r w:rsidR="00445F8D">
        <w:t xml:space="preserve"> 2011г.,</w:t>
      </w:r>
      <w:r w:rsidR="007356A0">
        <w:t xml:space="preserve"> 2012 г. составил </w:t>
      </w:r>
      <w:r w:rsidR="00445F8D">
        <w:t>4,3%, а электропотребления – 2,0</w:t>
      </w:r>
      <w:r w:rsidRPr="00A81F9F">
        <w:t xml:space="preserve"> %, а в 2012 г.</w:t>
      </w:r>
      <w:r w:rsidR="00445F8D">
        <w:t xml:space="preserve"> -  рост ВВП  составил 3,6%, а электропотребления – 2,1</w:t>
      </w:r>
      <w:r w:rsidRPr="00A81F9F">
        <w:t xml:space="preserve">%. Соответственно </w:t>
      </w:r>
      <w:r w:rsidR="00445F8D">
        <w:t xml:space="preserve">в 2011 г. </w:t>
      </w:r>
      <w:r w:rsidRPr="00A81F9F">
        <w:t>на 1%</w:t>
      </w:r>
      <w:r w:rsidR="00445F8D">
        <w:t xml:space="preserve"> роста ВВП приходилось 0,47% роста электропотребления, а в 2012</w:t>
      </w:r>
      <w:r w:rsidRPr="00A81F9F">
        <w:t xml:space="preserve"> г. </w:t>
      </w:r>
      <w:r w:rsidR="001A2420">
        <w:t>– 0,59% роста электропотребления</w:t>
      </w:r>
      <w:r w:rsidR="00D64241">
        <w:t xml:space="preserve"> (по уточненным данным Росстата</w:t>
      </w:r>
      <w:r w:rsidR="00FA355C">
        <w:t>, по которым величина электропотребления в 2011 г. стала 1041,1 вместо 1033 млрд. кВт.ч</w:t>
      </w:r>
      <w:r w:rsidR="00D64241">
        <w:t>)</w:t>
      </w:r>
      <w:r w:rsidR="001A2420">
        <w:t>.</w:t>
      </w:r>
    </w:p>
    <w:p w:rsidR="009478DB" w:rsidRPr="00A81F9F" w:rsidRDefault="009478DB" w:rsidP="00EE1A61">
      <w:pPr>
        <w:ind w:firstLine="709"/>
        <w:jc w:val="both"/>
      </w:pPr>
      <w:r w:rsidRPr="00A81F9F">
        <w:t>Более точно соотношение между изменениями ВВП и электропотребления (производства) можно получить, если построить отношение ежегодных темпов изменения электропотребления к соответствующему ежегодному темпу изменения ВВП. Такое отношение называется коэффициентом эластичности электропотребления к ВВП</w:t>
      </w:r>
    </w:p>
    <w:p w:rsidR="009478DB" w:rsidRPr="00A81F9F" w:rsidRDefault="007C1ADE" w:rsidP="001A4185">
      <w:pPr>
        <w:tabs>
          <w:tab w:val="num" w:pos="0"/>
        </w:tabs>
        <w:jc w:val="both"/>
      </w:pPr>
      <w:bookmarkStart w:id="34" w:name="OLE_LINK7"/>
      <w:bookmarkStart w:id="35" w:name="OLE_LINK8"/>
      <w:r>
        <w:rPr>
          <w:noProof/>
        </w:rPr>
        <w:drawing>
          <wp:inline distT="0" distB="0" distL="0" distR="0">
            <wp:extent cx="5305425" cy="4276725"/>
            <wp:effectExtent l="19050" t="0" r="9525" b="0"/>
            <wp:docPr id="1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6772" t="28049" r="28780" b="27415"/>
                    <a:stretch>
                      <a:fillRect/>
                    </a:stretch>
                  </pic:blipFill>
                  <pic:spPr bwMode="auto">
                    <a:xfrm>
                      <a:off x="0" y="0"/>
                      <a:ext cx="5305425" cy="4276725"/>
                    </a:xfrm>
                    <a:prstGeom prst="rect">
                      <a:avLst/>
                    </a:prstGeom>
                    <a:noFill/>
                    <a:ln w="9525">
                      <a:noFill/>
                      <a:miter lim="800000"/>
                      <a:headEnd/>
                      <a:tailEnd/>
                    </a:ln>
                  </pic:spPr>
                </pic:pic>
              </a:graphicData>
            </a:graphic>
          </wp:inline>
        </w:drawing>
      </w:r>
      <w:bookmarkEnd w:id="34"/>
      <w:bookmarkEnd w:id="35"/>
    </w:p>
    <w:p w:rsidR="009478DB" w:rsidRPr="00A81F9F" w:rsidRDefault="003B0104" w:rsidP="00EE1A61">
      <w:pPr>
        <w:tabs>
          <w:tab w:val="num" w:pos="0"/>
        </w:tabs>
        <w:jc w:val="both"/>
        <w:rPr>
          <w:sz w:val="22"/>
          <w:szCs w:val="22"/>
        </w:rPr>
      </w:pPr>
      <w:r w:rsidRPr="003B0104">
        <w:rPr>
          <w:noProof/>
        </w:rPr>
        <w:pict>
          <v:line id="_x0000_s1027" style="position:absolute;left:0;text-align:left;flip:x;z-index:251656704" from="423pt,.65pt" to="423pt,9.65pt"/>
        </w:pict>
      </w:r>
    </w:p>
    <w:p w:rsidR="001A4185" w:rsidRDefault="009478DB" w:rsidP="001A4185">
      <w:pPr>
        <w:tabs>
          <w:tab w:val="num" w:pos="0"/>
        </w:tabs>
        <w:ind w:firstLine="851"/>
        <w:jc w:val="both"/>
      </w:pPr>
      <w:r w:rsidRPr="00A81F9F">
        <w:t>Рис. 4. Коэффициент эластичности электропотребления (производства)  к ВВП в период 1950-2012 гг.</w:t>
      </w:r>
    </w:p>
    <w:p w:rsidR="009478DB" w:rsidRPr="00A81F9F" w:rsidRDefault="009478DB" w:rsidP="001A4185">
      <w:pPr>
        <w:tabs>
          <w:tab w:val="num" w:pos="0"/>
        </w:tabs>
        <w:ind w:firstLine="851"/>
        <w:jc w:val="both"/>
      </w:pPr>
      <w:r w:rsidRPr="00A81F9F">
        <w:t xml:space="preserve"> </w:t>
      </w:r>
    </w:p>
    <w:p w:rsidR="009478DB" w:rsidRPr="00A81F9F" w:rsidRDefault="009478DB" w:rsidP="00EE1A61">
      <w:pPr>
        <w:ind w:firstLine="709"/>
        <w:jc w:val="both"/>
      </w:pPr>
      <w:r w:rsidRPr="00A81F9F">
        <w:t xml:space="preserve"> На рис. 4 показан коэффициент эластичности электропотребления (производства) к ВВП в период 1950-2012 гг. (</w:t>
      </w:r>
      <w:r w:rsidRPr="00A81F9F">
        <w:rPr>
          <w:lang w:val="en-US"/>
        </w:rPr>
        <w:t>I</w:t>
      </w:r>
      <w:r w:rsidRPr="00A81F9F">
        <w:t xml:space="preserve"> и </w:t>
      </w:r>
      <w:r w:rsidRPr="00A81F9F">
        <w:rPr>
          <w:lang w:val="en-US"/>
        </w:rPr>
        <w:t>II</w:t>
      </w:r>
      <w:r w:rsidRPr="00A81F9F">
        <w:t xml:space="preserve"> кв.). Видно, что весь этот диапазон действительно разбивается на 7 периодов.</w:t>
      </w:r>
    </w:p>
    <w:p w:rsidR="009478DB" w:rsidRPr="00A81F9F" w:rsidRDefault="009478DB" w:rsidP="00EE1A61">
      <w:pPr>
        <w:tabs>
          <w:tab w:val="num" w:pos="0"/>
        </w:tabs>
        <w:ind w:firstLine="709"/>
        <w:jc w:val="both"/>
      </w:pPr>
    </w:p>
    <w:p w:rsidR="009478DB" w:rsidRPr="00A81F9F" w:rsidRDefault="009478DB" w:rsidP="00EE1A61">
      <w:pPr>
        <w:tabs>
          <w:tab w:val="left" w:pos="300"/>
        </w:tabs>
        <w:ind w:firstLine="709"/>
        <w:jc w:val="both"/>
      </w:pPr>
      <w:r w:rsidRPr="00A81F9F">
        <w:rPr>
          <w:lang w:val="en-US"/>
        </w:rPr>
        <w:t>I</w:t>
      </w:r>
      <w:r w:rsidRPr="00A81F9F">
        <w:t>. 1951—1965 гг. — на 1% роста ВВП приходится в среднем 1,7% роста потребления (производства) электроэнергии.</w:t>
      </w:r>
    </w:p>
    <w:p w:rsidR="009478DB" w:rsidRPr="00A81F9F" w:rsidRDefault="009478DB" w:rsidP="00EE1A61">
      <w:pPr>
        <w:tabs>
          <w:tab w:val="left" w:pos="300"/>
        </w:tabs>
        <w:ind w:firstLine="709"/>
        <w:jc w:val="both"/>
      </w:pPr>
    </w:p>
    <w:p w:rsidR="009478DB" w:rsidRPr="00A81F9F" w:rsidRDefault="009478DB" w:rsidP="00EE1A61">
      <w:pPr>
        <w:tabs>
          <w:tab w:val="left" w:pos="300"/>
        </w:tabs>
        <w:ind w:firstLine="709"/>
        <w:jc w:val="both"/>
      </w:pPr>
      <w:r w:rsidRPr="00A81F9F">
        <w:rPr>
          <w:lang w:val="en-US"/>
        </w:rPr>
        <w:t>II</w:t>
      </w:r>
      <w:r w:rsidRPr="00A81F9F">
        <w:t>. 1965—1990 гг. — на 1% роста ВВП — в среднем 1,05% роста потребления (производства) электроэнергии.</w:t>
      </w:r>
    </w:p>
    <w:p w:rsidR="009478DB" w:rsidRPr="00A81F9F" w:rsidRDefault="009478DB" w:rsidP="00EE1A61">
      <w:pPr>
        <w:tabs>
          <w:tab w:val="left" w:pos="300"/>
        </w:tabs>
        <w:ind w:firstLine="709"/>
        <w:jc w:val="both"/>
      </w:pPr>
    </w:p>
    <w:p w:rsidR="009478DB" w:rsidRPr="00A81F9F" w:rsidRDefault="009478DB" w:rsidP="00EE1A61">
      <w:pPr>
        <w:tabs>
          <w:tab w:val="left" w:pos="300"/>
        </w:tabs>
        <w:ind w:firstLine="709"/>
        <w:jc w:val="both"/>
      </w:pPr>
      <w:r w:rsidRPr="00A81F9F">
        <w:rPr>
          <w:lang w:val="en-US"/>
        </w:rPr>
        <w:t>III</w:t>
      </w:r>
      <w:r w:rsidRPr="00A81F9F">
        <w:t>. 1990—1998 гг. — на 1% падения ВВП — в среднем 0,5% падения потребления (производства) электроэнергии.</w:t>
      </w:r>
    </w:p>
    <w:p w:rsidR="009478DB" w:rsidRPr="00A81F9F" w:rsidRDefault="009478DB" w:rsidP="00EE1A61">
      <w:pPr>
        <w:tabs>
          <w:tab w:val="left" w:pos="300"/>
        </w:tabs>
        <w:ind w:firstLine="709"/>
        <w:jc w:val="both"/>
      </w:pPr>
    </w:p>
    <w:p w:rsidR="009478DB" w:rsidRPr="00A81F9F" w:rsidRDefault="009478DB" w:rsidP="00EE1A61">
      <w:pPr>
        <w:tabs>
          <w:tab w:val="left" w:pos="300"/>
        </w:tabs>
        <w:ind w:firstLine="709"/>
        <w:jc w:val="both"/>
      </w:pPr>
      <w:r w:rsidRPr="00A81F9F">
        <w:rPr>
          <w:lang w:val="en-US"/>
        </w:rPr>
        <w:t>IV</w:t>
      </w:r>
      <w:r w:rsidRPr="00A81F9F">
        <w:t>. 1999—2008 гг. — на 1% роста ВВП — в среднем 0,33% роста потребления (производства)  электроэнергии.</w:t>
      </w:r>
    </w:p>
    <w:p w:rsidR="009478DB" w:rsidRPr="00A81F9F" w:rsidRDefault="009478DB" w:rsidP="00EE1A61">
      <w:pPr>
        <w:tabs>
          <w:tab w:val="left" w:pos="300"/>
        </w:tabs>
        <w:ind w:firstLine="709"/>
        <w:jc w:val="both"/>
      </w:pPr>
    </w:p>
    <w:p w:rsidR="009478DB" w:rsidRPr="00A81F9F" w:rsidRDefault="009478DB" w:rsidP="00EE1A61">
      <w:pPr>
        <w:tabs>
          <w:tab w:val="left" w:pos="300"/>
        </w:tabs>
        <w:ind w:firstLine="709"/>
        <w:jc w:val="both"/>
      </w:pPr>
      <w:r w:rsidRPr="00A81F9F">
        <w:t>V. 2008—2009 гг. — на 1% падения ВВП — 0,57% падения потребления (производства) электроэнергии, т.е. близок к среднему значению в период падения ВВП  - 1990-1998 гг.</w:t>
      </w:r>
    </w:p>
    <w:p w:rsidR="009478DB" w:rsidRPr="00A81F9F" w:rsidRDefault="009478DB" w:rsidP="00EE1A61">
      <w:pPr>
        <w:tabs>
          <w:tab w:val="left" w:pos="300"/>
        </w:tabs>
        <w:ind w:firstLine="709"/>
        <w:jc w:val="both"/>
      </w:pPr>
      <w:r w:rsidRPr="00A81F9F">
        <w:rPr>
          <w:lang w:val="en-US"/>
        </w:rPr>
        <w:t>VI</w:t>
      </w:r>
      <w:r w:rsidRPr="00A81F9F">
        <w:t>. 2010 гг. — на 1% ВВП — 1,18% роста потребления (производства)  электроэнергии. Это год отскока после падения ВВП -  неустойчивость.</w:t>
      </w:r>
    </w:p>
    <w:p w:rsidR="009478DB" w:rsidRPr="00A81F9F" w:rsidRDefault="009478DB" w:rsidP="00EE1A61">
      <w:pPr>
        <w:tabs>
          <w:tab w:val="left" w:pos="300"/>
        </w:tabs>
        <w:ind w:firstLine="709"/>
        <w:jc w:val="both"/>
      </w:pPr>
    </w:p>
    <w:p w:rsidR="009478DB" w:rsidRPr="00A81F9F" w:rsidRDefault="009478DB" w:rsidP="00EE1A61">
      <w:pPr>
        <w:tabs>
          <w:tab w:val="left" w:pos="300"/>
        </w:tabs>
        <w:ind w:firstLine="709"/>
        <w:jc w:val="both"/>
      </w:pPr>
      <w:r w:rsidRPr="00A81F9F">
        <w:rPr>
          <w:lang w:val="en-US"/>
        </w:rPr>
        <w:t>VII</w:t>
      </w:r>
      <w:r w:rsidRPr="00A81F9F">
        <w:t>. 2011</w:t>
      </w:r>
      <w:r w:rsidR="00D64241">
        <w:t>-2012 гг.</w:t>
      </w:r>
      <w:r w:rsidRPr="00A81F9F">
        <w:t xml:space="preserve"> –</w:t>
      </w:r>
      <w:r w:rsidR="00D64241">
        <w:t xml:space="preserve"> </w:t>
      </w:r>
      <w:r w:rsidRPr="00A81F9F">
        <w:t>рост ВВП</w:t>
      </w:r>
      <w:r w:rsidR="00D64241">
        <w:t>, сооветственно,4,3 % и 3,6%</w:t>
      </w:r>
      <w:r w:rsidRPr="00A81F9F">
        <w:t xml:space="preserve">; </w:t>
      </w:r>
      <w:r w:rsidR="00D64241">
        <w:t xml:space="preserve">коэффициент эластичности - </w:t>
      </w:r>
      <w:r w:rsidR="00D16545">
        <w:t xml:space="preserve"> 0,47</w:t>
      </w:r>
      <w:r w:rsidR="00D64241">
        <w:t xml:space="preserve"> и </w:t>
      </w:r>
      <w:r w:rsidR="00D16545">
        <w:t>0,</w:t>
      </w:r>
      <w:r w:rsidR="00D64241">
        <w:t>59</w:t>
      </w:r>
      <w:r w:rsidRPr="00A81F9F">
        <w:t>.</w:t>
      </w:r>
    </w:p>
    <w:p w:rsidR="009478DB" w:rsidRPr="005304F6" w:rsidRDefault="003101F5" w:rsidP="005304F6">
      <w:pPr>
        <w:pStyle w:val="4"/>
        <w:rPr>
          <w:shd w:val="clear" w:color="auto" w:fill="FFFFFF"/>
        </w:rPr>
      </w:pPr>
      <w:bookmarkStart w:id="36" w:name="_Toc344496536"/>
      <w:bookmarkStart w:id="37" w:name="_Toc370759775"/>
      <w:r w:rsidRPr="005304F6">
        <w:rPr>
          <w:shd w:val="clear" w:color="auto" w:fill="FFFFFF"/>
        </w:rPr>
        <w:t>2.2</w:t>
      </w:r>
      <w:r w:rsidR="00F508FE" w:rsidRPr="005304F6">
        <w:rPr>
          <w:shd w:val="clear" w:color="auto" w:fill="FFFFFF"/>
        </w:rPr>
        <w:t>.</w:t>
      </w:r>
      <w:r w:rsidRPr="005304F6">
        <w:rPr>
          <w:shd w:val="clear" w:color="auto" w:fill="FFFFFF"/>
        </w:rPr>
        <w:t>2</w:t>
      </w:r>
      <w:r w:rsidR="009478DB" w:rsidRPr="005304F6">
        <w:rPr>
          <w:shd w:val="clear" w:color="auto" w:fill="FFFFFF"/>
        </w:rPr>
        <w:t>. Сопоставление изменения ВВП, промышленного производства и электропотребления  в России в период 1990-2012 гг. Более детальный анализ.</w:t>
      </w:r>
      <w:bookmarkEnd w:id="36"/>
      <w:bookmarkEnd w:id="37"/>
    </w:p>
    <w:p w:rsidR="009478DB" w:rsidRPr="00A81F9F" w:rsidRDefault="009478DB" w:rsidP="00EE1A61">
      <w:pPr>
        <w:ind w:firstLine="709"/>
        <w:jc w:val="both"/>
      </w:pPr>
    </w:p>
    <w:p w:rsidR="009478DB" w:rsidRPr="00A81F9F" w:rsidRDefault="009478DB" w:rsidP="00EE1A61">
      <w:pPr>
        <w:ind w:firstLine="709"/>
        <w:jc w:val="both"/>
      </w:pPr>
      <w:r w:rsidRPr="00A81F9F">
        <w:t xml:space="preserve">На рис. </w:t>
      </w:r>
      <w:r w:rsidR="00DC68D3">
        <w:t>5</w:t>
      </w:r>
      <w:r w:rsidRPr="00A81F9F">
        <w:t xml:space="preserve"> показана динамика ВВП, промышленного производства  и электропотребления, отнесенная к </w:t>
      </w:r>
      <w:smartTag w:uri="urn:schemas-microsoft-com:office:smarttags" w:element="metricconverter">
        <w:smartTagPr>
          <w:attr w:name="ProductID" w:val="1990 г"/>
        </w:smartTagPr>
        <w:r w:rsidRPr="00A81F9F">
          <w:t>1990 г</w:t>
        </w:r>
      </w:smartTag>
      <w:r w:rsidRPr="00A81F9F">
        <w:t xml:space="preserve">. в период 1990 –2012 гг. Видно, что в стадии роста ВВП, в период 1998 – 2008 гг.,  темп роста ВВП опережает темп роста электропотребления примерно в 3 раза. </w:t>
      </w:r>
    </w:p>
    <w:p w:rsidR="009478DB" w:rsidRPr="00A81F9F" w:rsidRDefault="009478DB" w:rsidP="00EE1A61">
      <w:pPr>
        <w:ind w:firstLine="709"/>
        <w:jc w:val="both"/>
      </w:pPr>
    </w:p>
    <w:p w:rsidR="009478DB" w:rsidRPr="00A81F9F" w:rsidRDefault="007C1ADE" w:rsidP="00016014">
      <w:pPr>
        <w:jc w:val="both"/>
      </w:pPr>
      <w:r>
        <w:rPr>
          <w:noProof/>
        </w:rPr>
        <w:drawing>
          <wp:inline distT="0" distB="0" distL="0" distR="0">
            <wp:extent cx="6096000" cy="4067175"/>
            <wp:effectExtent l="0" t="0" r="0" b="0"/>
            <wp:docPr id="12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478DB" w:rsidRDefault="009478DB" w:rsidP="00EE1A61">
      <w:pPr>
        <w:ind w:firstLine="709"/>
        <w:jc w:val="both"/>
      </w:pPr>
      <w:r w:rsidRPr="00A81F9F">
        <w:t xml:space="preserve">Рис </w:t>
      </w:r>
      <w:r w:rsidR="00DC68D3">
        <w:t>5</w:t>
      </w:r>
      <w:r w:rsidRPr="00A81F9F">
        <w:t>. Динамика ВВП, промышленного производства и электропотребления, отнесенные к 1990г., в период 1990-201</w:t>
      </w:r>
      <w:r w:rsidR="002464FE">
        <w:t>2</w:t>
      </w:r>
      <w:r w:rsidRPr="00A81F9F">
        <w:t xml:space="preserve"> гг.</w:t>
      </w:r>
    </w:p>
    <w:p w:rsidR="002464FE" w:rsidRPr="00A81F9F" w:rsidRDefault="002464FE" w:rsidP="00EE1A61">
      <w:pPr>
        <w:ind w:firstLine="709"/>
        <w:jc w:val="both"/>
      </w:pPr>
    </w:p>
    <w:p w:rsidR="009478DB" w:rsidRPr="00A81F9F" w:rsidRDefault="009478DB" w:rsidP="00EE1A61">
      <w:pPr>
        <w:ind w:firstLine="709"/>
        <w:jc w:val="both"/>
      </w:pPr>
      <w:r w:rsidRPr="00A81F9F">
        <w:t>Для более наглядного сопоставления динамики роста ВВП, промышленного производства и электропотребления ежегодные показатели этих параметров отнесем к 1998г. (год окончания падения ВВП).</w:t>
      </w:r>
    </w:p>
    <w:p w:rsidR="009478DB" w:rsidRPr="00A81F9F" w:rsidRDefault="009478DB" w:rsidP="00EE1A61">
      <w:pPr>
        <w:ind w:firstLine="709"/>
        <w:jc w:val="both"/>
      </w:pPr>
    </w:p>
    <w:p w:rsidR="009478DB" w:rsidRPr="00A81F9F" w:rsidRDefault="009478DB" w:rsidP="00EE1A61">
      <w:pPr>
        <w:ind w:firstLine="709"/>
        <w:jc w:val="both"/>
      </w:pPr>
    </w:p>
    <w:p w:rsidR="009478DB" w:rsidRPr="00A81F9F" w:rsidRDefault="009478DB" w:rsidP="00EE1A61">
      <w:pPr>
        <w:ind w:firstLine="709"/>
        <w:jc w:val="both"/>
      </w:pPr>
    </w:p>
    <w:p w:rsidR="009478DB" w:rsidRPr="00A81F9F" w:rsidRDefault="009478DB" w:rsidP="00EE1A61">
      <w:pPr>
        <w:ind w:firstLine="709"/>
        <w:jc w:val="both"/>
      </w:pPr>
    </w:p>
    <w:p w:rsidR="009478DB" w:rsidRPr="00A81F9F" w:rsidRDefault="009478DB" w:rsidP="00EE1A61">
      <w:pPr>
        <w:ind w:firstLine="709"/>
        <w:jc w:val="both"/>
      </w:pPr>
    </w:p>
    <w:p w:rsidR="009478DB" w:rsidRPr="00D7473C" w:rsidRDefault="007C1ADE" w:rsidP="00EE1A61">
      <w:pPr>
        <w:ind w:firstLine="709"/>
        <w:jc w:val="both"/>
      </w:pPr>
      <w:r>
        <w:rPr>
          <w:noProof/>
        </w:rPr>
        <w:drawing>
          <wp:inline distT="0" distB="0" distL="0" distR="0">
            <wp:extent cx="5381625" cy="6191250"/>
            <wp:effectExtent l="0" t="0" r="0" b="0"/>
            <wp:docPr id="12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5381625" cy="6191250"/>
                    </a:xfrm>
                    <a:prstGeom prst="rect">
                      <a:avLst/>
                    </a:prstGeom>
                    <a:noFill/>
                    <a:ln w="9525">
                      <a:noFill/>
                      <a:miter lim="800000"/>
                      <a:headEnd/>
                      <a:tailEnd/>
                    </a:ln>
                  </pic:spPr>
                </pic:pic>
              </a:graphicData>
            </a:graphic>
          </wp:inline>
        </w:drawing>
      </w:r>
    </w:p>
    <w:p w:rsidR="009478DB" w:rsidRPr="00A81F9F" w:rsidRDefault="009478DB" w:rsidP="00EE1A61">
      <w:pPr>
        <w:ind w:firstLine="709"/>
        <w:jc w:val="both"/>
      </w:pPr>
    </w:p>
    <w:p w:rsidR="00675C5A" w:rsidRDefault="00675C5A" w:rsidP="00EE1A61">
      <w:pPr>
        <w:ind w:firstLine="709"/>
        <w:jc w:val="both"/>
      </w:pPr>
    </w:p>
    <w:p w:rsidR="009478DB" w:rsidRPr="00A81F9F" w:rsidRDefault="009478DB" w:rsidP="00EE1A61">
      <w:pPr>
        <w:ind w:firstLine="709"/>
        <w:jc w:val="both"/>
      </w:pPr>
      <w:r w:rsidRPr="00A81F9F">
        <w:t xml:space="preserve">Рис. </w:t>
      </w:r>
      <w:r w:rsidR="006E4777">
        <w:t>6</w:t>
      </w:r>
      <w:r w:rsidRPr="00A81F9F">
        <w:t xml:space="preserve">. Динамика ВВП, промышленного производства и электропотребления, отнесенные к </w:t>
      </w:r>
      <w:smartTag w:uri="urn:schemas-microsoft-com:office:smarttags" w:element="metricconverter">
        <w:smartTagPr>
          <w:attr w:name="ProductID" w:val="1998 г"/>
        </w:smartTagPr>
        <w:r w:rsidRPr="00A81F9F">
          <w:t>1998 г</w:t>
        </w:r>
      </w:smartTag>
      <w:r w:rsidRPr="00A81F9F">
        <w:t>., в период 1990-201</w:t>
      </w:r>
      <w:r w:rsidR="002464FE">
        <w:t>2</w:t>
      </w:r>
      <w:r w:rsidRPr="00A81F9F">
        <w:t xml:space="preserve"> гг.</w:t>
      </w:r>
    </w:p>
    <w:p w:rsidR="009478DB" w:rsidRPr="00A81F9F" w:rsidRDefault="009478DB" w:rsidP="00EE1A61">
      <w:pPr>
        <w:ind w:firstLine="709"/>
        <w:jc w:val="both"/>
      </w:pPr>
    </w:p>
    <w:p w:rsidR="009478DB" w:rsidRPr="00A81F9F" w:rsidRDefault="009478DB" w:rsidP="00EE1A61">
      <w:pPr>
        <w:ind w:firstLine="709"/>
        <w:jc w:val="both"/>
      </w:pPr>
      <w:r w:rsidRPr="00A81F9F">
        <w:t xml:space="preserve">Из рис. </w:t>
      </w:r>
      <w:r w:rsidR="006E4777">
        <w:t>6</w:t>
      </w:r>
      <w:r w:rsidRPr="00A81F9F">
        <w:t xml:space="preserve"> видно, что в период  1998-2007 гг. динамики роста ВВП и промышленного производства практически совпадают между собой, и только в </w:t>
      </w:r>
      <w:smartTag w:uri="urn:schemas-microsoft-com:office:smarttags" w:element="metricconverter">
        <w:smartTagPr>
          <w:attr w:name="ProductID" w:val="2008 г"/>
        </w:smartTagPr>
        <w:r w:rsidRPr="00A81F9F">
          <w:t>2008 г</w:t>
        </w:r>
      </w:smartTag>
      <w:r w:rsidRPr="00A81F9F">
        <w:t xml:space="preserve">. рост ВВП заметно опередил рост промышленного производства. Это связано с тем, что в </w:t>
      </w:r>
      <w:smartTag w:uri="urn:schemas-microsoft-com:office:smarttags" w:element="metricconverter">
        <w:smartTagPr>
          <w:attr w:name="ProductID" w:val="2008 г"/>
        </w:smartTagPr>
        <w:r w:rsidRPr="00A81F9F">
          <w:t>2008 г</w:t>
        </w:r>
      </w:smartTag>
      <w:r w:rsidRPr="00A81F9F">
        <w:t xml:space="preserve">. заметный вклад в рост российского ВВП обеспечил скачкообразный рост стоимости нефти на мировом рынке (см. рис. </w:t>
      </w:r>
      <w:r w:rsidR="006E4777">
        <w:t>7</w:t>
      </w:r>
      <w:r w:rsidRPr="00A81F9F">
        <w:t>).</w:t>
      </w:r>
    </w:p>
    <w:p w:rsidR="009478DB" w:rsidRPr="00A81F9F" w:rsidRDefault="007C1ADE" w:rsidP="001A4185">
      <w:pPr>
        <w:jc w:val="center"/>
        <w:rPr>
          <w:color w:val="000000"/>
          <w:sz w:val="19"/>
          <w:szCs w:val="19"/>
        </w:rPr>
      </w:pPr>
      <w:r>
        <w:rPr>
          <w:noProof/>
          <w:color w:val="1A3DC1"/>
          <w:sz w:val="19"/>
          <w:szCs w:val="19"/>
        </w:rPr>
        <w:drawing>
          <wp:inline distT="0" distB="0" distL="0" distR="0">
            <wp:extent cx="4743450" cy="3752850"/>
            <wp:effectExtent l="19050" t="19050" r="19050" b="19050"/>
            <wp:docPr id="123" name="Рисунок 16" descr="Price-Of-Oil">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Price-Of-Oil"/>
                    <pic:cNvPicPr>
                      <a:picLocks noChangeAspect="1" noChangeArrowheads="1"/>
                    </pic:cNvPicPr>
                  </pic:nvPicPr>
                  <pic:blipFill>
                    <a:blip r:embed="rId17" cstate="print"/>
                    <a:srcRect/>
                    <a:stretch>
                      <a:fillRect/>
                    </a:stretch>
                  </pic:blipFill>
                  <pic:spPr bwMode="auto">
                    <a:xfrm>
                      <a:off x="0" y="0"/>
                      <a:ext cx="4743450" cy="3752850"/>
                    </a:xfrm>
                    <a:prstGeom prst="rect">
                      <a:avLst/>
                    </a:prstGeom>
                    <a:noFill/>
                    <a:ln w="6350" cmpd="sng">
                      <a:solidFill>
                        <a:srgbClr val="000000"/>
                      </a:solidFill>
                      <a:miter lim="800000"/>
                      <a:headEnd/>
                      <a:tailEnd/>
                    </a:ln>
                    <a:effectLst/>
                  </pic:spPr>
                </pic:pic>
              </a:graphicData>
            </a:graphic>
          </wp:inline>
        </w:drawing>
      </w:r>
    </w:p>
    <w:p w:rsidR="001A4185" w:rsidRDefault="001A4185" w:rsidP="001A4185">
      <w:pPr>
        <w:ind w:firstLine="851"/>
        <w:jc w:val="center"/>
      </w:pPr>
    </w:p>
    <w:p w:rsidR="009478DB" w:rsidRPr="00A81F9F" w:rsidRDefault="009478DB" w:rsidP="001A4185">
      <w:pPr>
        <w:ind w:firstLine="851"/>
        <w:jc w:val="both"/>
      </w:pPr>
      <w:r w:rsidRPr="00A81F9F">
        <w:t xml:space="preserve">Рис. </w:t>
      </w:r>
      <w:r w:rsidR="006E4777">
        <w:t>7</w:t>
      </w:r>
      <w:r w:rsidRPr="00A81F9F">
        <w:t>. Номинальная и реальная стоимость нефти на мировом рынке в период 1996-201</w:t>
      </w:r>
      <w:r w:rsidR="002464FE">
        <w:t>1</w:t>
      </w:r>
      <w:r w:rsidRPr="00A81F9F">
        <w:t xml:space="preserve"> гг.</w:t>
      </w:r>
    </w:p>
    <w:p w:rsidR="009478DB" w:rsidRPr="00A81F9F" w:rsidRDefault="009478DB" w:rsidP="00EE1A61">
      <w:pPr>
        <w:ind w:firstLine="709"/>
        <w:jc w:val="both"/>
      </w:pPr>
    </w:p>
    <w:p w:rsidR="009478DB" w:rsidRPr="00A81F9F" w:rsidRDefault="009478DB" w:rsidP="00EE1A61">
      <w:pPr>
        <w:ind w:firstLine="709"/>
        <w:jc w:val="both"/>
      </w:pPr>
      <w:r w:rsidRPr="00A81F9F">
        <w:t xml:space="preserve"> Из рис. </w:t>
      </w:r>
      <w:r w:rsidR="006E4777">
        <w:t>7</w:t>
      </w:r>
      <w:r w:rsidRPr="00A81F9F">
        <w:t xml:space="preserve"> видно, что пик стоимости нефти пришелся на  сентябрь </w:t>
      </w:r>
      <w:smartTag w:uri="urn:schemas-microsoft-com:office:smarttags" w:element="metricconverter">
        <w:smartTagPr>
          <w:attr w:name="ProductID" w:val="2008 г"/>
        </w:smartTagPr>
        <w:r w:rsidRPr="00A81F9F">
          <w:t>2008 г</w:t>
        </w:r>
      </w:smartTag>
      <w:r w:rsidRPr="00A81F9F">
        <w:t xml:space="preserve">., по сравнению с сентябрем </w:t>
      </w:r>
      <w:smartTag w:uri="urn:schemas-microsoft-com:office:smarttags" w:element="metricconverter">
        <w:smartTagPr>
          <w:attr w:name="ProductID" w:val="2007 г"/>
        </w:smartTagPr>
        <w:r w:rsidRPr="00A81F9F">
          <w:t>2007 г</w:t>
        </w:r>
      </w:smartTag>
      <w:r w:rsidRPr="00A81F9F">
        <w:t xml:space="preserve">. стоимость нефти была выше почти в 2 раза. Стоимость нефти марки </w:t>
      </w:r>
      <w:r w:rsidRPr="00A81F9F">
        <w:rPr>
          <w:lang w:val="en-US"/>
        </w:rPr>
        <w:t>Urals</w:t>
      </w:r>
      <w:r w:rsidRPr="00A81F9F">
        <w:t xml:space="preserve"> в </w:t>
      </w:r>
      <w:smartTag w:uri="urn:schemas-microsoft-com:office:smarttags" w:element="metricconverter">
        <w:smartTagPr>
          <w:attr w:name="ProductID" w:val="2007 г"/>
        </w:smartTagPr>
        <w:r w:rsidRPr="00A81F9F">
          <w:t>2007 г</w:t>
        </w:r>
      </w:smartTag>
      <w:r w:rsidRPr="00A81F9F">
        <w:t xml:space="preserve">. составляла 74,6 $ за баррель, а в </w:t>
      </w:r>
      <w:smartTag w:uri="urn:schemas-microsoft-com:office:smarttags" w:element="metricconverter">
        <w:smartTagPr>
          <w:attr w:name="ProductID" w:val="2008 г"/>
        </w:smartTagPr>
        <w:r w:rsidRPr="00A81F9F">
          <w:t>2008 г</w:t>
        </w:r>
      </w:smartTag>
      <w:r w:rsidRPr="00A81F9F">
        <w:t xml:space="preserve"> – 94,4 $ за баррель. Такой скачкообразный рост стоимости (почти на 20%) без соответствующего роста промышленного производства и должен был вызвать уменьшение доли производства товаров в структуре ВВП (рис. </w:t>
      </w:r>
      <w:r w:rsidR="006E4777">
        <w:t>8</w:t>
      </w:r>
      <w:r w:rsidRPr="00A81F9F">
        <w:t xml:space="preserve">). Однако такая картина имела место только в </w:t>
      </w:r>
      <w:smartTag w:uri="urn:schemas-microsoft-com:office:smarttags" w:element="metricconverter">
        <w:smartTagPr>
          <w:attr w:name="ProductID" w:val="2008 г"/>
        </w:smartTagPr>
        <w:r w:rsidRPr="00A81F9F">
          <w:t>2008 г</w:t>
        </w:r>
      </w:smartTag>
      <w:r w:rsidRPr="00A81F9F">
        <w:t xml:space="preserve">. </w:t>
      </w:r>
    </w:p>
    <w:p w:rsidR="009478DB" w:rsidRPr="00A81F9F" w:rsidRDefault="009478DB" w:rsidP="00EE1A61">
      <w:pPr>
        <w:ind w:firstLine="709"/>
        <w:jc w:val="both"/>
      </w:pPr>
      <w:r w:rsidRPr="00A81F9F">
        <w:t xml:space="preserve">Интересно рассмотреть, как менялась сама структура ВВП по годам в период 1991 – 2011гг., особенно в </w:t>
      </w:r>
      <w:smartTag w:uri="urn:schemas-microsoft-com:office:smarttags" w:element="metricconverter">
        <w:smartTagPr>
          <w:attr w:name="ProductID" w:val="2008 г"/>
        </w:smartTagPr>
        <w:r w:rsidRPr="00A81F9F">
          <w:t>2008 г</w:t>
        </w:r>
      </w:smartTag>
      <w:r w:rsidRPr="00A81F9F">
        <w:t xml:space="preserve">., когда происходил существенный рост стоимости нефти и соответствующее ее влияние на долю производства товаров в ВВП, и в 2009г., когда эта стоимость скачкообразно упала из-за мирового экономического кризиса. </w:t>
      </w:r>
    </w:p>
    <w:p w:rsidR="009478DB" w:rsidRPr="00A81F9F" w:rsidRDefault="009478DB" w:rsidP="00EE1A61">
      <w:pPr>
        <w:ind w:firstLine="709"/>
        <w:jc w:val="both"/>
      </w:pPr>
      <w:r w:rsidRPr="00A81F9F">
        <w:t>На рис</w:t>
      </w:r>
      <w:r w:rsidR="00D7473C">
        <w:t>.</w:t>
      </w:r>
      <w:r w:rsidRPr="00A81F9F">
        <w:t xml:space="preserve"> </w:t>
      </w:r>
      <w:r w:rsidR="006E4777">
        <w:t>8</w:t>
      </w:r>
      <w:r w:rsidRPr="00A81F9F">
        <w:t xml:space="preserve"> показано изменение структуры ВВП по годам в период 1991 – 2011гг.  </w:t>
      </w:r>
    </w:p>
    <w:p w:rsidR="009478DB" w:rsidRPr="00A81F9F" w:rsidRDefault="009478DB" w:rsidP="00EE1A61">
      <w:pPr>
        <w:ind w:firstLine="709"/>
        <w:jc w:val="both"/>
      </w:pPr>
    </w:p>
    <w:p w:rsidR="009478DB" w:rsidRPr="00A81F9F" w:rsidRDefault="007C1ADE" w:rsidP="00EE1A61">
      <w:pPr>
        <w:jc w:val="center"/>
      </w:pPr>
      <w:r>
        <w:rPr>
          <w:noProof/>
        </w:rPr>
        <w:drawing>
          <wp:inline distT="0" distB="0" distL="0" distR="0">
            <wp:extent cx="5267325" cy="3486150"/>
            <wp:effectExtent l="19050" t="19050" r="28575" b="19050"/>
            <wp:docPr id="12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srcRect l="29688" t="25703" r="18239" b="32143"/>
                    <a:stretch>
                      <a:fillRect/>
                    </a:stretch>
                  </pic:blipFill>
                  <pic:spPr bwMode="auto">
                    <a:xfrm>
                      <a:off x="0" y="0"/>
                      <a:ext cx="5267325" cy="3486150"/>
                    </a:xfrm>
                    <a:prstGeom prst="rect">
                      <a:avLst/>
                    </a:prstGeom>
                    <a:noFill/>
                    <a:ln w="6350" cmpd="sng">
                      <a:solidFill>
                        <a:srgbClr val="000000"/>
                      </a:solidFill>
                      <a:miter lim="800000"/>
                      <a:headEnd/>
                      <a:tailEnd/>
                    </a:ln>
                    <a:effectLst/>
                  </pic:spPr>
                </pic:pic>
              </a:graphicData>
            </a:graphic>
          </wp:inline>
        </w:drawing>
      </w:r>
    </w:p>
    <w:p w:rsidR="009478DB" w:rsidRPr="00A81F9F" w:rsidRDefault="009478DB" w:rsidP="00EE1A61">
      <w:pPr>
        <w:ind w:firstLine="709"/>
        <w:jc w:val="both"/>
      </w:pPr>
    </w:p>
    <w:p w:rsidR="009478DB" w:rsidRPr="00A81F9F" w:rsidRDefault="009478DB" w:rsidP="006067C9">
      <w:pPr>
        <w:ind w:firstLine="851"/>
        <w:jc w:val="both"/>
      </w:pPr>
      <w:r w:rsidRPr="00A81F9F">
        <w:t xml:space="preserve">Рис. </w:t>
      </w:r>
      <w:r w:rsidR="006E4777">
        <w:t>8</w:t>
      </w:r>
      <w:r w:rsidRPr="00A81F9F">
        <w:t>. Доли производства товаров и услуг в ВВП России по годам в период 1991-2011 гг.</w:t>
      </w:r>
    </w:p>
    <w:p w:rsidR="009478DB" w:rsidRPr="00A81F9F" w:rsidRDefault="009478DB" w:rsidP="00EE1A61">
      <w:pPr>
        <w:ind w:firstLine="709"/>
        <w:jc w:val="both"/>
      </w:pPr>
    </w:p>
    <w:p w:rsidR="009478DB" w:rsidRPr="00A81F9F" w:rsidRDefault="00D7473C" w:rsidP="00EE1A61">
      <w:pPr>
        <w:ind w:firstLine="709"/>
        <w:jc w:val="both"/>
      </w:pPr>
      <w:r>
        <w:t xml:space="preserve">Из рис. </w:t>
      </w:r>
      <w:r w:rsidR="006E4777">
        <w:t>8</w:t>
      </w:r>
      <w:r w:rsidR="009478DB" w:rsidRPr="00A81F9F">
        <w:t xml:space="preserve"> видно, что доля производства товаров в ВВП России упала с 63% в </w:t>
      </w:r>
      <w:smartTag w:uri="urn:schemas-microsoft-com:office:smarttags" w:element="metricconverter">
        <w:smartTagPr>
          <w:attr w:name="ProductID" w:val="1991 г"/>
        </w:smartTagPr>
        <w:r w:rsidR="009478DB" w:rsidRPr="00A81F9F">
          <w:t>1991 г</w:t>
        </w:r>
      </w:smartTag>
      <w:r w:rsidR="009478DB" w:rsidRPr="00A81F9F">
        <w:t xml:space="preserve">. до 43,8% в </w:t>
      </w:r>
      <w:smartTag w:uri="urn:schemas-microsoft-com:office:smarttags" w:element="metricconverter">
        <w:smartTagPr>
          <w:attr w:name="ProductID" w:val="1998 г"/>
        </w:smartTagPr>
        <w:r w:rsidR="009478DB" w:rsidRPr="00A81F9F">
          <w:t>1998 г</w:t>
        </w:r>
      </w:smartTag>
      <w:r w:rsidR="009478DB" w:rsidRPr="00A81F9F">
        <w:t xml:space="preserve">., и в последующие годы мало изменялась и находилась в диапазоне 40-45%. Это объясняется тем, что в России динамика роста промышленного производства тесно привязана к динамике роста ВВП, как это видно из рис. </w:t>
      </w:r>
      <w:r w:rsidR="00417F16">
        <w:t>6</w:t>
      </w:r>
      <w:r w:rsidR="009478DB" w:rsidRPr="00A81F9F">
        <w:t xml:space="preserve">. И даже в 2007 – 2008гг. доля производства товаров даже уменьшилась по сравнению с 2005 – 2006гг. И только в </w:t>
      </w:r>
      <w:smartTag w:uri="urn:schemas-microsoft-com:office:smarttags" w:element="metricconverter">
        <w:smartTagPr>
          <w:attr w:name="ProductID" w:val="2009 г"/>
        </w:smartTagPr>
        <w:r w:rsidR="009478DB" w:rsidRPr="00A81F9F">
          <w:t>2009 г</w:t>
        </w:r>
      </w:smartTag>
      <w:r w:rsidR="009478DB" w:rsidRPr="00A81F9F">
        <w:t xml:space="preserve">. когда имело место опережающее снижение промышленного производства (на 9,3%), по сравнению с ВВП (на 7,8%), доля производства товаров снизилась с 40% до 38%. </w:t>
      </w:r>
    </w:p>
    <w:p w:rsidR="009478DB" w:rsidRPr="00A81F9F" w:rsidRDefault="009478DB" w:rsidP="00EE1A61">
      <w:pPr>
        <w:ind w:firstLine="709"/>
        <w:jc w:val="both"/>
      </w:pPr>
      <w:r w:rsidRPr="00A81F9F">
        <w:t>Для того чтобы получить более точную связь между динамиками роста ВВП, промышленного производства и электропотребления рассмотрим ежегодные темпы изменения этих характеристик.</w:t>
      </w:r>
    </w:p>
    <w:p w:rsidR="009478DB" w:rsidRPr="00A81F9F" w:rsidRDefault="009478DB" w:rsidP="00EE1A61">
      <w:pPr>
        <w:ind w:firstLine="709"/>
        <w:jc w:val="both"/>
      </w:pPr>
    </w:p>
    <w:p w:rsidR="009478DB" w:rsidRPr="00A81F9F" w:rsidRDefault="007C1ADE" w:rsidP="00EE1A61">
      <w:pPr>
        <w:jc w:val="center"/>
      </w:pPr>
      <w:r>
        <w:rPr>
          <w:noProof/>
        </w:rPr>
        <w:drawing>
          <wp:inline distT="0" distB="0" distL="0" distR="0">
            <wp:extent cx="6067425" cy="4114800"/>
            <wp:effectExtent l="19050" t="0" r="9525" b="0"/>
            <wp:docPr id="12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l="22728" t="25146" r="8235" b="16289"/>
                    <a:stretch>
                      <a:fillRect/>
                    </a:stretch>
                  </pic:blipFill>
                  <pic:spPr bwMode="auto">
                    <a:xfrm>
                      <a:off x="0" y="0"/>
                      <a:ext cx="6067425" cy="4114800"/>
                    </a:xfrm>
                    <a:prstGeom prst="rect">
                      <a:avLst/>
                    </a:prstGeom>
                    <a:noFill/>
                    <a:ln w="9525">
                      <a:noFill/>
                      <a:miter lim="800000"/>
                      <a:headEnd/>
                      <a:tailEnd/>
                    </a:ln>
                  </pic:spPr>
                </pic:pic>
              </a:graphicData>
            </a:graphic>
          </wp:inline>
        </w:drawing>
      </w:r>
    </w:p>
    <w:p w:rsidR="009478DB" w:rsidRPr="00A81F9F" w:rsidRDefault="009478DB" w:rsidP="006067C9">
      <w:pPr>
        <w:ind w:firstLine="709"/>
        <w:jc w:val="both"/>
      </w:pPr>
      <w:r w:rsidRPr="00A81F9F">
        <w:t xml:space="preserve">Рис. </w:t>
      </w:r>
      <w:r w:rsidR="00417F16">
        <w:t>9</w:t>
      </w:r>
      <w:r w:rsidRPr="00A81F9F">
        <w:t xml:space="preserve">. Темп изменения ВВП, промышленного производства и электропотребления </w:t>
      </w:r>
      <w:r w:rsidR="003B037D">
        <w:t xml:space="preserve">в период </w:t>
      </w:r>
      <w:r w:rsidRPr="00A81F9F">
        <w:t>1990</w:t>
      </w:r>
      <w:r w:rsidR="003B037D">
        <w:t>-</w:t>
      </w:r>
      <w:r w:rsidR="00221754">
        <w:t>2013 (</w:t>
      </w:r>
      <w:r w:rsidR="00221754">
        <w:rPr>
          <w:lang w:val="en-US"/>
        </w:rPr>
        <w:t>I</w:t>
      </w:r>
      <w:r w:rsidR="00221754" w:rsidRPr="00221754">
        <w:t>-</w:t>
      </w:r>
      <w:r w:rsidR="00221754">
        <w:rPr>
          <w:lang w:val="en-US"/>
        </w:rPr>
        <w:t>III</w:t>
      </w:r>
      <w:r w:rsidR="00221754" w:rsidRPr="00221754">
        <w:t xml:space="preserve"> </w:t>
      </w:r>
      <w:r w:rsidR="00221754">
        <w:t>кВ)</w:t>
      </w:r>
      <w:r w:rsidRPr="00A81F9F">
        <w:t xml:space="preserve"> гг. </w:t>
      </w:r>
    </w:p>
    <w:p w:rsidR="009478DB" w:rsidRPr="00A81F9F" w:rsidRDefault="009478DB" w:rsidP="006067C9">
      <w:pPr>
        <w:ind w:firstLine="709"/>
        <w:jc w:val="both"/>
      </w:pPr>
    </w:p>
    <w:p w:rsidR="009478DB" w:rsidRPr="00A81F9F" w:rsidRDefault="009478DB" w:rsidP="006067C9">
      <w:pPr>
        <w:ind w:firstLine="709"/>
        <w:jc w:val="both"/>
      </w:pPr>
      <w:r w:rsidRPr="00A81F9F">
        <w:t xml:space="preserve">На рис. </w:t>
      </w:r>
      <w:r w:rsidR="00417F16">
        <w:t>9</w:t>
      </w:r>
      <w:r w:rsidRPr="00A81F9F">
        <w:t xml:space="preserve"> видно, что кривые темпов изменения ВВП, промышленного производства и электропотребления близки к эквидистантным, за исключением лет перед переходом ВВП от падения к росту (1997г.) либо на следующий год после перехода от падения к росту (2009г.).</w:t>
      </w:r>
    </w:p>
    <w:p w:rsidR="009478DB" w:rsidRPr="00A81F9F" w:rsidRDefault="009478DB" w:rsidP="00EE1A61">
      <w:pPr>
        <w:ind w:firstLine="709"/>
        <w:jc w:val="both"/>
      </w:pPr>
      <w:r w:rsidRPr="00A81F9F">
        <w:t xml:space="preserve">В период падения ВВП (1991-1997гг., </w:t>
      </w:r>
      <w:smartTag w:uri="urn:schemas-microsoft-com:office:smarttags" w:element="metricconverter">
        <w:smartTagPr>
          <w:attr w:name="ProductID" w:val="2009 г"/>
        </w:smartTagPr>
        <w:r w:rsidRPr="00A81F9F">
          <w:t>2009 г</w:t>
        </w:r>
      </w:smartTag>
      <w:r w:rsidRPr="00A81F9F">
        <w:t xml:space="preserve">.) средний темп падения ВВП составлял 7,4%, промышленного производства  - 8,9%, а электропотребления  - 3,6%. Т.е. в среднем, на 1% падения ВВП, промышленное производство падало на 1,2 %, а электроэнергия – на 0,49%. </w:t>
      </w:r>
    </w:p>
    <w:p w:rsidR="009478DB" w:rsidRPr="00A81F9F" w:rsidRDefault="009478DB" w:rsidP="00EE1A61">
      <w:pPr>
        <w:ind w:firstLine="709"/>
        <w:jc w:val="both"/>
      </w:pPr>
      <w:r w:rsidRPr="00A81F9F">
        <w:t>А в период 1999-2008 гг. -  непрерывного роста ВВП - средний темп роста ВВП составил 6,8%, промышленного производства – 5,9%, а электропотребления – 2,37%, (а в период общего р</w:t>
      </w:r>
      <w:r w:rsidR="00ED1E2A">
        <w:t xml:space="preserve">оста ВВП (1999-2008, 2011, 2012 </w:t>
      </w:r>
      <w:r w:rsidRPr="00A81F9F">
        <w:t xml:space="preserve">гг.), соответственно,  - 6,4%, 5,7% и 2,2%). Таким образом, в среднем, на 1% роста ВВП приходится 0,89% роста промышленного производства и 0,34% роста электропотребления. Можно получить близкие соотношения,  если усреднять ежегодные коэффициенты эластичности электропотребления к ВВП или к промышленному производству. </w:t>
      </w:r>
    </w:p>
    <w:p w:rsidR="009478DB" w:rsidRPr="00A81F9F" w:rsidRDefault="009478DB" w:rsidP="00EE1A61">
      <w:pPr>
        <w:ind w:firstLine="709"/>
        <w:jc w:val="both"/>
      </w:pPr>
      <w:r w:rsidRPr="00A81F9F">
        <w:t xml:space="preserve">Коэффициент эластичности электропотребления к ВВП в период 1991-2012 гг. показан на рис. </w:t>
      </w:r>
      <w:r w:rsidR="00417F16">
        <w:t>10</w:t>
      </w:r>
      <w:r w:rsidRPr="00A81F9F">
        <w:t>. (повтор рис. 4 период 1991-2012 гг., больший масштаб).</w:t>
      </w:r>
    </w:p>
    <w:p w:rsidR="009478DB" w:rsidRPr="00A81F9F" w:rsidRDefault="007C1ADE" w:rsidP="003B037D">
      <w:pPr>
        <w:ind w:hanging="540"/>
        <w:jc w:val="center"/>
      </w:pPr>
      <w:r>
        <w:rPr>
          <w:noProof/>
        </w:rPr>
        <w:drawing>
          <wp:inline distT="0" distB="0" distL="0" distR="0">
            <wp:extent cx="6000750" cy="2800350"/>
            <wp:effectExtent l="19050" t="0" r="0" b="0"/>
            <wp:docPr id="1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21739" t="30305" r="8235" b="28873"/>
                    <a:stretch>
                      <a:fillRect/>
                    </a:stretch>
                  </pic:blipFill>
                  <pic:spPr bwMode="auto">
                    <a:xfrm>
                      <a:off x="0" y="0"/>
                      <a:ext cx="6000750" cy="2800350"/>
                    </a:xfrm>
                    <a:prstGeom prst="rect">
                      <a:avLst/>
                    </a:prstGeom>
                    <a:noFill/>
                    <a:ln w="9525">
                      <a:noFill/>
                      <a:miter lim="800000"/>
                      <a:headEnd/>
                      <a:tailEnd/>
                    </a:ln>
                  </pic:spPr>
                </pic:pic>
              </a:graphicData>
            </a:graphic>
          </wp:inline>
        </w:drawing>
      </w:r>
    </w:p>
    <w:p w:rsidR="009478DB" w:rsidRPr="00A81F9F" w:rsidRDefault="009478DB" w:rsidP="006067C9">
      <w:pPr>
        <w:ind w:firstLine="709"/>
        <w:jc w:val="both"/>
      </w:pPr>
      <w:r w:rsidRPr="00A81F9F">
        <w:t xml:space="preserve">Рис. </w:t>
      </w:r>
      <w:r w:rsidR="00417F16">
        <w:t>10</w:t>
      </w:r>
      <w:r w:rsidRPr="00A81F9F">
        <w:t>. Коэффициент эластичности электропотребления к ВВП в стадии роста ВВ</w:t>
      </w:r>
      <w:r w:rsidR="00482594">
        <w:t>П в России в период 1991 –2012</w:t>
      </w:r>
      <w:r w:rsidRPr="00A81F9F">
        <w:t xml:space="preserve"> гг.</w:t>
      </w:r>
    </w:p>
    <w:p w:rsidR="009478DB" w:rsidRPr="00A81F9F" w:rsidRDefault="009478DB" w:rsidP="00EE1A61">
      <w:pPr>
        <w:ind w:firstLine="709"/>
        <w:jc w:val="both"/>
      </w:pPr>
    </w:p>
    <w:p w:rsidR="009478DB" w:rsidRPr="00A81F9F" w:rsidRDefault="009478DB" w:rsidP="00EE1A61">
      <w:pPr>
        <w:ind w:firstLine="709"/>
        <w:jc w:val="both"/>
      </w:pPr>
      <w:r w:rsidRPr="00A81F9F">
        <w:t>Из рис. 1</w:t>
      </w:r>
      <w:r w:rsidR="00417F16">
        <w:t>0</w:t>
      </w:r>
      <w:r w:rsidRPr="00A81F9F">
        <w:t xml:space="preserve"> видно, что коэффициент эластичности в период падения ВВП несколько выше, чем в период роста ВВП. Следует отметить, что в </w:t>
      </w:r>
      <w:smartTag w:uri="urn:schemas-microsoft-com:office:smarttags" w:element="metricconverter">
        <w:smartTagPr>
          <w:attr w:name="ProductID" w:val="1998 г"/>
        </w:smartTagPr>
        <w:r w:rsidRPr="00A81F9F">
          <w:t>1998 г</w:t>
        </w:r>
      </w:smartTag>
      <w:r w:rsidRPr="00A81F9F">
        <w:t xml:space="preserve">. - в год экономического кризиса и в </w:t>
      </w:r>
      <w:smartTag w:uri="urn:schemas-microsoft-com:office:smarttags" w:element="metricconverter">
        <w:smartTagPr>
          <w:attr w:name="ProductID" w:val="2012 г"/>
        </w:smartTagPr>
        <w:r w:rsidRPr="00A81F9F">
          <w:t>2012 г</w:t>
        </w:r>
      </w:smartTag>
      <w:r w:rsidRPr="00A81F9F">
        <w:t xml:space="preserve">. – в год сразу после экономического кризиса </w:t>
      </w:r>
      <w:smartTag w:uri="urn:schemas-microsoft-com:office:smarttags" w:element="metricconverter">
        <w:smartTagPr>
          <w:attr w:name="ProductID" w:val="2009 г"/>
        </w:smartTagPr>
        <w:r w:rsidRPr="00A81F9F">
          <w:t>2009 г</w:t>
        </w:r>
      </w:smartTag>
      <w:r w:rsidRPr="00A81F9F">
        <w:t xml:space="preserve">., значения коэффициента эластичности неустойчивые, и в последующем анализе они не будут рассматриваться. Среднегодовое значение коэффициента эластичности в период падения ВВП (1991 – 1997гг., 2009г.) равняется </w:t>
      </w:r>
      <w:r w:rsidRPr="00A81F9F">
        <w:rPr>
          <w:rStyle w:val="af5"/>
          <w:rFonts w:eastAsia="Calibri"/>
          <w:sz w:val="30"/>
        </w:rPr>
        <w:t>0,5</w:t>
      </w:r>
      <w:r w:rsidRPr="00A81F9F">
        <w:t xml:space="preserve">, а среднегодовое значение коэффициента эластичности в период роста ВВП (1999 – 2008гг., 2011г., </w:t>
      </w:r>
      <w:smartTag w:uri="urn:schemas-microsoft-com:office:smarttags" w:element="metricconverter">
        <w:smartTagPr>
          <w:attr w:name="ProductID" w:val="2012 г"/>
        </w:smartTagPr>
        <w:r w:rsidRPr="00A81F9F">
          <w:t>2012 г</w:t>
        </w:r>
      </w:smartTag>
      <w:r w:rsidRPr="00A81F9F">
        <w:t xml:space="preserve">..) равняется </w:t>
      </w:r>
      <w:r w:rsidRPr="00A81F9F">
        <w:rPr>
          <w:rStyle w:val="af5"/>
          <w:rFonts w:eastAsia="Calibri"/>
          <w:sz w:val="30"/>
        </w:rPr>
        <w:t>0,3</w:t>
      </w:r>
      <w:r w:rsidR="00D5281E">
        <w:rPr>
          <w:rStyle w:val="af5"/>
          <w:rFonts w:eastAsia="Calibri"/>
          <w:sz w:val="30"/>
        </w:rPr>
        <w:t>7</w:t>
      </w:r>
      <w:r w:rsidRPr="00A81F9F">
        <w:t xml:space="preserve">. Это значит, что в этот период </w:t>
      </w:r>
      <w:r w:rsidRPr="00A81F9F">
        <w:rPr>
          <w:rStyle w:val="af5"/>
          <w:rFonts w:eastAsia="Calibri"/>
          <w:sz w:val="30"/>
        </w:rPr>
        <w:t>на 1%</w:t>
      </w:r>
      <w:r w:rsidRPr="00A81F9F">
        <w:t xml:space="preserve"> среднегодового роста ВВП приходилось в среднем </w:t>
      </w:r>
      <w:r w:rsidR="00D5281E">
        <w:rPr>
          <w:rStyle w:val="af5"/>
          <w:rFonts w:eastAsia="Calibri"/>
          <w:sz w:val="30"/>
        </w:rPr>
        <w:t>0,37</w:t>
      </w:r>
      <w:r w:rsidRPr="00A81F9F">
        <w:rPr>
          <w:rStyle w:val="af5"/>
          <w:rFonts w:eastAsia="Calibri"/>
          <w:sz w:val="30"/>
        </w:rPr>
        <w:t>%</w:t>
      </w:r>
      <w:r w:rsidRPr="00A81F9F">
        <w:t xml:space="preserve"> роста энергопотребления в год. Интересно, что в период роста ВВП, в первые 6 лет (1999-2004 гг.) средний коэффициент эластичности равнялся 0,312, во вторые 6 лет (2005-</w:t>
      </w:r>
      <w:r w:rsidR="00D5281E">
        <w:t>2008; 2011-</w:t>
      </w:r>
      <w:r w:rsidRPr="00A81F9F">
        <w:t>2012 гг.</w:t>
      </w:r>
      <w:r w:rsidR="00ED1E2A">
        <w:t>)</w:t>
      </w:r>
      <w:r w:rsidR="00417F16">
        <w:t xml:space="preserve"> </w:t>
      </w:r>
      <w:r w:rsidR="00D5281E">
        <w:t>– 0,42</w:t>
      </w:r>
      <w:r w:rsidRPr="00A81F9F">
        <w:t>, в период 2002-2007 гг.  – 0,317. Эти значения отличаются</w:t>
      </w:r>
      <w:r w:rsidR="00213F38">
        <w:t xml:space="preserve"> друг от друга почти на 14% и 30</w:t>
      </w:r>
      <w:r w:rsidRPr="00A81F9F">
        <w:t xml:space="preserve">%, соответственно. Если же взять  период осреднения 10 лет, тогда  1999-2008 гг. среднее значение коэффициента эластичности будет равняться 0,334, </w:t>
      </w:r>
      <w:r w:rsidR="00213F38">
        <w:t>а в период 2001-2008;2011-2012 гг. – 0,36</w:t>
      </w:r>
      <w:r w:rsidRPr="00A81F9F">
        <w:t xml:space="preserve">, </w:t>
      </w:r>
      <w:r w:rsidR="00213F38">
        <w:t>а в период 2000-2011 гг. – 0,34</w:t>
      </w:r>
      <w:r w:rsidRPr="00A81F9F">
        <w:t>. Разница между эти</w:t>
      </w:r>
      <w:r w:rsidR="00213F38">
        <w:t>ми значениями составляет 6</w:t>
      </w:r>
      <w:r w:rsidRPr="00A81F9F">
        <w:t xml:space="preserve">%. Это значит, что чтобы получить устойчивое значение среднего коэффициента эластичности независимого от периода осреднения, необходимо, чтобы этот период составлял </w:t>
      </w:r>
      <w:r w:rsidRPr="00A81F9F">
        <w:rPr>
          <w:rStyle w:val="af5"/>
          <w:rFonts w:eastAsia="Calibri"/>
          <w:sz w:val="30"/>
        </w:rPr>
        <w:t>не  менее 10 лет</w:t>
      </w:r>
      <w:r w:rsidRPr="00A81F9F">
        <w:t xml:space="preserve">. Это еще один </w:t>
      </w:r>
      <w:r w:rsidRPr="00A81F9F">
        <w:rPr>
          <w:rStyle w:val="af5"/>
          <w:rFonts w:eastAsia="Calibri"/>
          <w:sz w:val="30"/>
        </w:rPr>
        <w:t>параметр</w:t>
      </w:r>
      <w:r w:rsidRPr="00A81F9F">
        <w:t>, который характеризует российскую экономику.</w:t>
      </w:r>
    </w:p>
    <w:p w:rsidR="009478DB" w:rsidRPr="00A81F9F" w:rsidRDefault="009478DB" w:rsidP="00EE1A61">
      <w:pPr>
        <w:ind w:firstLine="709"/>
        <w:jc w:val="both"/>
      </w:pPr>
      <w:r w:rsidRPr="00A81F9F">
        <w:t xml:space="preserve">Единственное отличие периода 2011-2020 гг. от периода 1999-2011 гг. – это  заметно большее влияние энерго-, электросберегающих технологий как со стороны производителей, так со стороны потребителей электроэнергии в стране. Так как началась реализация  мероприятий по энерго-, электросбережению в соответствии с федеральным законом </w:t>
      </w:r>
      <w:hyperlink r:id="rId21" w:history="1">
        <w:r w:rsidRPr="00A81F9F">
          <w:rPr>
            <w:rStyle w:val="a4"/>
          </w:rPr>
          <w:t>http://www.rg.ru/2009/11/27/energo-dok.html</w:t>
        </w:r>
      </w:hyperlink>
      <w:r w:rsidRPr="00A81F9F">
        <w:t xml:space="preserve"> (Федеральный закон от 23.11.2009 г. №261-ФЗ)  и  Постановлением правительства РФ по электросбережению 2009-2010 гг. </w:t>
      </w:r>
      <w:hyperlink r:id="rId22" w:history="1">
        <w:r w:rsidRPr="00A81F9F">
          <w:rPr>
            <w:rStyle w:val="a4"/>
          </w:rPr>
          <w:t>http://base.garant.ru/12172853/</w:t>
        </w:r>
      </w:hyperlink>
      <w:r w:rsidRPr="00A81F9F">
        <w:t xml:space="preserve"> (Постановление Правительства РФ от 31.12.2009 г. № 1225), </w:t>
      </w:r>
      <w:hyperlink r:id="rId23" w:history="1">
        <w:r w:rsidRPr="00A81F9F">
          <w:rPr>
            <w:rStyle w:val="a4"/>
          </w:rPr>
          <w:t>http://www.garant.ru/products/ipo/prime/doc/98256/</w:t>
        </w:r>
      </w:hyperlink>
      <w:r w:rsidRPr="00A81F9F">
        <w:t xml:space="preserve"> (Постановление Правительства РФ от 15.05.2010 г. № 340). </w:t>
      </w:r>
    </w:p>
    <w:p w:rsidR="009478DB" w:rsidRPr="00A81F9F" w:rsidRDefault="009478DB" w:rsidP="00EE1A61">
      <w:pPr>
        <w:ind w:firstLine="709"/>
        <w:jc w:val="both"/>
      </w:pPr>
      <w:r w:rsidRPr="00A81F9F">
        <w:t xml:space="preserve">В результате, темп роста электропотребления в стране, приходящийся на 1% роста ВВП, должен снизиться к 2020г. на 20%. Это значит, что среднегодовой коэффициент эластичности в период 2011-2020 гг. уменьшится на 10%  - с </w:t>
      </w:r>
      <w:r w:rsidRPr="00A81F9F">
        <w:rPr>
          <w:rStyle w:val="af5"/>
          <w:rFonts w:eastAsia="Calibri"/>
          <w:sz w:val="30"/>
        </w:rPr>
        <w:t>0,3</w:t>
      </w:r>
      <w:r w:rsidR="00314161">
        <w:rPr>
          <w:rStyle w:val="af5"/>
          <w:rFonts w:eastAsia="Calibri"/>
          <w:sz w:val="30"/>
        </w:rPr>
        <w:t>7</w:t>
      </w:r>
      <w:r w:rsidRPr="00A81F9F">
        <w:t xml:space="preserve"> до </w:t>
      </w:r>
      <w:r w:rsidRPr="00A81F9F">
        <w:rPr>
          <w:rStyle w:val="af5"/>
          <w:rFonts w:eastAsia="Calibri"/>
          <w:sz w:val="30"/>
        </w:rPr>
        <w:t>0,3</w:t>
      </w:r>
      <w:r w:rsidR="00314161">
        <w:rPr>
          <w:rStyle w:val="af5"/>
          <w:rFonts w:eastAsia="Calibri"/>
          <w:sz w:val="30"/>
        </w:rPr>
        <w:t>3</w:t>
      </w:r>
      <w:r w:rsidRPr="00A81F9F">
        <w:t>.</w:t>
      </w:r>
    </w:p>
    <w:p w:rsidR="009478DB" w:rsidRPr="00A81F9F" w:rsidRDefault="009478DB" w:rsidP="00EE1A61">
      <w:pPr>
        <w:ind w:firstLine="709"/>
        <w:jc w:val="both"/>
      </w:pPr>
      <w:r w:rsidRPr="00A81F9F">
        <w:rPr>
          <w:rStyle w:val="af5"/>
          <w:rFonts w:eastAsia="Calibri"/>
          <w:sz w:val="30"/>
        </w:rPr>
        <w:t>Таким образом, для России на период 201</w:t>
      </w:r>
      <w:r w:rsidR="00020926">
        <w:rPr>
          <w:rStyle w:val="af5"/>
          <w:rFonts w:eastAsia="Calibri"/>
          <w:sz w:val="30"/>
        </w:rPr>
        <w:t>3</w:t>
      </w:r>
      <w:r w:rsidRPr="00A81F9F">
        <w:rPr>
          <w:rStyle w:val="af5"/>
          <w:rFonts w:eastAsia="Calibri"/>
          <w:sz w:val="30"/>
        </w:rPr>
        <w:t>-202</w:t>
      </w:r>
      <w:r w:rsidR="00020926">
        <w:rPr>
          <w:rStyle w:val="af5"/>
          <w:rFonts w:eastAsia="Calibri"/>
          <w:sz w:val="30"/>
        </w:rPr>
        <w:t>4</w:t>
      </w:r>
      <w:r w:rsidRPr="00A81F9F">
        <w:rPr>
          <w:rStyle w:val="af5"/>
          <w:rFonts w:eastAsia="Calibri"/>
          <w:sz w:val="30"/>
        </w:rPr>
        <w:t xml:space="preserve"> гг. получено значение среднего коэффициента эластичности электропотребления к ВВП, </w:t>
      </w:r>
      <w:r w:rsidRPr="00A81F9F">
        <w:rPr>
          <w:b/>
          <w:sz w:val="32"/>
          <w:szCs w:val="32"/>
        </w:rPr>
        <w:t>равное 0,3</w:t>
      </w:r>
      <w:r w:rsidR="00314161">
        <w:rPr>
          <w:b/>
          <w:sz w:val="32"/>
          <w:szCs w:val="32"/>
        </w:rPr>
        <w:t>3</w:t>
      </w:r>
      <w:r w:rsidRPr="00A81F9F">
        <w:rPr>
          <w:rStyle w:val="af5"/>
          <w:rFonts w:eastAsia="Calibri"/>
          <w:sz w:val="30"/>
        </w:rPr>
        <w:t>. Это позволяет прогнозировать среднегодовой темп электропотребления в стране при заданном среднегодовом темпе роста ВВП на горизонте времени масштаба 10 лет до 202</w:t>
      </w:r>
      <w:r w:rsidR="00020926">
        <w:rPr>
          <w:rStyle w:val="af5"/>
          <w:rFonts w:eastAsia="Calibri"/>
          <w:sz w:val="30"/>
        </w:rPr>
        <w:t>2</w:t>
      </w:r>
      <w:r w:rsidRPr="00A81F9F">
        <w:rPr>
          <w:rStyle w:val="af5"/>
          <w:rFonts w:eastAsia="Calibri"/>
          <w:sz w:val="30"/>
        </w:rPr>
        <w:t>-202</w:t>
      </w:r>
      <w:r w:rsidR="00020926">
        <w:rPr>
          <w:rStyle w:val="af5"/>
          <w:rFonts w:eastAsia="Calibri"/>
          <w:sz w:val="30"/>
        </w:rPr>
        <w:t>4</w:t>
      </w:r>
      <w:r w:rsidRPr="00A81F9F">
        <w:rPr>
          <w:rStyle w:val="af5"/>
          <w:rFonts w:eastAsia="Calibri"/>
          <w:sz w:val="30"/>
        </w:rPr>
        <w:t xml:space="preserve"> гг.</w:t>
      </w:r>
      <w:r w:rsidRPr="00A81F9F">
        <w:t xml:space="preserve"> </w:t>
      </w:r>
    </w:p>
    <w:p w:rsidR="009478DB" w:rsidRPr="00A81F9F" w:rsidRDefault="009478DB" w:rsidP="00EE1A61">
      <w:pPr>
        <w:ind w:firstLine="709"/>
        <w:jc w:val="both"/>
      </w:pPr>
      <w:r w:rsidRPr="00A81F9F">
        <w:t xml:space="preserve">Интересно определить и коэффициент эластичности электропотребления к промышленному производству. Следует отметить, что в России практически </w:t>
      </w:r>
      <w:r w:rsidR="00B75C4B">
        <w:t>60%</w:t>
      </w:r>
      <w:r w:rsidRPr="00A81F9F">
        <w:t xml:space="preserve"> электропотребления приходится как раз на промышленное производство.</w:t>
      </w:r>
    </w:p>
    <w:p w:rsidR="009478DB" w:rsidRDefault="009478DB" w:rsidP="00EE1A61">
      <w:pPr>
        <w:ind w:firstLine="709"/>
        <w:jc w:val="both"/>
      </w:pPr>
      <w:bookmarkStart w:id="38" w:name="OLE_LINK5"/>
      <w:bookmarkStart w:id="39" w:name="OLE_LINK6"/>
      <w:r w:rsidRPr="00A81F9F">
        <w:t>На рис. 1</w:t>
      </w:r>
      <w:r w:rsidR="00417F16">
        <w:t>1</w:t>
      </w:r>
      <w:r w:rsidRPr="00A81F9F">
        <w:t xml:space="preserve"> показано ежегодное значение коэффициента эластичности электропотребления к промышленному производству в период 1991-</w:t>
      </w:r>
      <w:r w:rsidR="00ED1E2A">
        <w:t xml:space="preserve">2012 </w:t>
      </w:r>
      <w:r w:rsidRPr="00A81F9F">
        <w:t>гг.</w:t>
      </w:r>
    </w:p>
    <w:p w:rsidR="00B51D6F" w:rsidRPr="00A81F9F" w:rsidRDefault="00B51D6F" w:rsidP="00EE1A61">
      <w:pPr>
        <w:ind w:firstLine="709"/>
        <w:jc w:val="both"/>
      </w:pPr>
    </w:p>
    <w:p w:rsidR="009478DB" w:rsidRPr="00A81F9F" w:rsidRDefault="007C1ADE" w:rsidP="00EE1A61">
      <w:pPr>
        <w:jc w:val="both"/>
      </w:pPr>
      <w:r>
        <w:rPr>
          <w:noProof/>
        </w:rPr>
        <w:drawing>
          <wp:inline distT="0" distB="0" distL="0" distR="0">
            <wp:extent cx="6276975" cy="3829050"/>
            <wp:effectExtent l="19050" t="0" r="9525" b="0"/>
            <wp:docPr id="119" name="Диаграмма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
                    <pic:cNvPicPr>
                      <a:picLocks noChangeArrowheads="1"/>
                    </pic:cNvPicPr>
                  </pic:nvPicPr>
                  <pic:blipFill>
                    <a:blip r:embed="rId24" cstate="print"/>
                    <a:srcRect/>
                    <a:stretch>
                      <a:fillRect/>
                    </a:stretch>
                  </pic:blipFill>
                  <pic:spPr bwMode="auto">
                    <a:xfrm>
                      <a:off x="0" y="0"/>
                      <a:ext cx="6276975" cy="3829050"/>
                    </a:xfrm>
                    <a:prstGeom prst="rect">
                      <a:avLst/>
                    </a:prstGeom>
                    <a:solidFill>
                      <a:srgbClr val="000000"/>
                    </a:solidFill>
                    <a:ln w="9525">
                      <a:noFill/>
                      <a:miter lim="800000"/>
                      <a:headEnd/>
                      <a:tailEnd/>
                    </a:ln>
                  </pic:spPr>
                </pic:pic>
              </a:graphicData>
            </a:graphic>
          </wp:inline>
        </w:drawing>
      </w:r>
    </w:p>
    <w:p w:rsidR="00B51D6F" w:rsidRDefault="00B51D6F" w:rsidP="00EE1A61">
      <w:pPr>
        <w:ind w:firstLine="709"/>
        <w:jc w:val="center"/>
      </w:pPr>
    </w:p>
    <w:p w:rsidR="00B51D6F" w:rsidRDefault="009478DB" w:rsidP="006067C9">
      <w:pPr>
        <w:ind w:firstLine="709"/>
        <w:jc w:val="both"/>
      </w:pPr>
      <w:r w:rsidRPr="00A81F9F">
        <w:t>Рис. 1</w:t>
      </w:r>
      <w:r w:rsidR="00417F16">
        <w:t>1</w:t>
      </w:r>
      <w:r w:rsidRPr="00A81F9F">
        <w:t xml:space="preserve">. Динамика изменения коэффициента эластичности электропотребления к </w:t>
      </w:r>
    </w:p>
    <w:p w:rsidR="009478DB" w:rsidRPr="00A81F9F" w:rsidRDefault="009478DB" w:rsidP="006067C9">
      <w:pPr>
        <w:jc w:val="both"/>
      </w:pPr>
      <w:r w:rsidRPr="00A81F9F">
        <w:t>промышленному производству в России в период 1991-2012 гг.</w:t>
      </w:r>
    </w:p>
    <w:p w:rsidR="009478DB" w:rsidRPr="00A81F9F" w:rsidRDefault="009478DB" w:rsidP="00EE1A61">
      <w:pPr>
        <w:ind w:firstLine="709"/>
        <w:jc w:val="both"/>
      </w:pPr>
    </w:p>
    <w:p w:rsidR="009478DB" w:rsidRPr="00A81F9F" w:rsidRDefault="009478DB" w:rsidP="00EE1A61">
      <w:pPr>
        <w:ind w:firstLine="709"/>
        <w:jc w:val="both"/>
      </w:pPr>
      <w:r w:rsidRPr="00A81F9F">
        <w:t>Из рис.1</w:t>
      </w:r>
      <w:r w:rsidR="00417F16">
        <w:t>1</w:t>
      </w:r>
      <w:r w:rsidRPr="00A81F9F">
        <w:t xml:space="preserve"> видно, что ежегодный коэффициент эластичности изменяется в диапазоне от 0,12 до 0,65</w:t>
      </w:r>
      <w:r w:rsidRPr="00A81F9F">
        <w:rPr>
          <w:rStyle w:val="af5"/>
          <w:rFonts w:eastAsia="Calibri"/>
          <w:sz w:val="30"/>
        </w:rPr>
        <w:t xml:space="preserve">. </w:t>
      </w:r>
      <w:r w:rsidRPr="00A81F9F">
        <w:t>При этом</w:t>
      </w:r>
      <w:r w:rsidRPr="00A81F9F">
        <w:rPr>
          <w:rStyle w:val="af5"/>
          <w:rFonts w:eastAsia="Calibri"/>
          <w:sz w:val="30"/>
        </w:rPr>
        <w:t xml:space="preserve"> </w:t>
      </w:r>
      <w:r w:rsidRPr="00A81F9F">
        <w:t xml:space="preserve">значения коэффициента эластичности в годы, предшествующие экономическим кризисам (1997г. и </w:t>
      </w:r>
      <w:smartTag w:uri="urn:schemas-microsoft-com:office:smarttags" w:element="metricconverter">
        <w:smartTagPr>
          <w:attr w:name="ProductID" w:val="2008 г"/>
        </w:smartTagPr>
        <w:r w:rsidRPr="00A81F9F">
          <w:t>2008 г</w:t>
        </w:r>
      </w:smartTag>
      <w:r w:rsidRPr="00A81F9F">
        <w:t>.), - неустойчивые, и их значения не рассматриваются в последующем анализе. Колебания коэффициента эластичности относительно среднего значения одинаковы независимо от того, происходит  это в период падения  промышленного производства или его роста.</w:t>
      </w:r>
    </w:p>
    <w:p w:rsidR="009478DB" w:rsidRPr="00A81F9F" w:rsidRDefault="009478DB" w:rsidP="00EE1A61">
      <w:pPr>
        <w:ind w:firstLine="709"/>
        <w:jc w:val="both"/>
      </w:pPr>
      <w:r w:rsidRPr="00A81F9F">
        <w:t>Среднее значение коэффициента эласти</w:t>
      </w:r>
      <w:r w:rsidR="00ED1E2A">
        <w:t>чности на весь период 1991-2012</w:t>
      </w:r>
      <w:r w:rsidRPr="00A81F9F">
        <w:t xml:space="preserve"> гг. равняется </w:t>
      </w:r>
      <w:r w:rsidRPr="00A81F9F">
        <w:rPr>
          <w:rStyle w:val="af5"/>
          <w:rFonts w:eastAsia="Calibri"/>
          <w:sz w:val="30"/>
        </w:rPr>
        <w:t>0,</w:t>
      </w:r>
      <w:r w:rsidR="00EA036D">
        <w:rPr>
          <w:rStyle w:val="af5"/>
          <w:rFonts w:eastAsia="Calibri"/>
          <w:sz w:val="30"/>
        </w:rPr>
        <w:t>4</w:t>
      </w:r>
      <w:r w:rsidRPr="00A81F9F">
        <w:t>.  При этом среднее значение этого коэффициента в первое десятилетие после распада СССР (1991-2001 гг.) равняется 0,371, а во второе дес</w:t>
      </w:r>
      <w:r w:rsidR="00EA036D">
        <w:t>ятилетие (2002-2012 гг.) – 0,43</w:t>
      </w:r>
      <w:r w:rsidRPr="00A81F9F">
        <w:t>, а в промежуточный период 1998-2007 гг. – 0,36. Так как эти значения отличаются от</w:t>
      </w:r>
      <w:r w:rsidR="00894F31">
        <w:t xml:space="preserve"> среднего за 21 год (разница – менее 10</w:t>
      </w:r>
      <w:r w:rsidRPr="00A81F9F">
        <w:t xml:space="preserve">%), это значит, что для того, чтобы получить среднее значение коэффициента эластичности независимо от периода осреднения, этот период должен быть </w:t>
      </w:r>
      <w:r w:rsidRPr="00A81F9F">
        <w:rPr>
          <w:rStyle w:val="af5"/>
          <w:rFonts w:eastAsia="Calibri"/>
          <w:sz w:val="30"/>
        </w:rPr>
        <w:t>не меньше 10 лет</w:t>
      </w:r>
      <w:r w:rsidRPr="00A81F9F">
        <w:t xml:space="preserve">, также как для расчета среднего коэффициента эластичности электропотребления к ВВП. </w:t>
      </w:r>
    </w:p>
    <w:p w:rsidR="009478DB" w:rsidRPr="00A81F9F" w:rsidRDefault="009478DB" w:rsidP="00EE1A61">
      <w:pPr>
        <w:ind w:firstLine="709"/>
        <w:jc w:val="both"/>
      </w:pPr>
      <w:r w:rsidRPr="00A81F9F">
        <w:t xml:space="preserve">Среднее значение коэффициента эластичности электропотребления к ВВП  - </w:t>
      </w:r>
      <w:r w:rsidR="00894F31">
        <w:rPr>
          <w:rStyle w:val="af5"/>
          <w:rFonts w:eastAsia="Calibri"/>
          <w:sz w:val="30"/>
        </w:rPr>
        <w:t>0,4</w:t>
      </w:r>
      <w:r w:rsidRPr="00A81F9F">
        <w:t xml:space="preserve"> -  является универсальной константой существующей экономики России, независимо от того падает промышленное производство или растет. Такая универсальность объясняется тем, что динамика электропотребления более жестко связана с  динамикой  промышленного производства в отличие от ВВП, где существенную долю составляют  услуги, а зависимость между  электропотреблением и услугами более опосредственная.</w:t>
      </w:r>
    </w:p>
    <w:p w:rsidR="009478DB" w:rsidRPr="006054B6" w:rsidRDefault="009478DB" w:rsidP="002B3C11">
      <w:pPr>
        <w:ind w:firstLine="709"/>
        <w:jc w:val="both"/>
      </w:pPr>
      <w:r w:rsidRPr="00A81F9F">
        <w:t xml:space="preserve">Такое значение среднегодового коэффициента эластичности характеризует существующую структуру экономики страны, которая в ближайшие 10-15 лет </w:t>
      </w:r>
      <w:r w:rsidRPr="00A81F9F">
        <w:rPr>
          <w:rStyle w:val="af5"/>
          <w:rFonts w:eastAsia="Calibri"/>
          <w:sz w:val="30"/>
        </w:rPr>
        <w:t xml:space="preserve">определенно </w:t>
      </w:r>
      <w:r w:rsidRPr="00A81F9F">
        <w:t>не будет меняться в силу недостаточного финансирования инвестиций в основной капитал (</w:t>
      </w:r>
      <w:r w:rsidRPr="006054B6">
        <w:t xml:space="preserve">см. Приложение 3 таблица 2, стр.31). </w:t>
      </w:r>
    </w:p>
    <w:p w:rsidR="009478DB" w:rsidRPr="00A81F9F" w:rsidRDefault="009478DB" w:rsidP="00454906">
      <w:pPr>
        <w:ind w:firstLine="709"/>
        <w:jc w:val="both"/>
      </w:pPr>
      <w:r w:rsidRPr="00A81F9F">
        <w:t>Можно также рассмотреть коэффициент эластичности промышленного производства к ВВП. На рис. 1</w:t>
      </w:r>
      <w:r w:rsidR="00992A80">
        <w:t xml:space="preserve">2 </w:t>
      </w:r>
      <w:r w:rsidRPr="00A81F9F">
        <w:t>видно, что средняя величина коэффициента эластичности период падения ВВП (1991-</w:t>
      </w:r>
      <w:smartTag w:uri="urn:schemas-microsoft-com:office:smarttags" w:element="metricconverter">
        <w:smartTagPr>
          <w:attr w:name="ProductID" w:val="1997 г"/>
        </w:smartTagPr>
        <w:r w:rsidRPr="00A81F9F">
          <w:t>1997 г</w:t>
        </w:r>
      </w:smartTag>
      <w:r w:rsidRPr="00A81F9F">
        <w:t xml:space="preserve">., </w:t>
      </w:r>
      <w:smartTag w:uri="urn:schemas-microsoft-com:office:smarttags" w:element="metricconverter">
        <w:smartTagPr>
          <w:attr w:name="ProductID" w:val="2009 г"/>
        </w:smartTagPr>
        <w:r w:rsidRPr="00A81F9F">
          <w:t>2009 г</w:t>
        </w:r>
      </w:smartTag>
      <w:r w:rsidRPr="00A81F9F">
        <w:t xml:space="preserve">.) равняется </w:t>
      </w:r>
      <w:r w:rsidRPr="00A81F9F">
        <w:rPr>
          <w:rStyle w:val="af5"/>
          <w:rFonts w:eastAsia="Calibri"/>
          <w:sz w:val="30"/>
        </w:rPr>
        <w:t>1,35</w:t>
      </w:r>
      <w:r w:rsidRPr="00A81F9F">
        <w:t xml:space="preserve">, а в период роста  ВВП (1999-2007 гг.) - 0,896, т.е. практически </w:t>
      </w:r>
      <w:r w:rsidRPr="00A81F9F">
        <w:rPr>
          <w:rStyle w:val="af5"/>
          <w:rFonts w:eastAsia="Calibri"/>
          <w:sz w:val="30"/>
        </w:rPr>
        <w:t>0,9</w:t>
      </w:r>
      <w:r w:rsidRPr="00A81F9F">
        <w:t xml:space="preserve">. Данные </w:t>
      </w:r>
      <w:smartTag w:uri="urn:schemas-microsoft-com:office:smarttags" w:element="metricconverter">
        <w:smartTagPr>
          <w:attr w:name="ProductID" w:val="2008 г"/>
        </w:smartTagPr>
        <w:r w:rsidRPr="00A81F9F">
          <w:t>2008 г</w:t>
        </w:r>
      </w:smartTag>
      <w:r w:rsidRPr="00A81F9F">
        <w:t xml:space="preserve">. не использовались для получения среднего значения коэффициента эластичности, т.к. в этом году имел место аномальный рост стоимости нефти и газа, вылившийся в дополнительный рост ВВП, не связанный с темпом промышленного производства (см. рис. </w:t>
      </w:r>
      <w:r w:rsidR="00992A80">
        <w:t>7</w:t>
      </w:r>
      <w:r w:rsidRPr="00A81F9F">
        <w:t xml:space="preserve">). Это значит, что в период роста ВВП </w:t>
      </w:r>
      <w:r w:rsidRPr="00A81F9F">
        <w:rPr>
          <w:rStyle w:val="af5"/>
          <w:rFonts w:eastAsia="Calibri"/>
          <w:sz w:val="30"/>
        </w:rPr>
        <w:t>средний темп роста промышленного производства составляет 0,9 от среднего темпа роста ВВП</w:t>
      </w:r>
      <w:r w:rsidRPr="00A81F9F">
        <w:t>. Значение коэффициента эластичности промышленного производства к ВВП, равное 0,9,  (в период роста ВВП) -  это третья фундаментальная константа российской экономики.</w:t>
      </w:r>
    </w:p>
    <w:p w:rsidR="009478DB" w:rsidRPr="00E9089C" w:rsidRDefault="007C1ADE" w:rsidP="00EE1A61">
      <w:pPr>
        <w:ind w:hanging="360"/>
        <w:jc w:val="center"/>
      </w:pPr>
      <w:r>
        <w:rPr>
          <w:noProof/>
        </w:rPr>
        <w:drawing>
          <wp:inline distT="0" distB="0" distL="0" distR="0">
            <wp:extent cx="4324350" cy="3771900"/>
            <wp:effectExtent l="19050" t="0" r="0" b="0"/>
            <wp:docPr id="11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l="39073" t="38046" r="32869" b="31282"/>
                    <a:stretch>
                      <a:fillRect/>
                    </a:stretch>
                  </pic:blipFill>
                  <pic:spPr bwMode="auto">
                    <a:xfrm>
                      <a:off x="0" y="0"/>
                      <a:ext cx="4324350" cy="3771900"/>
                    </a:xfrm>
                    <a:prstGeom prst="rect">
                      <a:avLst/>
                    </a:prstGeom>
                    <a:noFill/>
                    <a:ln w="9525">
                      <a:noFill/>
                      <a:miter lim="800000"/>
                      <a:headEnd/>
                      <a:tailEnd/>
                    </a:ln>
                  </pic:spPr>
                </pic:pic>
              </a:graphicData>
            </a:graphic>
          </wp:inline>
        </w:drawing>
      </w:r>
    </w:p>
    <w:p w:rsidR="009478DB" w:rsidRPr="00A81F9F" w:rsidRDefault="009478DB" w:rsidP="00EE1A61">
      <w:pPr>
        <w:ind w:firstLine="709"/>
        <w:jc w:val="center"/>
      </w:pPr>
    </w:p>
    <w:p w:rsidR="009478DB" w:rsidRPr="00A81F9F" w:rsidRDefault="009478DB" w:rsidP="006067C9">
      <w:pPr>
        <w:ind w:firstLine="851"/>
        <w:jc w:val="both"/>
      </w:pPr>
      <w:r w:rsidRPr="00A81F9F">
        <w:t>Рис. 1</w:t>
      </w:r>
      <w:r w:rsidR="00992A80">
        <w:t>2</w:t>
      </w:r>
      <w:r w:rsidRPr="00A81F9F">
        <w:t>. Динамика коэффициента эластичности промышленного производства к ВВП в период 1990-</w:t>
      </w:r>
      <w:smartTag w:uri="urn:schemas-microsoft-com:office:smarttags" w:element="metricconverter">
        <w:smartTagPr>
          <w:attr w:name="ProductID" w:val="2012 г"/>
        </w:smartTagPr>
        <w:r w:rsidRPr="00A81F9F">
          <w:t>201</w:t>
        </w:r>
        <w:r w:rsidR="009D625F">
          <w:t xml:space="preserve">2 </w:t>
        </w:r>
        <w:r w:rsidRPr="00A81F9F">
          <w:t>г</w:t>
        </w:r>
      </w:smartTag>
      <w:r w:rsidRPr="00A81F9F">
        <w:t>.</w:t>
      </w:r>
    </w:p>
    <w:p w:rsidR="009478DB" w:rsidRPr="00A81F9F" w:rsidRDefault="009478DB" w:rsidP="00EE1A61">
      <w:pPr>
        <w:ind w:firstLine="709"/>
        <w:jc w:val="both"/>
        <w:rPr>
          <w:b/>
        </w:rPr>
      </w:pPr>
    </w:p>
    <w:p w:rsidR="009478DB" w:rsidRPr="00A81F9F" w:rsidRDefault="009478DB" w:rsidP="00EE1A61">
      <w:pPr>
        <w:ind w:firstLine="709"/>
        <w:jc w:val="both"/>
        <w:rPr>
          <w:b/>
        </w:rPr>
      </w:pPr>
      <w:r w:rsidRPr="00A81F9F">
        <w:rPr>
          <w:b/>
        </w:rPr>
        <w:t>Отдельно рассмотрим влияние электропотребления населения России на рост общего электропотребления в стране.</w:t>
      </w:r>
    </w:p>
    <w:p w:rsidR="004D0A6D" w:rsidRDefault="004D0A6D" w:rsidP="005304F6">
      <w:pPr>
        <w:pStyle w:val="3"/>
      </w:pPr>
      <w:bookmarkStart w:id="40" w:name="_Toc370759776"/>
      <w:bookmarkStart w:id="41" w:name="_Toc374557783"/>
      <w:r w:rsidRPr="004D0A6D">
        <w:t>2.3. Об электропотреблении населения.</w:t>
      </w:r>
      <w:bookmarkEnd w:id="40"/>
      <w:bookmarkEnd w:id="41"/>
    </w:p>
    <w:p w:rsidR="004D0A6D" w:rsidRPr="004D0A6D" w:rsidRDefault="004D0A6D" w:rsidP="00EE1A61">
      <w:pPr>
        <w:ind w:firstLine="709"/>
        <w:jc w:val="both"/>
        <w:rPr>
          <w:b/>
          <w:sz w:val="26"/>
          <w:szCs w:val="26"/>
        </w:rPr>
      </w:pPr>
    </w:p>
    <w:p w:rsidR="009478DB" w:rsidRDefault="009478DB" w:rsidP="00EE1A61">
      <w:pPr>
        <w:ind w:firstLine="709"/>
        <w:jc w:val="both"/>
      </w:pPr>
      <w:r w:rsidRPr="00A81F9F">
        <w:t>В странах с развитой экономикой доля электропотребления населением находится на уровне 25-30% от общего электропотребления</w:t>
      </w:r>
      <w:r w:rsidR="000627FB">
        <w:t xml:space="preserve"> (нетто)</w:t>
      </w:r>
      <w:r w:rsidRPr="00A81F9F">
        <w:t>. В России доля электропотребления населением в общем электропотреблении</w:t>
      </w:r>
      <w:r w:rsidR="000627FB">
        <w:t xml:space="preserve"> (нетто)</w:t>
      </w:r>
      <w:r w:rsidRPr="00A81F9F">
        <w:t xml:space="preserve"> в стра</w:t>
      </w:r>
      <w:r w:rsidR="00CC6838">
        <w:t>не невысокая (в период 2005-2012 гг. изменилась всего на 1,</w:t>
      </w:r>
      <w:r w:rsidR="000627FB">
        <w:t>2</w:t>
      </w:r>
      <w:r w:rsidR="00CC6838">
        <w:t xml:space="preserve">% </w:t>
      </w:r>
      <w:r w:rsidR="00B75C4B">
        <w:t>с</w:t>
      </w:r>
      <w:r w:rsidR="00CC6838">
        <w:t xml:space="preserve"> 1</w:t>
      </w:r>
      <w:r w:rsidR="000627FB">
        <w:t>3</w:t>
      </w:r>
      <w:r w:rsidR="00CC6838">
        <w:t>,</w:t>
      </w:r>
      <w:r w:rsidR="000627FB">
        <w:t>15</w:t>
      </w:r>
      <w:r w:rsidR="00CC6838">
        <w:t>% до 1</w:t>
      </w:r>
      <w:r w:rsidR="000627FB">
        <w:t>4</w:t>
      </w:r>
      <w:r w:rsidR="00CC6838">
        <w:t>,</w:t>
      </w:r>
      <w:r w:rsidR="000627FB">
        <w:t>36</w:t>
      </w:r>
      <w:r w:rsidRPr="00A81F9F">
        <w:t>%, см. рис. 1</w:t>
      </w:r>
      <w:r w:rsidR="00992A80">
        <w:t>3</w:t>
      </w:r>
      <w:r w:rsidRPr="00A81F9F">
        <w:t xml:space="preserve">). </w:t>
      </w:r>
    </w:p>
    <w:p w:rsidR="0088677F" w:rsidRDefault="0088677F" w:rsidP="00EE1A61">
      <w:pPr>
        <w:ind w:firstLine="709"/>
        <w:jc w:val="both"/>
      </w:pPr>
    </w:p>
    <w:p w:rsidR="0088677F" w:rsidRPr="00A81F9F" w:rsidRDefault="007C1ADE" w:rsidP="00EE1A61">
      <w:pPr>
        <w:ind w:firstLine="709"/>
        <w:jc w:val="both"/>
      </w:pPr>
      <w:r>
        <w:rPr>
          <w:noProof/>
        </w:rPr>
        <w:drawing>
          <wp:inline distT="0" distB="0" distL="0" distR="0">
            <wp:extent cx="4902923" cy="3562350"/>
            <wp:effectExtent l="6608" t="0" r="5369" b="0"/>
            <wp:docPr id="117"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9478DB" w:rsidRPr="009D625F" w:rsidRDefault="009478DB" w:rsidP="00EE1A61">
      <w:pPr>
        <w:jc w:val="center"/>
      </w:pPr>
    </w:p>
    <w:p w:rsidR="009478DB" w:rsidRPr="00A81F9F" w:rsidRDefault="009478DB" w:rsidP="00EE1A61">
      <w:pPr>
        <w:ind w:firstLine="709"/>
        <w:jc w:val="both"/>
      </w:pPr>
      <w:r w:rsidRPr="00A81F9F">
        <w:t>Рис. 1</w:t>
      </w:r>
      <w:r w:rsidR="00992A80">
        <w:t>3</w:t>
      </w:r>
      <w:r w:rsidRPr="00A81F9F">
        <w:t xml:space="preserve">. Доля </w:t>
      </w:r>
      <w:r w:rsidR="000627FB">
        <w:t>электро</w:t>
      </w:r>
      <w:r w:rsidRPr="00A81F9F">
        <w:t>потребления населением от общего электропотребления</w:t>
      </w:r>
      <w:r w:rsidR="00377FA1">
        <w:t xml:space="preserve"> (нетто)</w:t>
      </w:r>
      <w:r w:rsidRPr="00A81F9F">
        <w:t xml:space="preserve"> в стране в период 2005-201</w:t>
      </w:r>
      <w:r w:rsidR="000F01D8">
        <w:t>2 гг. (по данным Росстат 2013</w:t>
      </w:r>
      <w:r w:rsidRPr="00A81F9F">
        <w:t xml:space="preserve"> г.).</w:t>
      </w:r>
    </w:p>
    <w:p w:rsidR="009478DB" w:rsidRPr="00A81F9F" w:rsidRDefault="009478DB" w:rsidP="00EE1A61">
      <w:pPr>
        <w:ind w:firstLine="709"/>
        <w:jc w:val="both"/>
      </w:pPr>
    </w:p>
    <w:p w:rsidR="009478DB" w:rsidRDefault="009478DB" w:rsidP="00EE1A61">
      <w:pPr>
        <w:ind w:firstLine="709"/>
        <w:jc w:val="both"/>
        <w:rPr>
          <w:rStyle w:val="af5"/>
          <w:rFonts w:eastAsia="Calibri"/>
          <w:sz w:val="30"/>
        </w:rPr>
      </w:pPr>
      <w:r w:rsidRPr="00A81F9F">
        <w:t xml:space="preserve">Это связано с тем, что рост жилищного строительства ограничивается низким спросом из-за высоких ставок ипотечного кредитования и недостаточными доходами основной массы населения. Поэтому в ближайшие десятилетия существенного </w:t>
      </w:r>
      <w:r w:rsidRPr="00A81F9F">
        <w:rPr>
          <w:rStyle w:val="af5"/>
          <w:rFonts w:eastAsia="Calibri"/>
          <w:sz w:val="30"/>
        </w:rPr>
        <w:t>изменения</w:t>
      </w:r>
      <w:r w:rsidRPr="00A81F9F">
        <w:t xml:space="preserve"> доли электропотребления населением в общем потреблении в стране </w:t>
      </w:r>
      <w:r w:rsidRPr="00A81F9F">
        <w:rPr>
          <w:rStyle w:val="af5"/>
          <w:rFonts w:eastAsia="Calibri"/>
          <w:sz w:val="30"/>
        </w:rPr>
        <w:t>не предвидится</w:t>
      </w:r>
      <w:r w:rsidRPr="00A81F9F">
        <w:t xml:space="preserve">. Таким образом, влияние роста электропотребления населения на величину среднего коэффициента эластичности электропотребления к ВВП будет </w:t>
      </w:r>
      <w:r w:rsidRPr="00A81F9F">
        <w:rPr>
          <w:rStyle w:val="af5"/>
          <w:rFonts w:eastAsia="Calibri"/>
          <w:sz w:val="30"/>
        </w:rPr>
        <w:t>незначительным.</w:t>
      </w:r>
    </w:p>
    <w:p w:rsidR="00906F4E" w:rsidRDefault="00906F4E" w:rsidP="00EE1A61">
      <w:pPr>
        <w:ind w:firstLine="709"/>
        <w:jc w:val="both"/>
        <w:rPr>
          <w:rStyle w:val="af5"/>
          <w:rFonts w:eastAsia="Calibri"/>
          <w:sz w:val="30"/>
        </w:rPr>
      </w:pPr>
    </w:p>
    <w:p w:rsidR="009478DB" w:rsidRPr="007B32E1" w:rsidRDefault="007B32E1" w:rsidP="005304F6">
      <w:pPr>
        <w:pStyle w:val="3"/>
        <w:rPr>
          <w:shd w:val="clear" w:color="auto" w:fill="FFFFFF"/>
        </w:rPr>
      </w:pPr>
      <w:bookmarkStart w:id="42" w:name="_Toc344496537"/>
      <w:bookmarkStart w:id="43" w:name="_Toc370759777"/>
      <w:bookmarkStart w:id="44" w:name="_Toc374557784"/>
      <w:r w:rsidRPr="007B32E1">
        <w:rPr>
          <w:shd w:val="clear" w:color="auto" w:fill="FFFFFF"/>
        </w:rPr>
        <w:t>2.4</w:t>
      </w:r>
      <w:r w:rsidR="009478DB" w:rsidRPr="007B32E1">
        <w:rPr>
          <w:shd w:val="clear" w:color="auto" w:fill="FFFFFF"/>
        </w:rPr>
        <w:t>. Прогноз роста ВВП. Влияние темпа  изменения инвестиций в основной капитал (ИОК)  на темп изменения ВВП</w:t>
      </w:r>
      <w:bookmarkEnd w:id="42"/>
      <w:bookmarkEnd w:id="43"/>
      <w:bookmarkEnd w:id="44"/>
    </w:p>
    <w:p w:rsidR="009478DB" w:rsidRPr="00A81F9F" w:rsidRDefault="009478DB" w:rsidP="00EE1A61">
      <w:pPr>
        <w:ind w:firstLine="709"/>
        <w:jc w:val="both"/>
        <w:rPr>
          <w:b/>
        </w:rPr>
      </w:pPr>
    </w:p>
    <w:p w:rsidR="009478DB" w:rsidRDefault="008E1E9A" w:rsidP="00EE1A61">
      <w:pPr>
        <w:ind w:firstLine="709"/>
        <w:jc w:val="both"/>
      </w:pPr>
      <w:r>
        <w:t xml:space="preserve">Обоснованный прогноз электропотребления в стране </w:t>
      </w:r>
      <w:r w:rsidRPr="008E1E9A">
        <w:rPr>
          <w:b/>
        </w:rPr>
        <w:t>невозможен</w:t>
      </w:r>
      <w:r>
        <w:t xml:space="preserve"> без принятого сценария (сценариев) развития экономики страны или, что то</w:t>
      </w:r>
      <w:r w:rsidR="005765CF">
        <w:t xml:space="preserve"> </w:t>
      </w:r>
      <w:r>
        <w:t xml:space="preserve">же самое, темпов изменения ВВП. </w:t>
      </w:r>
      <w:r w:rsidR="00D42A18">
        <w:t>С другой стороны</w:t>
      </w:r>
      <w:r w:rsidR="008D274A">
        <w:t xml:space="preserve"> можно показать, что </w:t>
      </w:r>
      <w:r w:rsidR="00AC0D67">
        <w:t xml:space="preserve">ежегодный </w:t>
      </w:r>
      <w:r w:rsidR="008D274A">
        <w:t>темп изменения ВВП в любой стране существенно зависит от</w:t>
      </w:r>
      <w:r w:rsidR="00AC0D67">
        <w:t xml:space="preserve"> темпа</w:t>
      </w:r>
      <w:r w:rsidR="008D274A">
        <w:t xml:space="preserve"> изменения </w:t>
      </w:r>
      <w:r w:rsidR="005765CF">
        <w:t xml:space="preserve"> </w:t>
      </w:r>
      <w:r w:rsidR="00D42A18">
        <w:t>инвестиций в основной капитал (ИОК).</w:t>
      </w:r>
    </w:p>
    <w:p w:rsidR="005765CF" w:rsidRPr="00A81F9F" w:rsidRDefault="005765CF" w:rsidP="00EE1A61">
      <w:pPr>
        <w:ind w:firstLine="709"/>
        <w:jc w:val="both"/>
      </w:pPr>
      <w:r>
        <w:t>На рис. 1</w:t>
      </w:r>
      <w:r w:rsidR="00992A80">
        <w:t>4</w:t>
      </w:r>
      <w:r>
        <w:t xml:space="preserve"> показан</w:t>
      </w:r>
      <w:r w:rsidR="00DF5D56">
        <w:t>ы</w:t>
      </w:r>
      <w:r w:rsidR="008D274A">
        <w:t xml:space="preserve"> </w:t>
      </w:r>
      <w:r w:rsidR="00DF5D56">
        <w:t>ежегодные значения</w:t>
      </w:r>
      <w:r>
        <w:t xml:space="preserve"> ИОК, ВВП и электропотребления в РСФСР с 1970 по 1991гг. и в РФ с 1991 по 2012гг.</w:t>
      </w:r>
      <w:r w:rsidR="00A7451A">
        <w:t>, отнесенн</w:t>
      </w:r>
      <w:r w:rsidR="00DF5D56">
        <w:t xml:space="preserve">ые </w:t>
      </w:r>
      <w:r w:rsidR="00A7451A">
        <w:t xml:space="preserve">к </w:t>
      </w:r>
      <w:r w:rsidR="00DF5D56">
        <w:t xml:space="preserve">их значениям в </w:t>
      </w:r>
      <w:r w:rsidR="00A7451A">
        <w:t xml:space="preserve">1970г. </w:t>
      </w:r>
      <w:r>
        <w:t xml:space="preserve">  </w:t>
      </w:r>
    </w:p>
    <w:p w:rsidR="009478DB" w:rsidRPr="00A81F9F" w:rsidRDefault="009478DB" w:rsidP="00EE1A61">
      <w:pPr>
        <w:ind w:firstLine="709"/>
        <w:jc w:val="both"/>
      </w:pPr>
      <w:r w:rsidRPr="00A81F9F">
        <w:t xml:space="preserve"> </w:t>
      </w:r>
    </w:p>
    <w:p w:rsidR="009478DB" w:rsidRPr="00A81F9F" w:rsidRDefault="009478DB" w:rsidP="003B037D">
      <w:pPr>
        <w:ind w:hanging="360"/>
        <w:jc w:val="center"/>
      </w:pPr>
    </w:p>
    <w:p w:rsidR="009478DB" w:rsidRPr="00A81F9F" w:rsidRDefault="009478DB" w:rsidP="00EE1A61">
      <w:pPr>
        <w:ind w:hanging="360"/>
        <w:jc w:val="center"/>
      </w:pPr>
    </w:p>
    <w:p w:rsidR="000C7518" w:rsidRDefault="000C7518" w:rsidP="00EE1A61">
      <w:pPr>
        <w:ind w:hanging="360"/>
        <w:jc w:val="center"/>
      </w:pPr>
    </w:p>
    <w:p w:rsidR="000C7518" w:rsidRDefault="007C1ADE" w:rsidP="00EE1A61">
      <w:pPr>
        <w:ind w:hanging="360"/>
        <w:jc w:val="center"/>
      </w:pPr>
      <w:r>
        <w:rPr>
          <w:noProof/>
        </w:rPr>
        <w:drawing>
          <wp:inline distT="0" distB="0" distL="0" distR="0">
            <wp:extent cx="5724525" cy="4114800"/>
            <wp:effectExtent l="19050" t="0" r="9525" b="0"/>
            <wp:docPr id="116" name="Рисунок 14" descr="Графики по порядку для стат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рафики по порядку для статьи"/>
                    <pic:cNvPicPr>
                      <a:picLocks noChangeAspect="1" noChangeArrowheads="1"/>
                    </pic:cNvPicPr>
                  </pic:nvPicPr>
                  <pic:blipFill>
                    <a:blip r:embed="rId27" cstate="print"/>
                    <a:srcRect/>
                    <a:stretch>
                      <a:fillRect/>
                    </a:stretch>
                  </pic:blipFill>
                  <pic:spPr bwMode="auto">
                    <a:xfrm>
                      <a:off x="0" y="0"/>
                      <a:ext cx="5724525" cy="4114800"/>
                    </a:xfrm>
                    <a:prstGeom prst="rect">
                      <a:avLst/>
                    </a:prstGeom>
                    <a:noFill/>
                    <a:ln w="9525">
                      <a:noFill/>
                      <a:miter lim="800000"/>
                      <a:headEnd/>
                      <a:tailEnd/>
                    </a:ln>
                  </pic:spPr>
                </pic:pic>
              </a:graphicData>
            </a:graphic>
          </wp:inline>
        </w:drawing>
      </w:r>
    </w:p>
    <w:p w:rsidR="009478DB" w:rsidRPr="00A81F9F" w:rsidRDefault="009478DB" w:rsidP="007463CB">
      <w:pPr>
        <w:ind w:firstLine="993"/>
        <w:jc w:val="both"/>
      </w:pPr>
      <w:r w:rsidRPr="00A81F9F">
        <w:t>Рис. 1</w:t>
      </w:r>
      <w:r w:rsidR="00992A80">
        <w:t>4</w:t>
      </w:r>
      <w:r w:rsidRPr="00A81F9F">
        <w:t xml:space="preserve">. </w:t>
      </w:r>
      <w:r w:rsidR="00DF5D56">
        <w:t>Ежегодные значения ИОК</w:t>
      </w:r>
      <w:r w:rsidRPr="00A81F9F">
        <w:t>, ВВП и электропотребления в период 1970-201</w:t>
      </w:r>
      <w:r w:rsidR="00DF5D56">
        <w:t>2</w:t>
      </w:r>
      <w:r w:rsidRPr="00A81F9F">
        <w:t xml:space="preserve">гг., отнесенные к </w:t>
      </w:r>
      <w:r w:rsidR="00DF5D56">
        <w:t>их значениям в</w:t>
      </w:r>
      <w:r w:rsidRPr="00A81F9F">
        <w:t xml:space="preserve"> </w:t>
      </w:r>
      <w:smartTag w:uri="urn:schemas-microsoft-com:office:smarttags" w:element="metricconverter">
        <w:smartTagPr>
          <w:attr w:name="ProductID" w:val="1970 г"/>
        </w:smartTagPr>
        <w:r w:rsidRPr="00A81F9F">
          <w:t>1970 г</w:t>
        </w:r>
      </w:smartTag>
      <w:r w:rsidRPr="00A81F9F">
        <w:t>.</w:t>
      </w:r>
    </w:p>
    <w:p w:rsidR="009478DB" w:rsidRPr="00A81F9F" w:rsidRDefault="009478DB" w:rsidP="00EE1A61">
      <w:pPr>
        <w:jc w:val="both"/>
      </w:pPr>
    </w:p>
    <w:p w:rsidR="009478DB" w:rsidRPr="00A81F9F" w:rsidRDefault="009478DB" w:rsidP="00EE1A61">
      <w:pPr>
        <w:ind w:firstLine="709"/>
        <w:jc w:val="both"/>
        <w:rPr>
          <w:bCs/>
        </w:rPr>
      </w:pPr>
      <w:r w:rsidRPr="00A81F9F">
        <w:rPr>
          <w:bCs/>
        </w:rPr>
        <w:t xml:space="preserve">Из рис. </w:t>
      </w:r>
      <w:r w:rsidR="00A75F9F">
        <w:rPr>
          <w:bCs/>
        </w:rPr>
        <w:t>1</w:t>
      </w:r>
      <w:r w:rsidR="00992A80">
        <w:rPr>
          <w:bCs/>
        </w:rPr>
        <w:t>4</w:t>
      </w:r>
      <w:r w:rsidRPr="00A81F9F">
        <w:rPr>
          <w:bCs/>
        </w:rPr>
        <w:t xml:space="preserve"> видно,</w:t>
      </w:r>
      <w:r w:rsidR="00273C61">
        <w:rPr>
          <w:bCs/>
        </w:rPr>
        <w:t xml:space="preserve"> что в советский период 1970-1989</w:t>
      </w:r>
      <w:r w:rsidRPr="00A81F9F">
        <w:rPr>
          <w:bCs/>
        </w:rPr>
        <w:t>гг. и ИОК, и ВВП, и электропотребление росли примерно линейно, за исключением 1986-19</w:t>
      </w:r>
      <w:r w:rsidR="00273C61">
        <w:rPr>
          <w:bCs/>
        </w:rPr>
        <w:t>91</w:t>
      </w:r>
      <w:r w:rsidRPr="00A81F9F">
        <w:rPr>
          <w:bCs/>
        </w:rPr>
        <w:t xml:space="preserve">гг., когда темп роста ИОК опережал темп роста ВВП примерно в 2 раза. В постсоветское время в период 1991-1998 гг.  произошло резкое падение ИОК  - почти  на 80% по отношению к </w:t>
      </w:r>
      <w:smartTag w:uri="urn:schemas-microsoft-com:office:smarttags" w:element="metricconverter">
        <w:smartTagPr>
          <w:attr w:name="ProductID" w:val="1989 г"/>
        </w:smartTagPr>
        <w:r w:rsidRPr="00A81F9F">
          <w:rPr>
            <w:bCs/>
          </w:rPr>
          <w:t>1989 г</w:t>
        </w:r>
      </w:smartTag>
      <w:r w:rsidRPr="00A81F9F">
        <w:rPr>
          <w:bCs/>
        </w:rPr>
        <w:t xml:space="preserve">., в то же время ВВП упал на 46%, а электропотребление – на </w:t>
      </w:r>
      <w:r w:rsidR="00273C61">
        <w:rPr>
          <w:bCs/>
        </w:rPr>
        <w:t>24</w:t>
      </w:r>
      <w:r w:rsidRPr="00A81F9F">
        <w:rPr>
          <w:bCs/>
        </w:rPr>
        <w:t xml:space="preserve">%. В период </w:t>
      </w:r>
      <w:r w:rsidR="00273C61">
        <w:rPr>
          <w:bCs/>
        </w:rPr>
        <w:t>восстановления экономики страны (</w:t>
      </w:r>
      <w:r w:rsidRPr="00A81F9F">
        <w:rPr>
          <w:bCs/>
        </w:rPr>
        <w:t>199</w:t>
      </w:r>
      <w:r w:rsidR="00273C61">
        <w:rPr>
          <w:bCs/>
        </w:rPr>
        <w:t>9</w:t>
      </w:r>
      <w:r w:rsidRPr="00A81F9F">
        <w:rPr>
          <w:bCs/>
        </w:rPr>
        <w:t>-2008 гг.</w:t>
      </w:r>
      <w:r w:rsidR="00273C61">
        <w:rPr>
          <w:bCs/>
        </w:rPr>
        <w:t>)</w:t>
      </w:r>
      <w:r w:rsidRPr="00A81F9F">
        <w:rPr>
          <w:bCs/>
        </w:rPr>
        <w:t xml:space="preserve"> ИОК вырос в 3,15 раз по сравнению с </w:t>
      </w:r>
      <w:smartTag w:uri="urn:schemas-microsoft-com:office:smarttags" w:element="metricconverter">
        <w:smartTagPr>
          <w:attr w:name="ProductID" w:val="1998 г"/>
        </w:smartTagPr>
        <w:r w:rsidRPr="00A81F9F">
          <w:rPr>
            <w:bCs/>
          </w:rPr>
          <w:t>1998 г</w:t>
        </w:r>
      </w:smartTag>
      <w:r w:rsidRPr="00A81F9F">
        <w:rPr>
          <w:bCs/>
        </w:rPr>
        <w:t xml:space="preserve">., соответственно, ВВП – в 1,94 раза, а электропотребление – в 1,26 раза. В </w:t>
      </w:r>
      <w:smartTag w:uri="urn:schemas-microsoft-com:office:smarttags" w:element="metricconverter">
        <w:smartTagPr>
          <w:attr w:name="ProductID" w:val="2008 г"/>
        </w:smartTagPr>
        <w:r w:rsidRPr="00A81F9F">
          <w:rPr>
            <w:bCs/>
          </w:rPr>
          <w:t>2008 г</w:t>
        </w:r>
      </w:smartTag>
      <w:r w:rsidRPr="00A81F9F">
        <w:rPr>
          <w:bCs/>
        </w:rPr>
        <w:t xml:space="preserve">. объем ИОК составлял 66% от уровня 1989-1990 гг. В кризисный </w:t>
      </w:r>
      <w:smartTag w:uri="urn:schemas-microsoft-com:office:smarttags" w:element="metricconverter">
        <w:smartTagPr>
          <w:attr w:name="ProductID" w:val="2009 г"/>
        </w:smartTagPr>
        <w:r w:rsidRPr="00A81F9F">
          <w:rPr>
            <w:bCs/>
          </w:rPr>
          <w:t>2009 г</w:t>
        </w:r>
      </w:smartTag>
      <w:r w:rsidRPr="00A81F9F">
        <w:rPr>
          <w:bCs/>
        </w:rPr>
        <w:t xml:space="preserve">. ИОК упал на 15,7%, соответственно, ВВП – на 7,8% или в 2 раза меньше, чем ВВП, а электропотребление – на 4,46% или почти в 3 раза меньше по сравнению с ВВП. </w:t>
      </w:r>
    </w:p>
    <w:p w:rsidR="00B2043D" w:rsidRDefault="005B5618" w:rsidP="005B5618">
      <w:pPr>
        <w:ind w:firstLine="851"/>
        <w:jc w:val="both"/>
      </w:pPr>
      <w:r>
        <w:t xml:space="preserve">Для более корректного сопоставления ИОК, ВВП и электропотребление на таком длительном периоде времени – 42 года (1970 – 2012гг.) необходимо учитывать </w:t>
      </w:r>
      <w:r w:rsidR="00B2043D">
        <w:t>изменение</w:t>
      </w:r>
      <w:r>
        <w:t xml:space="preserve"> численности населения в этот период. На рис. 1</w:t>
      </w:r>
      <w:r w:rsidR="00992A80">
        <w:t>5</w:t>
      </w:r>
      <w:r>
        <w:t xml:space="preserve"> показано </w:t>
      </w:r>
      <w:r w:rsidR="00B2043D">
        <w:t>динамика</w:t>
      </w:r>
      <w:r>
        <w:t xml:space="preserve"> численности населения в РФ (РФСФР) в период 1970 – 2012гг. </w:t>
      </w:r>
    </w:p>
    <w:p w:rsidR="00B2043D" w:rsidRDefault="007463CB" w:rsidP="005B5618">
      <w:pPr>
        <w:ind w:firstLine="851"/>
        <w:jc w:val="both"/>
        <w:rPr>
          <w:noProof/>
        </w:rPr>
      </w:pPr>
      <w:r w:rsidRPr="007463CB">
        <w:rPr>
          <w:noProof/>
        </w:rPr>
        <w:drawing>
          <wp:inline distT="0" distB="0" distL="0" distR="0">
            <wp:extent cx="5172075" cy="4991100"/>
            <wp:effectExtent l="19050" t="0" r="9525"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950B0" w:rsidRDefault="003950B0" w:rsidP="005B5618">
      <w:pPr>
        <w:ind w:firstLine="851"/>
        <w:jc w:val="both"/>
      </w:pPr>
    </w:p>
    <w:p w:rsidR="00B2043D" w:rsidRDefault="00B2043D" w:rsidP="005B5618">
      <w:pPr>
        <w:ind w:firstLine="851"/>
        <w:jc w:val="both"/>
      </w:pPr>
      <w:r>
        <w:t>Рис. 1</w:t>
      </w:r>
      <w:r w:rsidR="00992A80">
        <w:t>5</w:t>
      </w:r>
      <w:r>
        <w:t xml:space="preserve">. Динамика численности населения в РФ (РСФСР) в период 1970-2012гг. </w:t>
      </w:r>
    </w:p>
    <w:p w:rsidR="00B2043D" w:rsidRDefault="00B2043D" w:rsidP="005B5618">
      <w:pPr>
        <w:ind w:firstLine="851"/>
        <w:jc w:val="both"/>
      </w:pPr>
    </w:p>
    <w:p w:rsidR="00E619FD" w:rsidRDefault="005B5618" w:rsidP="005B5618">
      <w:pPr>
        <w:ind w:firstLine="851"/>
        <w:jc w:val="both"/>
      </w:pPr>
      <w:r>
        <w:t>А на рис. 1</w:t>
      </w:r>
      <w:r w:rsidR="00B63CD4">
        <w:t>6</w:t>
      </w:r>
      <w:r>
        <w:t xml:space="preserve"> показаны </w:t>
      </w:r>
      <w:r w:rsidR="00E619FD">
        <w:t>подушевые</w:t>
      </w:r>
      <w:r w:rsidR="00D36C1B">
        <w:t xml:space="preserve"> ежегодные </w:t>
      </w:r>
      <w:r>
        <w:t>значения ИОК, ВВП и электропотребления</w:t>
      </w:r>
      <w:r w:rsidR="00E619FD">
        <w:t>,</w:t>
      </w:r>
      <w:r>
        <w:t xml:space="preserve"> </w:t>
      </w:r>
      <w:r w:rsidR="00E619FD">
        <w:t>отнесенные к 1970гг.</w:t>
      </w:r>
    </w:p>
    <w:p w:rsidR="001F6C85" w:rsidRDefault="001F6C85" w:rsidP="005B5618">
      <w:pPr>
        <w:ind w:firstLine="851"/>
        <w:jc w:val="both"/>
      </w:pPr>
    </w:p>
    <w:p w:rsidR="001F6C85" w:rsidRDefault="007C1ADE" w:rsidP="00F21C3F">
      <w:pPr>
        <w:jc w:val="both"/>
      </w:pPr>
      <w:r>
        <w:rPr>
          <w:noProof/>
        </w:rPr>
        <w:drawing>
          <wp:inline distT="0" distB="0" distL="0" distR="0">
            <wp:extent cx="6400800" cy="4800600"/>
            <wp:effectExtent l="19050" t="0" r="0" b="0"/>
            <wp:docPr id="114" name="Рисунок 16"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резентация1"/>
                    <pic:cNvPicPr>
                      <a:picLocks noChangeAspect="1" noChangeArrowheads="1"/>
                    </pic:cNvPicPr>
                  </pic:nvPicPr>
                  <pic:blipFill>
                    <a:blip r:embed="rId29" cstate="print"/>
                    <a:srcRect/>
                    <a:stretch>
                      <a:fillRect/>
                    </a:stretch>
                  </pic:blipFill>
                  <pic:spPr bwMode="auto">
                    <a:xfrm>
                      <a:off x="0" y="0"/>
                      <a:ext cx="6400800" cy="4800600"/>
                    </a:xfrm>
                    <a:prstGeom prst="rect">
                      <a:avLst/>
                    </a:prstGeom>
                    <a:noFill/>
                    <a:ln w="9525">
                      <a:noFill/>
                      <a:miter lim="800000"/>
                      <a:headEnd/>
                      <a:tailEnd/>
                    </a:ln>
                  </pic:spPr>
                </pic:pic>
              </a:graphicData>
            </a:graphic>
          </wp:inline>
        </w:drawing>
      </w:r>
    </w:p>
    <w:p w:rsidR="001F6C85" w:rsidRDefault="00F21C3F" w:rsidP="005B5618">
      <w:pPr>
        <w:ind w:firstLine="851"/>
        <w:jc w:val="both"/>
      </w:pPr>
      <w:r>
        <w:t>Рис. 1</w:t>
      </w:r>
      <w:r w:rsidR="00B63CD4">
        <w:t>6</w:t>
      </w:r>
      <w:r>
        <w:t xml:space="preserve">. </w:t>
      </w:r>
      <w:r w:rsidR="00FC4773">
        <w:t>Динамика</w:t>
      </w:r>
      <w:r w:rsidR="009D229A">
        <w:t xml:space="preserve"> ИОК, ВВП и электропотребления на душу населения</w:t>
      </w:r>
      <w:r w:rsidR="00A7142F">
        <w:t xml:space="preserve"> в России</w:t>
      </w:r>
      <w:r w:rsidR="009D229A">
        <w:t xml:space="preserve"> в период 1970-201</w:t>
      </w:r>
      <w:r w:rsidR="003950B0">
        <w:t>3</w:t>
      </w:r>
      <w:r w:rsidR="009D229A">
        <w:t xml:space="preserve">гг. </w:t>
      </w:r>
    </w:p>
    <w:p w:rsidR="001F6C85" w:rsidRDefault="001F6C85" w:rsidP="005B5618">
      <w:pPr>
        <w:ind w:firstLine="851"/>
        <w:jc w:val="both"/>
      </w:pPr>
    </w:p>
    <w:p w:rsidR="00B2043D" w:rsidRDefault="00B2043D" w:rsidP="005B5618">
      <w:pPr>
        <w:ind w:firstLine="851"/>
        <w:jc w:val="both"/>
      </w:pPr>
    </w:p>
    <w:p w:rsidR="004343A1" w:rsidRDefault="005B5618" w:rsidP="005B5618">
      <w:pPr>
        <w:ind w:firstLine="851"/>
        <w:jc w:val="both"/>
      </w:pPr>
      <w:r>
        <w:t xml:space="preserve"> </w:t>
      </w:r>
      <w:r w:rsidR="009478DB" w:rsidRPr="00A81F9F">
        <w:t>Из рис. 1</w:t>
      </w:r>
      <w:r w:rsidR="00B63CD4">
        <w:t>6</w:t>
      </w:r>
      <w:r w:rsidR="00AF41B9">
        <w:t xml:space="preserve"> видно, </w:t>
      </w:r>
      <w:r w:rsidR="00FC4773">
        <w:t>что в</w:t>
      </w:r>
      <w:r w:rsidR="00F63C39">
        <w:t xml:space="preserve"> 2008г. и в </w:t>
      </w:r>
      <w:r w:rsidR="00FC4773">
        <w:t>2013г. (</w:t>
      </w:r>
      <w:r w:rsidR="00FC4773">
        <w:rPr>
          <w:lang w:val="en-US"/>
        </w:rPr>
        <w:t>I</w:t>
      </w:r>
      <w:r w:rsidR="00FC4773">
        <w:t>-</w:t>
      </w:r>
      <w:r w:rsidR="00FC4773">
        <w:rPr>
          <w:lang w:val="en-US"/>
        </w:rPr>
        <w:t>III</w:t>
      </w:r>
      <w:r w:rsidR="00FC4773">
        <w:t xml:space="preserve"> квартал) уровень ИОК </w:t>
      </w:r>
      <w:r w:rsidR="00FC4773" w:rsidRPr="007F43EF">
        <w:rPr>
          <w:b/>
        </w:rPr>
        <w:t>соответствует</w:t>
      </w:r>
      <w:r w:rsidR="00FC4773">
        <w:t xml:space="preserve"> </w:t>
      </w:r>
      <w:r w:rsidR="00FC4773" w:rsidRPr="007F43EF">
        <w:rPr>
          <w:b/>
        </w:rPr>
        <w:t>1978г</w:t>
      </w:r>
      <w:r w:rsidR="007F43EF">
        <w:t>.</w:t>
      </w:r>
      <w:r w:rsidR="00A7142F" w:rsidRPr="00A7142F">
        <w:t xml:space="preserve"> </w:t>
      </w:r>
      <w:r w:rsidR="00A7142F">
        <w:t>в сопоставимых ценах</w:t>
      </w:r>
      <w:r w:rsidR="00D90AFA">
        <w:t>, т.е. уровню 35-летней давности</w:t>
      </w:r>
      <w:r w:rsidR="00471F12">
        <w:t xml:space="preserve">, </w:t>
      </w:r>
      <w:r w:rsidR="00A7142F">
        <w:t>а также</w:t>
      </w:r>
      <w:r w:rsidR="00471F12">
        <w:t xml:space="preserve"> на 32% ниже, чем в 1990г</w:t>
      </w:r>
      <w:r w:rsidR="00FC4773">
        <w:t xml:space="preserve">. </w:t>
      </w:r>
      <w:r w:rsidR="00E56465">
        <w:t>Это</w:t>
      </w:r>
      <w:r w:rsidR="004D5928">
        <w:t>, в первую очередь,</w:t>
      </w:r>
      <w:r w:rsidR="00E56465">
        <w:t xml:space="preserve"> </w:t>
      </w:r>
      <w:r w:rsidR="00A7142F">
        <w:t>последствия</w:t>
      </w:r>
      <w:r w:rsidR="004D5928">
        <w:t xml:space="preserve"> катастрофической деиндустриализации России, вызванной</w:t>
      </w:r>
      <w:r w:rsidR="007F43EF">
        <w:t xml:space="preserve"> распад</w:t>
      </w:r>
      <w:r w:rsidR="004D5928">
        <w:t>ом</w:t>
      </w:r>
      <w:r w:rsidR="00E56465">
        <w:t xml:space="preserve"> СССР</w:t>
      </w:r>
      <w:r w:rsidR="007F43EF">
        <w:t xml:space="preserve"> в 1991г.</w:t>
      </w:r>
      <w:r w:rsidR="004D5928">
        <w:t xml:space="preserve"> и</w:t>
      </w:r>
      <w:r w:rsidR="00E56465">
        <w:t xml:space="preserve"> </w:t>
      </w:r>
      <w:r w:rsidR="007F43EF">
        <w:t>экономическ</w:t>
      </w:r>
      <w:r w:rsidR="00E56465">
        <w:t>ой</w:t>
      </w:r>
      <w:r w:rsidR="007F43EF">
        <w:t xml:space="preserve"> политик</w:t>
      </w:r>
      <w:r w:rsidR="00E56465">
        <w:t>и, которую проводило</w:t>
      </w:r>
      <w:r w:rsidR="007F43EF">
        <w:t xml:space="preserve"> руководств</w:t>
      </w:r>
      <w:r w:rsidR="00E56465">
        <w:t>о</w:t>
      </w:r>
      <w:r w:rsidR="007F43EF">
        <w:t xml:space="preserve"> страны в 1990-х гг. </w:t>
      </w:r>
      <w:r w:rsidR="004C0CBC">
        <w:t>В результате к 1998г. ИОК на душу населения</w:t>
      </w:r>
      <w:r w:rsidR="00F63C39">
        <w:t xml:space="preserve"> </w:t>
      </w:r>
      <w:r w:rsidR="00D90AFA">
        <w:t>упал в 5 раз</w:t>
      </w:r>
      <w:r w:rsidR="004C0CBC">
        <w:t xml:space="preserve">, а, соответственно, ВВП – в 2 раза </w:t>
      </w:r>
      <w:r w:rsidR="00F63C39">
        <w:t>(по сравнению с 1990г.</w:t>
      </w:r>
      <w:r w:rsidR="002D2D2C">
        <w:t>)</w:t>
      </w:r>
      <w:r w:rsidR="00F31DD2">
        <w:t>. В 2009г</w:t>
      </w:r>
      <w:r w:rsidR="00656548">
        <w:t xml:space="preserve">., когда разразился </w:t>
      </w:r>
      <w:r w:rsidR="002D2D2C">
        <w:t>мировой экономический кризи</w:t>
      </w:r>
      <w:r w:rsidR="00656548">
        <w:t xml:space="preserve">с, </w:t>
      </w:r>
      <w:r w:rsidR="002D2D2C">
        <w:t>ИОК в стране упал на 15,7%</w:t>
      </w:r>
      <w:r w:rsidR="00656548">
        <w:t>, а ВВП – на 7,8%</w:t>
      </w:r>
      <w:r w:rsidR="002D2D2C">
        <w:t xml:space="preserve">, по отношению к 2008г. В </w:t>
      </w:r>
      <w:r w:rsidR="000B0F65">
        <w:t>восстановительный период</w:t>
      </w:r>
      <w:r w:rsidR="002D2D2C">
        <w:t xml:space="preserve"> (1999-2008гг., 2010-2012гг.) уровень ИОК </w:t>
      </w:r>
      <w:r w:rsidR="000B0F65">
        <w:t xml:space="preserve">смог </w:t>
      </w:r>
      <w:r w:rsidR="00A65609">
        <w:t>дости</w:t>
      </w:r>
      <w:r w:rsidR="000B0F65">
        <w:t>чь</w:t>
      </w:r>
      <w:r w:rsidR="00A65609">
        <w:t xml:space="preserve"> только уровня 1978г.</w:t>
      </w:r>
      <w:r w:rsidR="00D90AFA">
        <w:t xml:space="preserve"> </w:t>
      </w:r>
      <w:r w:rsidR="00FC4773">
        <w:t>Эт</w:t>
      </w:r>
      <w:r w:rsidR="000B0F65">
        <w:t>о</w:t>
      </w:r>
      <w:r w:rsidR="00471F12">
        <w:t xml:space="preserve"> </w:t>
      </w:r>
      <w:r w:rsidR="00FC4773">
        <w:t>показыва</w:t>
      </w:r>
      <w:r w:rsidR="000B0F65">
        <w:t>е</w:t>
      </w:r>
      <w:r w:rsidR="00FC4773">
        <w:t>т</w:t>
      </w:r>
      <w:r w:rsidR="000B0F65">
        <w:t>,</w:t>
      </w:r>
      <w:r w:rsidR="00FC4773">
        <w:t xml:space="preserve"> </w:t>
      </w:r>
      <w:r w:rsidR="00FC4773" w:rsidRPr="00364DCE">
        <w:rPr>
          <w:b/>
        </w:rPr>
        <w:t>насколько</w:t>
      </w:r>
      <w:r w:rsidR="00364DCE">
        <w:t xml:space="preserve"> в настоящее время</w:t>
      </w:r>
      <w:r w:rsidR="00FC4773">
        <w:t xml:space="preserve"> недофинансирован</w:t>
      </w:r>
      <w:r w:rsidR="00471F12">
        <w:t xml:space="preserve"> ИОК в экономик</w:t>
      </w:r>
      <w:r w:rsidR="00074FC2">
        <w:t>е</w:t>
      </w:r>
      <w:r w:rsidR="00471F12">
        <w:t xml:space="preserve"> России.</w:t>
      </w:r>
      <w:r w:rsidR="009101E9">
        <w:t xml:space="preserve"> </w:t>
      </w:r>
    </w:p>
    <w:p w:rsidR="004343A1" w:rsidRDefault="004343A1" w:rsidP="005B5618">
      <w:pPr>
        <w:ind w:firstLine="851"/>
        <w:jc w:val="both"/>
      </w:pPr>
      <w:r>
        <w:t xml:space="preserve">В период 2010-2012гг. </w:t>
      </w:r>
      <w:r w:rsidR="006F211C">
        <w:t xml:space="preserve">при среднегодовом </w:t>
      </w:r>
      <w:r>
        <w:t>темп</w:t>
      </w:r>
      <w:r w:rsidR="006F211C">
        <w:t>е</w:t>
      </w:r>
      <w:r>
        <w:t xml:space="preserve"> роста ИОК 6,1%, </w:t>
      </w:r>
      <w:r w:rsidR="006F211C">
        <w:t>темп роста ВВП составлял 4,1%</w:t>
      </w:r>
      <w:r w:rsidR="00364DCE">
        <w:t xml:space="preserve"> (</w:t>
      </w:r>
      <w:r w:rsidR="00364DCE" w:rsidRPr="00B63CD4">
        <w:t>см. таблицу).</w:t>
      </w:r>
      <w:r w:rsidR="006F211C">
        <w:t xml:space="preserve"> Однако </w:t>
      </w:r>
      <w:r w:rsidR="001C230B">
        <w:t xml:space="preserve">в 2013г. </w:t>
      </w:r>
      <w:r w:rsidR="00863B09">
        <w:t>появился тревожный сигнал стагнации российской экономики:</w:t>
      </w:r>
      <w:r w:rsidR="001C230B">
        <w:t xml:space="preserve"> </w:t>
      </w:r>
      <w:r w:rsidR="006F211C">
        <w:t>за первые 8 месяцев 2013г. ИОК упал на 1,3%, по сравнени</w:t>
      </w:r>
      <w:r w:rsidR="00863B09">
        <w:t xml:space="preserve">ю с аналогичным периодом 2012г., </w:t>
      </w:r>
      <w:r w:rsidR="00CE3D43">
        <w:t xml:space="preserve">а электропотребление – на 0,1%, при этом, </w:t>
      </w:r>
      <w:r w:rsidR="00863B09">
        <w:t>ВВП выросло всего на 1,5%,</w:t>
      </w:r>
      <w:r w:rsidR="00CE3D43">
        <w:t xml:space="preserve"> а промышленное производство осталось на прежнем уровне. </w:t>
      </w:r>
    </w:p>
    <w:p w:rsidR="004343A1" w:rsidRDefault="004343A1" w:rsidP="005B5618">
      <w:pPr>
        <w:ind w:firstLine="851"/>
        <w:jc w:val="both"/>
      </w:pPr>
    </w:p>
    <w:p w:rsidR="00EA36DE" w:rsidRDefault="00EA36DE" w:rsidP="005B5618">
      <w:pPr>
        <w:ind w:firstLine="851"/>
        <w:jc w:val="both"/>
      </w:pPr>
      <w:r>
        <w:t>Рассмотрим ежегодные темпы изменения ИОК и ВВП в период 1971-2013гг. (см. рис. 1</w:t>
      </w:r>
      <w:r w:rsidR="00B63CD4">
        <w:t>7</w:t>
      </w:r>
      <w:r>
        <w:t xml:space="preserve">). </w:t>
      </w:r>
    </w:p>
    <w:p w:rsidR="00B64E71" w:rsidRDefault="00B64E71" w:rsidP="00B64E71">
      <w:pPr>
        <w:jc w:val="both"/>
      </w:pPr>
    </w:p>
    <w:p w:rsidR="009478DB" w:rsidRPr="00A81F9F" w:rsidRDefault="009478DB" w:rsidP="00EE1A61">
      <w:pPr>
        <w:ind w:firstLine="709"/>
        <w:jc w:val="both"/>
      </w:pPr>
    </w:p>
    <w:p w:rsidR="009478DB" w:rsidRPr="00A81F9F" w:rsidRDefault="00E6463B" w:rsidP="00E6463B">
      <w:pPr>
        <w:ind w:firstLine="709"/>
      </w:pPr>
      <w:r>
        <w:rPr>
          <w:noProof/>
        </w:rPr>
        <w:t>.</w:t>
      </w:r>
      <w:r w:rsidR="007C1ADE">
        <w:rPr>
          <w:noProof/>
        </w:rPr>
        <w:drawing>
          <wp:inline distT="0" distB="0" distL="0" distR="0">
            <wp:extent cx="6219825" cy="3028950"/>
            <wp:effectExtent l="19050" t="0" r="9525" b="0"/>
            <wp:docPr id="82"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cstate="print"/>
                    <a:srcRect l="29625" t="30391" r="11719" b="32149"/>
                    <a:stretch>
                      <a:fillRect/>
                    </a:stretch>
                  </pic:blipFill>
                  <pic:spPr bwMode="auto">
                    <a:xfrm>
                      <a:off x="0" y="0"/>
                      <a:ext cx="6219825" cy="3028950"/>
                    </a:xfrm>
                    <a:prstGeom prst="rect">
                      <a:avLst/>
                    </a:prstGeom>
                    <a:noFill/>
                    <a:ln w="9525">
                      <a:noFill/>
                      <a:miter lim="800000"/>
                      <a:headEnd/>
                      <a:tailEnd/>
                    </a:ln>
                  </pic:spPr>
                </pic:pic>
              </a:graphicData>
            </a:graphic>
          </wp:inline>
        </w:drawing>
      </w:r>
    </w:p>
    <w:p w:rsidR="009478DB" w:rsidRPr="00A81F9F" w:rsidRDefault="009478DB" w:rsidP="00EB0462">
      <w:pPr>
        <w:ind w:firstLine="709"/>
        <w:jc w:val="both"/>
      </w:pPr>
      <w:r w:rsidRPr="00A81F9F">
        <w:t>Рис. 1</w:t>
      </w:r>
      <w:r w:rsidR="00B63CD4">
        <w:t>7</w:t>
      </w:r>
      <w:r w:rsidRPr="00A81F9F">
        <w:t>. Ежегодные темпы изменения ИОК и ВВП в период 1971-201</w:t>
      </w:r>
      <w:r w:rsidR="009D229A">
        <w:t>2</w:t>
      </w:r>
      <w:r w:rsidRPr="00A81F9F">
        <w:t xml:space="preserve"> гг.</w:t>
      </w:r>
    </w:p>
    <w:p w:rsidR="009478DB" w:rsidRPr="00A81F9F" w:rsidRDefault="009478DB" w:rsidP="00EE1A61">
      <w:pPr>
        <w:ind w:firstLine="709"/>
        <w:jc w:val="both"/>
      </w:pPr>
    </w:p>
    <w:p w:rsidR="009478DB" w:rsidRPr="00A81F9F" w:rsidRDefault="009478DB" w:rsidP="00EE1A61">
      <w:pPr>
        <w:ind w:firstLine="720"/>
        <w:jc w:val="both"/>
      </w:pPr>
      <w:r w:rsidRPr="00A81F9F">
        <w:t>Из рис. 1</w:t>
      </w:r>
      <w:r w:rsidR="00B63CD4">
        <w:t>7</w:t>
      </w:r>
      <w:r w:rsidRPr="00A81F9F">
        <w:t xml:space="preserve"> видно, что в советский период 1971-198</w:t>
      </w:r>
      <w:r w:rsidR="00441636">
        <w:t>5</w:t>
      </w:r>
      <w:r w:rsidRPr="00A81F9F">
        <w:t>гг. ежегодные темпы ИОК и ВВП изменялись с некоторым разбросом относительно средних значений: соответственно, ИОК – 5,2 % и  ВВП – 4,2%.</w:t>
      </w:r>
      <w:r w:rsidR="00441636">
        <w:t xml:space="preserve"> В период «горбачевской» перестройки (1985-1991гг.) среднегодовому темпу роста ИОК - ????? соответствовал среднегодовой темп роста ВВП - ????.</w:t>
      </w:r>
      <w:r w:rsidRPr="00A81F9F">
        <w:t xml:space="preserve">  А в постсоветское время в период</w:t>
      </w:r>
      <w:r w:rsidR="00441636">
        <w:t xml:space="preserve"> экономического</w:t>
      </w:r>
      <w:r w:rsidRPr="00A81F9F">
        <w:t xml:space="preserve"> </w:t>
      </w:r>
      <w:r w:rsidR="00441636">
        <w:t xml:space="preserve">кризиса в России </w:t>
      </w:r>
      <w:r w:rsidRPr="00A81F9F">
        <w:t xml:space="preserve">1991-1998гг. </w:t>
      </w:r>
      <w:r w:rsidR="00E40B22">
        <w:t>ИОК падал со среднегодовым темпом - -17%, при этом среднегодовой темп падения ВВП составлял -7,3%</w:t>
      </w:r>
      <w:r w:rsidRPr="00A81F9F">
        <w:t xml:space="preserve">., </w:t>
      </w:r>
      <w:r w:rsidR="00E40B22">
        <w:t>Здесь следует обратить внимание, что</w:t>
      </w:r>
      <w:r w:rsidR="00AF662D">
        <w:t xml:space="preserve"> в кризисном 2009г.</w:t>
      </w:r>
      <w:r w:rsidR="00B63CD4">
        <w:t xml:space="preserve"> </w:t>
      </w:r>
      <w:r w:rsidR="00AF662D">
        <w:t xml:space="preserve">было примерно такое же соотношение между темпами падения </w:t>
      </w:r>
      <w:r w:rsidR="00E40B22">
        <w:t xml:space="preserve">ИОК </w:t>
      </w:r>
      <w:r w:rsidR="00491038">
        <w:t>(-</w:t>
      </w:r>
      <w:r w:rsidR="00E40B22">
        <w:t>15,7%</w:t>
      </w:r>
      <w:r w:rsidR="00491038">
        <w:t xml:space="preserve">) и </w:t>
      </w:r>
      <w:r w:rsidR="00E40B22">
        <w:t xml:space="preserve">ВВП </w:t>
      </w:r>
      <w:r w:rsidR="00491038">
        <w:t>(-</w:t>
      </w:r>
      <w:r w:rsidR="00E40B22">
        <w:t>7,8%</w:t>
      </w:r>
      <w:r w:rsidR="00491038">
        <w:t>)</w:t>
      </w:r>
      <w:r w:rsidR="00E40B22">
        <w:t xml:space="preserve">. </w:t>
      </w:r>
      <w:r w:rsidR="00491038">
        <w:t>В восстановительный период 1999-2008гг. ИОК рос с</w:t>
      </w:r>
      <w:r w:rsidRPr="00A81F9F">
        <w:t>о средн</w:t>
      </w:r>
      <w:r w:rsidR="00491038">
        <w:t>егодовым</w:t>
      </w:r>
      <w:r w:rsidRPr="00A81F9F">
        <w:t xml:space="preserve"> темпом 12,2 %, при этом </w:t>
      </w:r>
      <w:r w:rsidR="00491038">
        <w:t xml:space="preserve">среднегодовой темп роста </w:t>
      </w:r>
      <w:r w:rsidRPr="00A81F9F">
        <w:t xml:space="preserve">ВВП </w:t>
      </w:r>
      <w:r w:rsidR="00491038">
        <w:t>составлял</w:t>
      </w:r>
      <w:r w:rsidRPr="00A81F9F">
        <w:t xml:space="preserve"> 6,8%.</w:t>
      </w:r>
      <w:r w:rsidR="00F831BE">
        <w:t xml:space="preserve"> В прослекризи</w:t>
      </w:r>
      <w:r w:rsidR="007C60EF">
        <w:t>с</w:t>
      </w:r>
      <w:r w:rsidR="00F831BE">
        <w:t>ный период 2009г. при среднегодовом темпе роста ИОК 6,1%, среднегодовой темп роста ВВП составил 4,1%</w:t>
      </w:r>
    </w:p>
    <w:p w:rsidR="00F831BE" w:rsidRDefault="00EA2930" w:rsidP="00EE1A61">
      <w:pPr>
        <w:ind w:firstLine="720"/>
        <w:jc w:val="both"/>
      </w:pPr>
      <w:r w:rsidRPr="00423DBE">
        <w:rPr>
          <w:u w:val="single"/>
        </w:rPr>
        <w:t>Коэффициент эластичности ВВП к ИОК (Кввп).</w:t>
      </w:r>
      <w:r>
        <w:t xml:space="preserve"> </w:t>
      </w:r>
      <w:r w:rsidR="00F55E40">
        <w:t>Кввп представляет собой отношение ежегодных темпов изменения ВВП к соответствующим темпам изменения ИОК. На рис. 1</w:t>
      </w:r>
      <w:r w:rsidR="00B63CD4">
        <w:t>8</w:t>
      </w:r>
      <w:r w:rsidR="00F55E40">
        <w:t xml:space="preserve"> представлены </w:t>
      </w:r>
      <w:r w:rsidR="00F831BE">
        <w:t>ежегодные</w:t>
      </w:r>
      <w:r w:rsidR="00F55E40">
        <w:t xml:space="preserve"> значения Кввп в России</w:t>
      </w:r>
      <w:r w:rsidR="00F831BE">
        <w:t xml:space="preserve"> в период </w:t>
      </w:r>
      <w:r w:rsidR="007C60EF">
        <w:t>1971-2013гг. (</w:t>
      </w:r>
      <w:r w:rsidR="007C60EF">
        <w:rPr>
          <w:lang w:val="en-US"/>
        </w:rPr>
        <w:t>I</w:t>
      </w:r>
      <w:r w:rsidR="007C60EF" w:rsidRPr="007C60EF">
        <w:t>-</w:t>
      </w:r>
      <w:r w:rsidR="007C60EF">
        <w:rPr>
          <w:lang w:val="en-US"/>
        </w:rPr>
        <w:t>III</w:t>
      </w:r>
      <w:r w:rsidR="007C60EF">
        <w:t xml:space="preserve">кварталы). </w:t>
      </w:r>
    </w:p>
    <w:p w:rsidR="009478DB" w:rsidRPr="00A81F9F" w:rsidRDefault="009478DB" w:rsidP="00EE1A61">
      <w:pPr>
        <w:ind w:firstLine="709"/>
        <w:jc w:val="both"/>
      </w:pPr>
    </w:p>
    <w:p w:rsidR="009478DB" w:rsidRDefault="007C1ADE" w:rsidP="00615F5F">
      <w:pPr>
        <w:ind w:hanging="284"/>
        <w:jc w:val="both"/>
      </w:pPr>
      <w:r>
        <w:rPr>
          <w:noProof/>
        </w:rPr>
        <w:drawing>
          <wp:inline distT="0" distB="0" distL="0" distR="0">
            <wp:extent cx="6095082" cy="4267200"/>
            <wp:effectExtent l="19050" t="0" r="19968" b="0"/>
            <wp:docPr id="80"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40602" w:rsidRPr="00A81F9F" w:rsidRDefault="00C40602" w:rsidP="00615F5F">
      <w:pPr>
        <w:ind w:hanging="284"/>
        <w:jc w:val="both"/>
      </w:pPr>
    </w:p>
    <w:p w:rsidR="003B037D" w:rsidRPr="00A81F9F" w:rsidRDefault="003B037D" w:rsidP="004D0A93">
      <w:pPr>
        <w:ind w:firstLine="720"/>
        <w:jc w:val="both"/>
      </w:pPr>
      <w:r>
        <w:t>Р</w:t>
      </w:r>
      <w:r w:rsidRPr="00A81F9F">
        <w:t>ис. 1</w:t>
      </w:r>
      <w:r w:rsidR="00B63CD4">
        <w:t>8</w:t>
      </w:r>
      <w:r w:rsidR="009D625F">
        <w:t>.</w:t>
      </w:r>
      <w:r w:rsidR="00026912">
        <w:t xml:space="preserve"> Е</w:t>
      </w:r>
      <w:r w:rsidRPr="00A81F9F">
        <w:t>жегодные значения  коэффициента эластичности ВВП к ИОК</w:t>
      </w:r>
      <w:r>
        <w:t xml:space="preserve"> </w:t>
      </w:r>
      <w:r w:rsidR="004D0A93">
        <w:t xml:space="preserve">в России в </w:t>
      </w:r>
      <w:r>
        <w:t xml:space="preserve"> период 1971-20</w:t>
      </w:r>
      <w:r w:rsidR="00361F6F">
        <w:t>12</w:t>
      </w:r>
      <w:r>
        <w:t>гг</w:t>
      </w:r>
      <w:r w:rsidRPr="00A81F9F">
        <w:t>.</w:t>
      </w:r>
      <w:r w:rsidR="004D0A93">
        <w:t xml:space="preserve"> и прогноз до 2024г. </w:t>
      </w:r>
    </w:p>
    <w:p w:rsidR="003B037D" w:rsidRDefault="003B037D" w:rsidP="004D0A93">
      <w:pPr>
        <w:ind w:firstLine="720"/>
        <w:jc w:val="both"/>
      </w:pPr>
    </w:p>
    <w:p w:rsidR="00490F44" w:rsidRDefault="00BA3C8C" w:rsidP="005B442F">
      <w:pPr>
        <w:ind w:firstLine="720"/>
        <w:jc w:val="both"/>
      </w:pPr>
      <w:r>
        <w:t>Из рис. 1</w:t>
      </w:r>
      <w:r w:rsidR="00B63CD4">
        <w:t>8</w:t>
      </w:r>
      <w:r>
        <w:t xml:space="preserve"> видно, что имеет место существенный разброс Кввп, относительно их средних значений, соответствующий различным состояниям экономики страны. Такой разброс вполне объясним, т.к. Кввп – это, по сути дела, отношение производных от временных функций ВВП и ИОК. Когда, отдельные значения ВВП в какой-либо год, существенно (в 2 или более раз) отклоняется от среднего значения, то для корректного учета этих значений в общей процедуре осреднения применялся метод локального осреднения. </w:t>
      </w:r>
      <w:r w:rsidR="006624F9">
        <w:t>Это значит, определялось локальное  среднее значение Кввп, как отношение темпов изменения ВВП и ИОК на периоде времени 2 или 3 года</w:t>
      </w:r>
      <w:r w:rsidR="0019252D">
        <w:t>,</w:t>
      </w:r>
      <w:r w:rsidR="0019252D" w:rsidRPr="0019252D">
        <w:t xml:space="preserve"> </w:t>
      </w:r>
      <w:r w:rsidR="0019252D">
        <w:t>естественно, включая год, где имелось существенное отклонение Кввп</w:t>
      </w:r>
      <w:r w:rsidR="006624F9">
        <w:t xml:space="preserve">. </w:t>
      </w:r>
      <w:r w:rsidR="00490F44">
        <w:t>На рис. 1</w:t>
      </w:r>
      <w:r w:rsidR="00B63CD4">
        <w:t>8</w:t>
      </w:r>
      <w:r w:rsidR="00490F44">
        <w:t xml:space="preserve"> </w:t>
      </w:r>
      <w:r w:rsidR="00012527">
        <w:t>значения Кввп, объединенные тонкой линией подвергались такому локальному осреднению перед тем, как рассчит</w:t>
      </w:r>
      <w:r w:rsidR="005B442F">
        <w:t>ывались</w:t>
      </w:r>
      <w:r w:rsidR="00012527">
        <w:t xml:space="preserve"> средние значения </w:t>
      </w:r>
      <w:r w:rsidR="005B442F">
        <w:t xml:space="preserve">Кввп. </w:t>
      </w:r>
    </w:p>
    <w:p w:rsidR="009478DB" w:rsidRPr="005A6A34" w:rsidRDefault="009478DB" w:rsidP="00EE1A61">
      <w:pPr>
        <w:ind w:firstLine="720"/>
        <w:jc w:val="both"/>
        <w:rPr>
          <w:rStyle w:val="af5"/>
          <w:rFonts w:eastAsia="Calibri"/>
          <w:sz w:val="24"/>
          <w:szCs w:val="24"/>
        </w:rPr>
      </w:pPr>
      <w:r w:rsidRPr="00A81F9F">
        <w:t>Из рис. 1</w:t>
      </w:r>
      <w:r w:rsidR="00B63CD4">
        <w:t>8</w:t>
      </w:r>
      <w:r w:rsidRPr="00A81F9F">
        <w:t xml:space="preserve"> видно, что т.к. в советский период 1971-198</w:t>
      </w:r>
      <w:r w:rsidR="00361F6F">
        <w:t>5</w:t>
      </w:r>
      <w:r w:rsidRPr="00A81F9F">
        <w:t xml:space="preserve"> гг.</w:t>
      </w:r>
      <w:r w:rsidR="00361F6F">
        <w:t xml:space="preserve"> </w:t>
      </w:r>
      <w:r w:rsidRPr="00A81F9F">
        <w:t>средне</w:t>
      </w:r>
      <w:r w:rsidR="00BC0E99">
        <w:t>годово</w:t>
      </w:r>
      <w:r w:rsidR="00145C62">
        <w:t>е значение</w:t>
      </w:r>
      <w:r w:rsidR="005B442F">
        <w:t xml:space="preserve"> равнялось</w:t>
      </w:r>
      <w:r w:rsidR="00145C62">
        <w:t xml:space="preserve"> </w:t>
      </w:r>
      <w:r w:rsidR="00145C62" w:rsidRPr="007100F2">
        <w:rPr>
          <w:b/>
        </w:rPr>
        <w:t>Кввп</w:t>
      </w:r>
      <w:r w:rsidR="00AB6CA2" w:rsidRPr="007100F2">
        <w:rPr>
          <w:b/>
        </w:rPr>
        <w:t>=1,02</w:t>
      </w:r>
      <w:r w:rsidR="00BC0E99">
        <w:t xml:space="preserve">. </w:t>
      </w:r>
      <w:r w:rsidR="00BC0E99" w:rsidRPr="00BC0E99">
        <w:rPr>
          <w:b/>
        </w:rPr>
        <w:t>Это значит, что</w:t>
      </w:r>
      <w:r w:rsidR="00BC0E99">
        <w:rPr>
          <w:b/>
        </w:rPr>
        <w:t xml:space="preserve"> в этот период</w:t>
      </w:r>
      <w:r w:rsidR="00BC0E99">
        <w:t xml:space="preserve"> </w:t>
      </w:r>
      <w:r w:rsidRPr="005A6A34">
        <w:rPr>
          <w:rStyle w:val="af5"/>
          <w:rFonts w:eastAsia="Calibri"/>
          <w:sz w:val="24"/>
          <w:szCs w:val="24"/>
        </w:rPr>
        <w:t>на 1% роста ИОК приходи</w:t>
      </w:r>
      <w:r w:rsidR="00145C62" w:rsidRPr="005A6A34">
        <w:rPr>
          <w:rStyle w:val="af5"/>
          <w:rFonts w:eastAsia="Calibri"/>
          <w:sz w:val="24"/>
          <w:szCs w:val="24"/>
        </w:rPr>
        <w:t>л</w:t>
      </w:r>
      <w:r w:rsidRPr="005A6A34">
        <w:rPr>
          <w:rStyle w:val="af5"/>
          <w:rFonts w:eastAsia="Calibri"/>
          <w:sz w:val="24"/>
          <w:szCs w:val="24"/>
        </w:rPr>
        <w:t>ся 1</w:t>
      </w:r>
      <w:r w:rsidR="0098317E" w:rsidRPr="005A6A34">
        <w:rPr>
          <w:rStyle w:val="af5"/>
          <w:rFonts w:eastAsia="Calibri"/>
          <w:sz w:val="24"/>
          <w:szCs w:val="24"/>
        </w:rPr>
        <w:t>,02</w:t>
      </w:r>
      <w:r w:rsidRPr="005A6A34">
        <w:rPr>
          <w:rStyle w:val="af5"/>
          <w:rFonts w:eastAsia="Calibri"/>
          <w:sz w:val="24"/>
          <w:szCs w:val="24"/>
        </w:rPr>
        <w:t>% роста ВВП, т.е. име</w:t>
      </w:r>
      <w:r w:rsidR="00AB6CA2" w:rsidRPr="005A6A34">
        <w:rPr>
          <w:rStyle w:val="af5"/>
          <w:rFonts w:eastAsia="Calibri"/>
          <w:sz w:val="24"/>
          <w:szCs w:val="24"/>
        </w:rPr>
        <w:t>ла</w:t>
      </w:r>
      <w:r w:rsidRPr="005A6A34">
        <w:rPr>
          <w:rStyle w:val="af5"/>
          <w:rFonts w:eastAsia="Calibri"/>
          <w:sz w:val="24"/>
          <w:szCs w:val="24"/>
        </w:rPr>
        <w:t xml:space="preserve"> место </w:t>
      </w:r>
      <w:r w:rsidR="0078139E" w:rsidRPr="005A6A34">
        <w:rPr>
          <w:rStyle w:val="af5"/>
          <w:rFonts w:eastAsia="Calibri"/>
          <w:sz w:val="24"/>
          <w:szCs w:val="24"/>
        </w:rPr>
        <w:t>очень</w:t>
      </w:r>
      <w:r w:rsidRPr="005A6A34">
        <w:rPr>
          <w:rStyle w:val="af5"/>
          <w:rFonts w:eastAsia="Calibri"/>
          <w:sz w:val="24"/>
          <w:szCs w:val="24"/>
        </w:rPr>
        <w:t xml:space="preserve"> высокая эффективность ИОК. </w:t>
      </w:r>
    </w:p>
    <w:p w:rsidR="00984D6E" w:rsidRDefault="00AB6CA2" w:rsidP="00EE1A61">
      <w:pPr>
        <w:ind w:firstLine="720"/>
        <w:jc w:val="both"/>
        <w:rPr>
          <w:rStyle w:val="af5"/>
          <w:rFonts w:eastAsia="Calibri"/>
          <w:b w:val="0"/>
          <w:sz w:val="24"/>
          <w:szCs w:val="24"/>
        </w:rPr>
      </w:pPr>
      <w:r>
        <w:rPr>
          <w:rStyle w:val="af5"/>
          <w:rFonts w:eastAsia="Calibri"/>
          <w:b w:val="0"/>
          <w:sz w:val="24"/>
          <w:szCs w:val="24"/>
        </w:rPr>
        <w:t xml:space="preserve">В </w:t>
      </w:r>
      <w:r w:rsidR="00FB23E3">
        <w:rPr>
          <w:rStyle w:val="af5"/>
          <w:rFonts w:eastAsia="Calibri"/>
          <w:b w:val="0"/>
          <w:sz w:val="24"/>
          <w:szCs w:val="24"/>
        </w:rPr>
        <w:t>«п</w:t>
      </w:r>
      <w:r>
        <w:rPr>
          <w:rStyle w:val="af5"/>
          <w:rFonts w:eastAsia="Calibri"/>
          <w:b w:val="0"/>
          <w:sz w:val="24"/>
          <w:szCs w:val="24"/>
        </w:rPr>
        <w:t>ерестр</w:t>
      </w:r>
      <w:r w:rsidR="00FB23E3">
        <w:rPr>
          <w:rStyle w:val="af5"/>
          <w:rFonts w:eastAsia="Calibri"/>
          <w:b w:val="0"/>
          <w:sz w:val="24"/>
          <w:szCs w:val="24"/>
        </w:rPr>
        <w:t>оечный» период</w:t>
      </w:r>
      <w:r>
        <w:rPr>
          <w:rStyle w:val="af5"/>
          <w:rFonts w:eastAsia="Calibri"/>
          <w:b w:val="0"/>
          <w:sz w:val="24"/>
          <w:szCs w:val="24"/>
        </w:rPr>
        <w:t xml:space="preserve"> (1986-1991гг.)</w:t>
      </w:r>
      <w:r w:rsidR="00FB23E3">
        <w:rPr>
          <w:rStyle w:val="af5"/>
          <w:rFonts w:eastAsia="Calibri"/>
          <w:b w:val="0"/>
          <w:sz w:val="24"/>
          <w:szCs w:val="24"/>
        </w:rPr>
        <w:t xml:space="preserve"> среднегодовое значение </w:t>
      </w:r>
      <w:r w:rsidRPr="0078139E">
        <w:rPr>
          <w:rStyle w:val="af5"/>
          <w:rFonts w:eastAsia="Calibri"/>
          <w:b w:val="0"/>
          <w:sz w:val="24"/>
          <w:szCs w:val="24"/>
        </w:rPr>
        <w:t>Кввп</w:t>
      </w:r>
      <w:r w:rsidR="0078139E">
        <w:rPr>
          <w:rStyle w:val="af5"/>
          <w:rFonts w:eastAsia="Calibri"/>
          <w:sz w:val="24"/>
          <w:szCs w:val="24"/>
        </w:rPr>
        <w:t xml:space="preserve"> </w:t>
      </w:r>
      <w:r w:rsidR="0078139E" w:rsidRPr="0078139E">
        <w:rPr>
          <w:rStyle w:val="af5"/>
          <w:rFonts w:eastAsia="Calibri"/>
          <w:b w:val="0"/>
          <w:sz w:val="24"/>
          <w:szCs w:val="24"/>
        </w:rPr>
        <w:t>резко упало и стало равным</w:t>
      </w:r>
      <w:r w:rsidR="0078139E">
        <w:rPr>
          <w:rStyle w:val="af5"/>
          <w:rFonts w:eastAsia="Calibri"/>
          <w:sz w:val="24"/>
          <w:szCs w:val="24"/>
        </w:rPr>
        <w:t xml:space="preserve"> Кввп</w:t>
      </w:r>
      <w:r w:rsidRPr="007100F2">
        <w:rPr>
          <w:rStyle w:val="af5"/>
          <w:rFonts w:eastAsia="Calibri"/>
          <w:sz w:val="24"/>
          <w:szCs w:val="24"/>
        </w:rPr>
        <w:t>=</w:t>
      </w:r>
      <w:r w:rsidR="00FB23E3" w:rsidRPr="007100F2">
        <w:rPr>
          <w:rStyle w:val="af5"/>
          <w:rFonts w:eastAsia="Calibri"/>
          <w:sz w:val="24"/>
          <w:szCs w:val="24"/>
        </w:rPr>
        <w:t>0,39</w:t>
      </w:r>
      <w:r w:rsidR="00FB23E3">
        <w:rPr>
          <w:rStyle w:val="af5"/>
          <w:rFonts w:eastAsia="Calibri"/>
          <w:b w:val="0"/>
          <w:sz w:val="24"/>
          <w:szCs w:val="24"/>
        </w:rPr>
        <w:t xml:space="preserve">, это значит, что эффективность ИОК </w:t>
      </w:r>
      <w:r w:rsidR="0078139E">
        <w:rPr>
          <w:rStyle w:val="af5"/>
          <w:rFonts w:eastAsia="Calibri"/>
          <w:b w:val="0"/>
          <w:sz w:val="24"/>
          <w:szCs w:val="24"/>
        </w:rPr>
        <w:t>снизилась</w:t>
      </w:r>
      <w:r w:rsidR="00FB23E3">
        <w:rPr>
          <w:rStyle w:val="af5"/>
          <w:rFonts w:eastAsia="Calibri"/>
          <w:b w:val="0"/>
          <w:sz w:val="24"/>
          <w:szCs w:val="24"/>
        </w:rPr>
        <w:t xml:space="preserve"> в 2,6 раза, </w:t>
      </w:r>
      <w:r w:rsidR="00F76318">
        <w:rPr>
          <w:rStyle w:val="af5"/>
          <w:rFonts w:eastAsia="Calibri"/>
          <w:b w:val="0"/>
          <w:sz w:val="24"/>
          <w:szCs w:val="24"/>
        </w:rPr>
        <w:t>или</w:t>
      </w:r>
      <w:r w:rsidR="00FB23E3">
        <w:rPr>
          <w:rStyle w:val="af5"/>
          <w:rFonts w:eastAsia="Calibri"/>
          <w:b w:val="0"/>
          <w:sz w:val="24"/>
          <w:szCs w:val="24"/>
        </w:rPr>
        <w:t xml:space="preserve"> на 1% роста ИОК приходилось</w:t>
      </w:r>
      <w:r w:rsidR="00F06F48">
        <w:rPr>
          <w:rStyle w:val="af5"/>
          <w:rFonts w:eastAsia="Calibri"/>
          <w:b w:val="0"/>
          <w:sz w:val="24"/>
          <w:szCs w:val="24"/>
        </w:rPr>
        <w:t xml:space="preserve"> всего</w:t>
      </w:r>
      <w:r w:rsidR="00FB23E3">
        <w:rPr>
          <w:rStyle w:val="af5"/>
          <w:rFonts w:eastAsia="Calibri"/>
          <w:b w:val="0"/>
          <w:sz w:val="24"/>
          <w:szCs w:val="24"/>
        </w:rPr>
        <w:t xml:space="preserve"> 0,39</w:t>
      </w:r>
      <w:r w:rsidR="001D2DDD">
        <w:rPr>
          <w:rStyle w:val="af5"/>
          <w:rFonts w:eastAsia="Calibri"/>
          <w:b w:val="0"/>
          <w:sz w:val="24"/>
          <w:szCs w:val="24"/>
        </w:rPr>
        <w:t xml:space="preserve">% роста ВВП. </w:t>
      </w:r>
    </w:p>
    <w:p w:rsidR="00984D6E" w:rsidRDefault="00984D6E" w:rsidP="00EE1A61">
      <w:pPr>
        <w:ind w:firstLine="720"/>
        <w:jc w:val="both"/>
        <w:rPr>
          <w:rStyle w:val="af5"/>
          <w:rFonts w:eastAsia="Calibri"/>
          <w:b w:val="0"/>
          <w:sz w:val="24"/>
          <w:szCs w:val="24"/>
        </w:rPr>
      </w:pPr>
      <w:r>
        <w:rPr>
          <w:rStyle w:val="af5"/>
          <w:rFonts w:eastAsia="Calibri"/>
          <w:b w:val="0"/>
          <w:sz w:val="24"/>
          <w:szCs w:val="24"/>
        </w:rPr>
        <w:t xml:space="preserve">В кризисные годы (1991-1998гг. и 2009г.) среднегодовое значение </w:t>
      </w:r>
      <w:r w:rsidRPr="007100F2">
        <w:rPr>
          <w:rStyle w:val="af5"/>
          <w:rFonts w:eastAsia="Calibri"/>
          <w:sz w:val="24"/>
          <w:szCs w:val="24"/>
        </w:rPr>
        <w:t>Кввп=0,47</w:t>
      </w:r>
      <w:r>
        <w:rPr>
          <w:rStyle w:val="af5"/>
          <w:rFonts w:eastAsia="Calibri"/>
          <w:b w:val="0"/>
          <w:sz w:val="24"/>
          <w:szCs w:val="24"/>
        </w:rPr>
        <w:t xml:space="preserve">, или в среднем на 1% падения ИОК приходилось 0,47% падения ВВП. </w:t>
      </w:r>
    </w:p>
    <w:p w:rsidR="009478DB" w:rsidRDefault="00984D6E" w:rsidP="007100F2">
      <w:pPr>
        <w:ind w:firstLine="720"/>
        <w:jc w:val="both"/>
        <w:rPr>
          <w:rStyle w:val="af5"/>
          <w:rFonts w:eastAsia="Calibri"/>
          <w:b w:val="0"/>
          <w:sz w:val="24"/>
          <w:szCs w:val="24"/>
        </w:rPr>
      </w:pPr>
      <w:r>
        <w:rPr>
          <w:rStyle w:val="af5"/>
          <w:rFonts w:eastAsia="Calibri"/>
          <w:b w:val="0"/>
          <w:sz w:val="24"/>
          <w:szCs w:val="24"/>
        </w:rPr>
        <w:t xml:space="preserve">В восстановительный период (1999-2008гг. и 2010-2012гг.) среднегодовое значение </w:t>
      </w:r>
      <w:r w:rsidRPr="007100F2">
        <w:rPr>
          <w:rStyle w:val="af5"/>
          <w:rFonts w:eastAsia="Calibri"/>
          <w:sz w:val="24"/>
          <w:szCs w:val="24"/>
        </w:rPr>
        <w:t>Кввп=0,60</w:t>
      </w:r>
      <w:r w:rsidR="00F76318">
        <w:rPr>
          <w:rStyle w:val="af5"/>
          <w:rFonts w:eastAsia="Calibri"/>
          <w:b w:val="0"/>
          <w:sz w:val="24"/>
          <w:szCs w:val="24"/>
        </w:rPr>
        <w:t xml:space="preserve">, или в среднем на 1% роста ИОК приходилось 0,60% роста ВВП. </w:t>
      </w:r>
    </w:p>
    <w:p w:rsidR="005A6A34" w:rsidRDefault="00A40162" w:rsidP="005A6A34">
      <w:pPr>
        <w:ind w:firstLine="720"/>
        <w:jc w:val="both"/>
        <w:rPr>
          <w:b/>
        </w:rPr>
      </w:pPr>
      <w:r>
        <w:rPr>
          <w:rFonts w:cs="Arial"/>
          <w:bCs/>
        </w:rPr>
        <w:t>Рассмотрим</w:t>
      </w:r>
      <w:r w:rsidR="003D59E4">
        <w:rPr>
          <w:rFonts w:cs="Arial"/>
          <w:bCs/>
        </w:rPr>
        <w:t xml:space="preserve"> осреднение ежегодных значений Кввп </w:t>
      </w:r>
      <w:r w:rsidR="00C7464F">
        <w:rPr>
          <w:rFonts w:cs="Arial"/>
          <w:bCs/>
        </w:rPr>
        <w:t>на всем</w:t>
      </w:r>
      <w:r w:rsidR="003D59E4">
        <w:rPr>
          <w:rFonts w:cs="Arial"/>
          <w:bCs/>
        </w:rPr>
        <w:t xml:space="preserve"> постперестроечн</w:t>
      </w:r>
      <w:r w:rsidR="00C7464F">
        <w:rPr>
          <w:rFonts w:cs="Arial"/>
          <w:bCs/>
        </w:rPr>
        <w:t>ом</w:t>
      </w:r>
      <w:r>
        <w:rPr>
          <w:rFonts w:cs="Arial"/>
          <w:bCs/>
        </w:rPr>
        <w:t xml:space="preserve"> период</w:t>
      </w:r>
      <w:r w:rsidR="00C7464F">
        <w:rPr>
          <w:rFonts w:cs="Arial"/>
          <w:bCs/>
        </w:rPr>
        <w:t>е</w:t>
      </w:r>
      <w:r w:rsidR="003D59E4">
        <w:rPr>
          <w:rFonts w:cs="Arial"/>
          <w:bCs/>
        </w:rPr>
        <w:t xml:space="preserve">, </w:t>
      </w:r>
      <w:r>
        <w:rPr>
          <w:rFonts w:cs="Arial"/>
          <w:bCs/>
        </w:rPr>
        <w:t xml:space="preserve">независимо от периодов роста или падения ИОК. Оказалось, что </w:t>
      </w:r>
      <w:r w:rsidR="00683A0F">
        <w:rPr>
          <w:rFonts w:cs="Arial"/>
          <w:bCs/>
        </w:rPr>
        <w:t xml:space="preserve">в периоды </w:t>
      </w:r>
      <w:r w:rsidR="009478DB" w:rsidRPr="00A81F9F">
        <w:t>1991-200</w:t>
      </w:r>
      <w:r w:rsidR="00C7464F">
        <w:t>6</w:t>
      </w:r>
      <w:r w:rsidR="009478DB" w:rsidRPr="00A81F9F">
        <w:t xml:space="preserve"> гг., </w:t>
      </w:r>
      <w:r w:rsidR="00694390">
        <w:t xml:space="preserve"> </w:t>
      </w:r>
      <w:r w:rsidR="009478DB" w:rsidRPr="00A81F9F">
        <w:t>1993-200</w:t>
      </w:r>
      <w:r w:rsidR="00C7464F">
        <w:t>8</w:t>
      </w:r>
      <w:r w:rsidR="009478DB" w:rsidRPr="00A81F9F">
        <w:t xml:space="preserve"> гг. и 1997-201</w:t>
      </w:r>
      <w:r w:rsidR="00694390">
        <w:t>2</w:t>
      </w:r>
      <w:r w:rsidR="009478DB" w:rsidRPr="00A81F9F">
        <w:t>гг.</w:t>
      </w:r>
      <w:r w:rsidR="00694390">
        <w:t xml:space="preserve"> </w:t>
      </w:r>
      <w:r w:rsidR="00C7464F">
        <w:t xml:space="preserve">(т.е. </w:t>
      </w:r>
      <w:r w:rsidR="009478DB" w:rsidRPr="00A81F9F">
        <w:t xml:space="preserve">15 лет), </w:t>
      </w:r>
      <w:r w:rsidR="00683A0F">
        <w:t>Кввп</w:t>
      </w:r>
      <w:r w:rsidR="009478DB" w:rsidRPr="00A81F9F">
        <w:t xml:space="preserve"> </w:t>
      </w:r>
      <w:r w:rsidR="009478DB" w:rsidRPr="003950B0">
        <w:t>равняется 0,62; 0,62 и 0,65, соответственно. Эти значения отличаются от усредненного за 2</w:t>
      </w:r>
      <w:r w:rsidR="0089751A" w:rsidRPr="003950B0">
        <w:t>2</w:t>
      </w:r>
      <w:r w:rsidR="009478DB" w:rsidRPr="003950B0">
        <w:t xml:space="preserve"> год – 0,</w:t>
      </w:r>
      <w:r w:rsidR="0089751A" w:rsidRPr="003950B0">
        <w:t>60</w:t>
      </w:r>
      <w:r w:rsidR="009478DB" w:rsidRPr="003950B0">
        <w:t xml:space="preserve">, максимум на </w:t>
      </w:r>
      <w:r w:rsidR="0089751A" w:rsidRPr="003950B0">
        <w:t>8</w:t>
      </w:r>
      <w:r w:rsidR="009478DB" w:rsidRPr="003950B0">
        <w:t>%. Отсюда следует, что период усреднения при расчете коэффициента эластичности ВВП к ИОК должен быть около 1</w:t>
      </w:r>
      <w:r w:rsidR="0089751A" w:rsidRPr="003950B0">
        <w:t>5 лет, т.е. значение, равное 0,60</w:t>
      </w:r>
      <w:r w:rsidR="009478DB" w:rsidRPr="003950B0">
        <w:t>, рассчитанное на весь рассматриваемый период (2</w:t>
      </w:r>
      <w:r w:rsidR="0089751A" w:rsidRPr="003950B0">
        <w:t>2</w:t>
      </w:r>
      <w:r w:rsidR="009478DB" w:rsidRPr="003950B0">
        <w:t xml:space="preserve"> год</w:t>
      </w:r>
      <w:r w:rsidR="0089751A" w:rsidRPr="003950B0">
        <w:t>а</w:t>
      </w:r>
      <w:r w:rsidR="009478DB" w:rsidRPr="003950B0">
        <w:t>), стоит считать справедливым. Однако</w:t>
      </w:r>
      <w:r w:rsidR="009478DB" w:rsidRPr="00A81F9F">
        <w:t xml:space="preserve"> в последующем анализе предполагается, что в период 2012-2022 гг. темп изменения ИОК будет положительный, соответственно, будет иметь место рост ВВП, поэтому, в качестве базового значения среднего коэффициента эластичности ВВП к ИОК </w:t>
      </w:r>
      <w:r w:rsidR="00D94C25">
        <w:t>примем</w:t>
      </w:r>
      <w:r w:rsidR="009478DB" w:rsidRPr="00A81F9F">
        <w:t xml:space="preserve"> величину, соответствующую после</w:t>
      </w:r>
      <w:r w:rsidR="008718E9">
        <w:t>кризисному периоду роста ВВП</w:t>
      </w:r>
      <w:r w:rsidR="006E4C91">
        <w:t xml:space="preserve"> </w:t>
      </w:r>
      <w:r w:rsidR="006E4C91" w:rsidRPr="00A81F9F">
        <w:t>(1999-201</w:t>
      </w:r>
      <w:r w:rsidR="006E4C91">
        <w:t>2 гг.</w:t>
      </w:r>
      <w:r w:rsidR="008718E9">
        <w:t>, иск</w:t>
      </w:r>
      <w:r w:rsidR="009478DB" w:rsidRPr="00A81F9F">
        <w:t xml:space="preserve">лючая кризисный </w:t>
      </w:r>
      <w:smartTag w:uri="urn:schemas-microsoft-com:office:smarttags" w:element="metricconverter">
        <w:smartTagPr>
          <w:attr w:name="ProductID" w:val="2009 г"/>
        </w:smartTagPr>
        <w:r w:rsidR="009478DB" w:rsidRPr="00A81F9F">
          <w:t>2009 г</w:t>
        </w:r>
      </w:smartTag>
      <w:r w:rsidR="009478DB" w:rsidRPr="00A81F9F">
        <w:t>.</w:t>
      </w:r>
      <w:r w:rsidR="006E4C91">
        <w:t>)</w:t>
      </w:r>
      <w:r w:rsidR="009478DB" w:rsidRPr="00A81F9F">
        <w:t xml:space="preserve">, </w:t>
      </w:r>
      <w:r w:rsidR="00D94C25">
        <w:t xml:space="preserve">т.е. </w:t>
      </w:r>
      <w:r w:rsidR="002C5A33" w:rsidRPr="002C5A33">
        <w:rPr>
          <w:b/>
        </w:rPr>
        <w:t>Кввп=</w:t>
      </w:r>
      <w:r w:rsidR="009478DB" w:rsidRPr="00A81F9F">
        <w:rPr>
          <w:rStyle w:val="af5"/>
          <w:rFonts w:eastAsia="Calibri"/>
          <w:sz w:val="30"/>
        </w:rPr>
        <w:t>0,6</w:t>
      </w:r>
      <w:r w:rsidR="001239F2">
        <w:rPr>
          <w:rStyle w:val="af5"/>
          <w:rFonts w:eastAsia="Calibri"/>
          <w:sz w:val="30"/>
        </w:rPr>
        <w:t>0</w:t>
      </w:r>
      <w:r w:rsidR="009478DB" w:rsidRPr="00A81F9F">
        <w:rPr>
          <w:rStyle w:val="af5"/>
          <w:rFonts w:eastAsia="Calibri"/>
          <w:sz w:val="30"/>
        </w:rPr>
        <w:t xml:space="preserve">. </w:t>
      </w:r>
      <w:r w:rsidR="009478DB" w:rsidRPr="00A81F9F">
        <w:t xml:space="preserve"> </w:t>
      </w:r>
      <w:r w:rsidR="009478DB" w:rsidRPr="005A6A34">
        <w:rPr>
          <w:rStyle w:val="af5"/>
          <w:rFonts w:eastAsia="Calibri"/>
          <w:sz w:val="24"/>
          <w:szCs w:val="24"/>
        </w:rPr>
        <w:t xml:space="preserve">Это значит, что </w:t>
      </w:r>
      <w:r w:rsidR="008718E9" w:rsidRPr="005A6A34">
        <w:rPr>
          <w:rStyle w:val="af5"/>
          <w:rFonts w:eastAsia="Calibri"/>
          <w:sz w:val="24"/>
          <w:szCs w:val="24"/>
        </w:rPr>
        <w:t xml:space="preserve">в среднем </w:t>
      </w:r>
      <w:r w:rsidR="009478DB" w:rsidRPr="005A6A34">
        <w:rPr>
          <w:rStyle w:val="af5"/>
          <w:rFonts w:eastAsia="Calibri"/>
          <w:sz w:val="24"/>
          <w:szCs w:val="24"/>
        </w:rPr>
        <w:t>на 1% роста ИОК имеет место 0,6</w:t>
      </w:r>
      <w:r w:rsidR="008718E9" w:rsidRPr="005A6A34">
        <w:rPr>
          <w:rStyle w:val="af5"/>
          <w:rFonts w:eastAsia="Calibri"/>
          <w:sz w:val="24"/>
          <w:szCs w:val="24"/>
        </w:rPr>
        <w:t>%</w:t>
      </w:r>
      <w:r w:rsidR="009478DB" w:rsidRPr="005A6A34">
        <w:rPr>
          <w:rStyle w:val="af5"/>
          <w:rFonts w:eastAsia="Calibri"/>
          <w:sz w:val="24"/>
          <w:szCs w:val="24"/>
        </w:rPr>
        <w:t xml:space="preserve"> роста ВВП</w:t>
      </w:r>
      <w:r w:rsidR="009478DB" w:rsidRPr="005A6A34">
        <w:t xml:space="preserve">, </w:t>
      </w:r>
      <w:r w:rsidR="009478DB" w:rsidRPr="005A6A34">
        <w:rPr>
          <w:rStyle w:val="af5"/>
          <w:rFonts w:eastAsia="Calibri"/>
          <w:sz w:val="24"/>
          <w:szCs w:val="24"/>
        </w:rPr>
        <w:t>и</w:t>
      </w:r>
      <w:r w:rsidR="00B03A92" w:rsidRPr="005A6A34">
        <w:rPr>
          <w:rStyle w:val="af5"/>
          <w:rFonts w:eastAsia="Calibri"/>
          <w:sz w:val="24"/>
          <w:szCs w:val="24"/>
        </w:rPr>
        <w:t>ли</w:t>
      </w:r>
      <w:r w:rsidR="009478DB" w:rsidRPr="005A6A34">
        <w:rPr>
          <w:rStyle w:val="af5"/>
          <w:rFonts w:eastAsia="Calibri"/>
          <w:sz w:val="24"/>
          <w:szCs w:val="24"/>
        </w:rPr>
        <w:t xml:space="preserve"> эффективность ИОК на рост ВВП составляет </w:t>
      </w:r>
      <w:r w:rsidR="0098317E" w:rsidRPr="005A6A34">
        <w:rPr>
          <w:rStyle w:val="af5"/>
          <w:rFonts w:eastAsia="Calibri"/>
          <w:sz w:val="24"/>
          <w:szCs w:val="24"/>
        </w:rPr>
        <w:t>59</w:t>
      </w:r>
      <w:r w:rsidR="001239F2" w:rsidRPr="005A6A34">
        <w:rPr>
          <w:rStyle w:val="af5"/>
          <w:rFonts w:eastAsia="Calibri"/>
          <w:sz w:val="24"/>
          <w:szCs w:val="24"/>
        </w:rPr>
        <w:t>%</w:t>
      </w:r>
      <w:r w:rsidR="009478DB" w:rsidRPr="005A6A34">
        <w:rPr>
          <w:rStyle w:val="af5"/>
          <w:rFonts w:eastAsia="Calibri"/>
          <w:sz w:val="24"/>
          <w:szCs w:val="24"/>
        </w:rPr>
        <w:t xml:space="preserve"> от </w:t>
      </w:r>
      <w:r w:rsidR="00B03A92" w:rsidRPr="005A6A34">
        <w:rPr>
          <w:rStyle w:val="af5"/>
          <w:rFonts w:eastAsia="Calibri"/>
          <w:sz w:val="24"/>
          <w:szCs w:val="24"/>
        </w:rPr>
        <w:t xml:space="preserve">доперестроечного </w:t>
      </w:r>
      <w:r w:rsidR="009478DB" w:rsidRPr="005A6A34">
        <w:rPr>
          <w:rStyle w:val="af5"/>
          <w:rFonts w:eastAsia="Calibri"/>
          <w:sz w:val="24"/>
          <w:szCs w:val="24"/>
        </w:rPr>
        <w:t>периода</w:t>
      </w:r>
      <w:r w:rsidR="00B03A92" w:rsidRPr="005A6A34">
        <w:rPr>
          <w:rStyle w:val="af5"/>
          <w:rFonts w:eastAsia="Calibri"/>
          <w:sz w:val="24"/>
          <w:szCs w:val="24"/>
        </w:rPr>
        <w:t xml:space="preserve"> (1971-1985гг.)</w:t>
      </w:r>
      <w:r w:rsidR="009478DB" w:rsidRPr="005A6A34">
        <w:rPr>
          <w:rStyle w:val="af5"/>
          <w:rFonts w:eastAsia="Calibri"/>
          <w:sz w:val="24"/>
          <w:szCs w:val="24"/>
        </w:rPr>
        <w:t>.</w:t>
      </w:r>
      <w:r w:rsidR="005A6A34" w:rsidRPr="005A6A34">
        <w:rPr>
          <w:rStyle w:val="af5"/>
          <w:rFonts w:eastAsia="Calibri"/>
          <w:sz w:val="24"/>
          <w:szCs w:val="24"/>
        </w:rPr>
        <w:t xml:space="preserve"> </w:t>
      </w:r>
      <w:r w:rsidR="009478DB" w:rsidRPr="005A6A34">
        <w:rPr>
          <w:b/>
        </w:rPr>
        <w:t>Это еще одна фундаментальная константа экономики</w:t>
      </w:r>
      <w:r w:rsidR="004E06D3" w:rsidRPr="005A6A34">
        <w:rPr>
          <w:b/>
        </w:rPr>
        <w:t xml:space="preserve"> современной</w:t>
      </w:r>
      <w:r w:rsidR="009478DB" w:rsidRPr="005A6A34">
        <w:rPr>
          <w:b/>
        </w:rPr>
        <w:t xml:space="preserve"> России. </w:t>
      </w:r>
      <w:r w:rsidR="00026619" w:rsidRPr="00026619">
        <w:t>Обращаем внимание,</w:t>
      </w:r>
      <w:r w:rsidR="00026619">
        <w:rPr>
          <w:b/>
        </w:rPr>
        <w:t xml:space="preserve"> </w:t>
      </w:r>
      <w:r w:rsidR="00461C09">
        <w:t>з</w:t>
      </w:r>
      <w:r w:rsidR="00026619">
        <w:t xml:space="preserve">начение </w:t>
      </w:r>
      <w:r w:rsidR="00026619" w:rsidRPr="00026619">
        <w:rPr>
          <w:b/>
        </w:rPr>
        <w:t>Кввп=0,6</w:t>
      </w:r>
      <w:r w:rsidR="00026619">
        <w:t xml:space="preserve"> справедливо и в период падения ИОК</w:t>
      </w:r>
      <w:r w:rsidR="00461C09">
        <w:t>.</w:t>
      </w:r>
    </w:p>
    <w:p w:rsidR="00461C09" w:rsidRPr="007B32E1" w:rsidRDefault="00461C09" w:rsidP="00DF6805">
      <w:pPr>
        <w:jc w:val="both"/>
        <w:rPr>
          <w:sz w:val="26"/>
          <w:szCs w:val="26"/>
        </w:rPr>
      </w:pPr>
    </w:p>
    <w:p w:rsidR="00461C09" w:rsidRPr="007B32E1" w:rsidRDefault="00461C09" w:rsidP="005304F6">
      <w:pPr>
        <w:pStyle w:val="3"/>
      </w:pPr>
      <w:bookmarkStart w:id="45" w:name="_Toc370759778"/>
      <w:bookmarkStart w:id="46" w:name="_Toc374557785"/>
      <w:r w:rsidRPr="007B32E1">
        <w:t>2.</w:t>
      </w:r>
      <w:r w:rsidR="007B32E1" w:rsidRPr="007B32E1">
        <w:t>5</w:t>
      </w:r>
      <w:r w:rsidRPr="007B32E1">
        <w:t xml:space="preserve">. </w:t>
      </w:r>
      <w:r w:rsidR="00360F2E" w:rsidRPr="007B32E1">
        <w:t xml:space="preserve">Анализ </w:t>
      </w:r>
      <w:r w:rsidR="001424C8" w:rsidRPr="007B32E1">
        <w:t>эффективности вложений ИОК в экономику России.</w:t>
      </w:r>
      <w:bookmarkEnd w:id="45"/>
      <w:bookmarkEnd w:id="46"/>
      <w:r w:rsidR="001424C8" w:rsidRPr="007B32E1">
        <w:t xml:space="preserve">  </w:t>
      </w:r>
      <w:r w:rsidR="00360F2E" w:rsidRPr="007B32E1">
        <w:t xml:space="preserve">  </w:t>
      </w:r>
    </w:p>
    <w:p w:rsidR="00360F2E" w:rsidRDefault="00360F2E" w:rsidP="00DF6805">
      <w:pPr>
        <w:jc w:val="both"/>
      </w:pPr>
    </w:p>
    <w:p w:rsidR="000E53D8" w:rsidRDefault="00044AA5" w:rsidP="000A460F">
      <w:pPr>
        <w:jc w:val="both"/>
      </w:pPr>
      <w:r>
        <w:rPr>
          <w:rFonts w:cs="Arial"/>
          <w:bCs/>
        </w:rPr>
        <w:t>Макроэкономическ</w:t>
      </w:r>
      <w:r w:rsidR="000E53D8">
        <w:rPr>
          <w:rFonts w:cs="Arial"/>
          <w:bCs/>
        </w:rPr>
        <w:t>ая</w:t>
      </w:r>
      <w:r>
        <w:rPr>
          <w:rFonts w:cs="Arial"/>
          <w:bCs/>
        </w:rPr>
        <w:t xml:space="preserve"> оценка эффекти</w:t>
      </w:r>
      <w:r w:rsidR="000E53D8">
        <w:rPr>
          <w:rFonts w:cs="Arial"/>
          <w:bCs/>
        </w:rPr>
        <w:t>вно</w:t>
      </w:r>
      <w:r>
        <w:rPr>
          <w:rFonts w:cs="Arial"/>
          <w:bCs/>
        </w:rPr>
        <w:t>сти  вложений ИОК в экономи</w:t>
      </w:r>
      <w:r w:rsidR="000E53D8">
        <w:rPr>
          <w:rFonts w:cs="Arial"/>
          <w:bCs/>
        </w:rPr>
        <w:t xml:space="preserve">ку любой страны на определенный </w:t>
      </w:r>
      <w:r>
        <w:rPr>
          <w:rFonts w:cs="Arial"/>
          <w:bCs/>
        </w:rPr>
        <w:t xml:space="preserve">период времени базируется на двух параметрах: Кввп </w:t>
      </w:r>
      <w:r w:rsidR="00FE66AC">
        <w:rPr>
          <w:rFonts w:cs="Arial"/>
          <w:bCs/>
        </w:rPr>
        <w:t>–</w:t>
      </w:r>
      <w:r>
        <w:rPr>
          <w:rFonts w:cs="Arial"/>
          <w:bCs/>
        </w:rPr>
        <w:t xml:space="preserve"> среднегодов</w:t>
      </w:r>
      <w:r w:rsidR="00FE66AC">
        <w:rPr>
          <w:rFonts w:cs="Arial"/>
          <w:bCs/>
        </w:rPr>
        <w:t>ой коэффициент эластичности ВВП к ИОК -  и Км</w:t>
      </w:r>
      <w:r w:rsidR="001077EF">
        <w:rPr>
          <w:rFonts w:cs="Arial"/>
          <w:bCs/>
        </w:rPr>
        <w:t>ул</w:t>
      </w:r>
      <w:r w:rsidR="00FE66AC">
        <w:rPr>
          <w:rFonts w:cs="Arial"/>
          <w:bCs/>
        </w:rPr>
        <w:t xml:space="preserve"> - среднегодовой коэффициент мультипликации, </w:t>
      </w:r>
      <w:r w:rsidR="000A460F">
        <w:t>который</w:t>
      </w:r>
      <w:r w:rsidR="00E50894">
        <w:t xml:space="preserve"> представляет собой отношение</w:t>
      </w:r>
      <w:r w:rsidR="00497233">
        <w:t xml:space="preserve"> изменении за календ</w:t>
      </w:r>
      <w:r w:rsidR="00E50894">
        <w:t xml:space="preserve">арный год физического </w:t>
      </w:r>
      <w:r w:rsidR="00497233">
        <w:t>объема ВВП и ИОК</w:t>
      </w:r>
      <w:r w:rsidR="000E53D8">
        <w:t xml:space="preserve">, т.е. </w:t>
      </w:r>
      <w:r w:rsidR="000A460F">
        <w:t xml:space="preserve"> </w:t>
      </w:r>
    </w:p>
    <w:p w:rsidR="000E53D8" w:rsidRDefault="000E53D8" w:rsidP="000E53D8">
      <w:pPr>
        <w:jc w:val="center"/>
      </w:pPr>
    </w:p>
    <w:p w:rsidR="000A460F" w:rsidRDefault="000D25C5" w:rsidP="000D25C5">
      <w:r>
        <w:rPr>
          <w:sz w:val="32"/>
          <w:szCs w:val="32"/>
        </w:rPr>
        <w:t xml:space="preserve"> </w:t>
      </w:r>
      <w:r w:rsidR="006A30B0">
        <w:t xml:space="preserve">  </w:t>
      </w:r>
      <w:r w:rsidRPr="00B63573">
        <w:rPr>
          <w:rFonts w:ascii="Cambria Math" w:hAnsi="Cambria Math"/>
          <w:sz w:val="28"/>
        </w:rPr>
        <w:br/>
      </w:r>
      <w:r>
        <w:t xml:space="preserve">           </w:t>
      </w:r>
      <m:oMath>
        <m:r>
          <w:rPr>
            <w:rFonts w:ascii="Cambria Math" w:hAnsi="Cambria Math"/>
            <w:sz w:val="28"/>
          </w:rPr>
          <m:t>Кмул=</m:t>
        </m:r>
        <m:f>
          <m:fPr>
            <m:ctrlPr>
              <w:rPr>
                <w:rFonts w:ascii="Cambria Math" w:hAnsi="Cambria Math"/>
                <w:i/>
                <w:sz w:val="28"/>
                <w:szCs w:val="22"/>
                <w:lang w:eastAsia="en-US"/>
              </w:rPr>
            </m:ctrlPr>
          </m:fPr>
          <m:num>
            <m:r>
              <w:rPr>
                <w:rFonts w:ascii="Cambria Math" w:hAnsi="Cambria Math"/>
                <w:sz w:val="28"/>
              </w:rPr>
              <m:t>ΔВВП</m:t>
            </m:r>
          </m:num>
          <m:den>
            <m:r>
              <w:rPr>
                <w:rFonts w:ascii="Cambria Math" w:hAnsi="Cambria Math"/>
                <w:sz w:val="28"/>
              </w:rPr>
              <m:t>ΔИОК</m:t>
            </m:r>
          </m:den>
        </m:f>
      </m:oMath>
      <w:r w:rsidR="006A30B0">
        <w:t xml:space="preserve">      </w:t>
      </w:r>
      <w:r w:rsidR="009D0A59">
        <w:t xml:space="preserve">                      </w:t>
      </w:r>
      <w:r w:rsidR="006A30B0">
        <w:t xml:space="preserve">    </w:t>
      </w:r>
      <w:r w:rsidR="009D0A59">
        <w:t xml:space="preserve">                                                                                  </w:t>
      </w:r>
      <w:r w:rsidR="006A30B0">
        <w:t xml:space="preserve"> </w:t>
      </w:r>
      <w:r w:rsidR="000E53D8">
        <w:t>(1)</w:t>
      </w:r>
    </w:p>
    <w:p w:rsidR="000A460F" w:rsidRDefault="000E53D8" w:rsidP="000A460F">
      <w:pPr>
        <w:jc w:val="both"/>
      </w:pPr>
      <w:r>
        <w:tab/>
      </w:r>
    </w:p>
    <w:p w:rsidR="000A460F" w:rsidRDefault="000E53D8" w:rsidP="000A460F">
      <w:pPr>
        <w:jc w:val="both"/>
      </w:pPr>
      <w:r>
        <w:t xml:space="preserve">где </w:t>
      </w:r>
      <w:r>
        <w:rPr>
          <w:rFonts w:ascii="Calibri" w:hAnsi="Calibri" w:cs="Calibri"/>
        </w:rPr>
        <w:t>Δ</w:t>
      </w:r>
      <w:r>
        <w:t xml:space="preserve">ВВП и </w:t>
      </w:r>
      <w:r>
        <w:rPr>
          <w:rFonts w:ascii="Calibri" w:hAnsi="Calibri" w:cs="Calibri"/>
        </w:rPr>
        <w:t>Δ</w:t>
      </w:r>
      <w:r>
        <w:t>ИОК – соответственно, изменение за календарный год физических объемов (т.е. очищенных от инфляции) ВВП и ИОК, рассчитанных в национальной</w:t>
      </w:r>
      <w:r w:rsidR="006A30B0">
        <w:t xml:space="preserve"> валюте.</w:t>
      </w:r>
      <w:r w:rsidR="00497233">
        <w:t xml:space="preserve"> Кмул показывает, на сколько единиц в национальной валюте в среднем за календарный год изменяется физический объем ВВП при изменении на 1 национальной валюты физического объема ИОК в том же году</w:t>
      </w:r>
    </w:p>
    <w:p w:rsidR="000E53D8" w:rsidRDefault="000E53D8" w:rsidP="000A460F">
      <w:pPr>
        <w:jc w:val="both"/>
      </w:pPr>
    </w:p>
    <w:p w:rsidR="00254DB4" w:rsidRDefault="006A30B0" w:rsidP="000A460F">
      <w:pPr>
        <w:jc w:val="both"/>
      </w:pPr>
      <w:r>
        <w:t xml:space="preserve">Можно легко определить связь между Кввп и Кмул.  </w:t>
      </w:r>
      <w:r w:rsidR="00336F99">
        <w:t>По определению,</w:t>
      </w:r>
      <w:r w:rsidR="00507462">
        <w:t xml:space="preserve"> </w:t>
      </w:r>
    </w:p>
    <w:p w:rsidR="00254DB4" w:rsidRDefault="00254DB4" w:rsidP="00507462">
      <w:pPr>
        <w:ind w:firstLine="709"/>
        <w:jc w:val="both"/>
      </w:pPr>
    </w:p>
    <w:p w:rsidR="00D57B90" w:rsidRDefault="007C1ADE" w:rsidP="008F1293">
      <w:pPr>
        <w:ind w:firstLine="709"/>
        <w:jc w:val="both"/>
      </w:pPr>
      <m:oMath>
        <m:r>
          <w:rPr>
            <w:rFonts w:ascii="Cambria Math" w:eastAsia="Times New Roman" w:hAnsi="Cambria Math"/>
          </w:rPr>
          <m:t>Кввп=</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rPr>
                  <m:t>ΔВВП</m:t>
                </m:r>
              </m:num>
              <m:den>
                <m:r>
                  <w:rPr>
                    <w:rFonts w:ascii="Cambria Math" w:hAnsi="Cambria Math"/>
                  </w:rPr>
                  <m:t>ВВП</m:t>
                </m:r>
              </m:den>
            </m:f>
          </m:e>
        </m:d>
        <m:r>
          <w:rPr>
            <w:rFonts w:ascii="Cambria Math" w:hAnsi="Cambria Math"/>
          </w:rPr>
          <m:t>/</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rPr>
                  <m:t>ΔИОК</m:t>
                </m:r>
              </m:num>
              <m:den>
                <m:r>
                  <w:rPr>
                    <w:rFonts w:ascii="Cambria Math" w:hAnsi="Cambria Math"/>
                  </w:rPr>
                  <m:t>ИОК</m:t>
                </m:r>
              </m:den>
            </m:f>
          </m:e>
        </m:d>
      </m:oMath>
      <w:r w:rsidR="00185C53">
        <w:tab/>
      </w:r>
      <w:r w:rsidR="00185C53">
        <w:tab/>
      </w:r>
      <w:r w:rsidR="00185C53">
        <w:tab/>
      </w:r>
      <w:r w:rsidR="00185C53">
        <w:tab/>
      </w:r>
      <w:r w:rsidR="00185C53">
        <w:tab/>
      </w:r>
      <w:r w:rsidR="00185C53">
        <w:tab/>
      </w:r>
      <w:r w:rsidR="00185C53">
        <w:tab/>
      </w:r>
      <w:r w:rsidR="00185C53">
        <w:tab/>
      </w:r>
      <w:r w:rsidR="00185C53">
        <w:tab/>
      </w:r>
      <w:r w:rsidR="006A30B0">
        <w:t>(2</w:t>
      </w:r>
      <w:r w:rsidR="00D57B90">
        <w:t>)</w:t>
      </w:r>
      <w:r w:rsidR="006B16A0">
        <w:t>,</w:t>
      </w:r>
    </w:p>
    <w:p w:rsidR="00511F38" w:rsidRDefault="00511F38" w:rsidP="006A30B0">
      <w:pPr>
        <w:jc w:val="both"/>
      </w:pPr>
    </w:p>
    <w:p w:rsidR="006A30B0" w:rsidRDefault="006A30B0" w:rsidP="006B16A0">
      <w:pPr>
        <w:jc w:val="both"/>
      </w:pPr>
    </w:p>
    <w:p w:rsidR="006B16A0" w:rsidRDefault="006A30B0" w:rsidP="006B16A0">
      <w:pPr>
        <w:jc w:val="both"/>
      </w:pPr>
      <w:r>
        <w:t>Соотношение (2</w:t>
      </w:r>
      <w:r w:rsidR="00990671">
        <w:t>) можно представить</w:t>
      </w:r>
      <w:r>
        <w:t>:</w:t>
      </w:r>
    </w:p>
    <w:p w:rsidR="00990671" w:rsidRPr="00990671" w:rsidRDefault="00990671" w:rsidP="006B16A0">
      <w:pPr>
        <w:jc w:val="both"/>
      </w:pPr>
    </w:p>
    <w:p w:rsidR="00511F38" w:rsidRDefault="008F1293" w:rsidP="008F1293">
      <w:r>
        <w:t xml:space="preserve">            </w:t>
      </w:r>
      <m:oMath>
        <m:r>
          <w:rPr>
            <w:rFonts w:ascii="Cambria Math" w:eastAsia="Times New Roman" w:hAnsi="Cambria Math"/>
          </w:rPr>
          <m:t>ΔВВП</m:t>
        </m:r>
        <m:r>
          <w:rPr>
            <w:rFonts w:ascii="Cambria Math" w:hAnsi="Cambria Math"/>
          </w:rPr>
          <m:t>=</m:t>
        </m:r>
        <m:d>
          <m:dPr>
            <m:ctrlPr>
              <w:rPr>
                <w:rFonts w:ascii="Cambria Math" w:hAnsi="Cambria Math"/>
                <w:i/>
                <w:sz w:val="22"/>
                <w:szCs w:val="22"/>
                <w:lang w:eastAsia="en-US"/>
              </w:rPr>
            </m:ctrlPr>
          </m:dPr>
          <m:e>
            <m:r>
              <w:rPr>
                <w:rFonts w:ascii="Cambria Math" w:hAnsi="Cambria Math"/>
              </w:rPr>
              <m:t xml:space="preserve">Кввп </m:t>
            </m:r>
            <m:f>
              <m:fPr>
                <m:ctrlPr>
                  <w:rPr>
                    <w:rFonts w:ascii="Cambria Math" w:hAnsi="Cambria Math"/>
                    <w:i/>
                    <w:sz w:val="22"/>
                    <w:szCs w:val="22"/>
                    <w:lang w:eastAsia="en-US"/>
                  </w:rPr>
                </m:ctrlPr>
              </m:fPr>
              <m:num>
                <m:r>
                  <w:rPr>
                    <w:rFonts w:ascii="Cambria Math" w:hAnsi="Cambria Math"/>
                  </w:rPr>
                  <m:t>ВВП</m:t>
                </m:r>
              </m:num>
              <m:den>
                <m:r>
                  <w:rPr>
                    <w:rFonts w:ascii="Cambria Math" w:hAnsi="Cambria Math"/>
                  </w:rPr>
                  <m:t>ИОК</m:t>
                </m:r>
              </m:den>
            </m:f>
          </m:e>
        </m:d>
        <m:r>
          <w:rPr>
            <w:rFonts w:ascii="Cambria Math" w:hAnsi="Cambria Math"/>
          </w:rPr>
          <m:t>×(</m:t>
        </m:r>
        <m:r>
          <w:rPr>
            <w:rFonts w:ascii="Cambria Math" w:hAnsi="Cambria Math" w:cs="Calibri"/>
          </w:rPr>
          <m:t>Δ</m:t>
        </m:r>
        <m:r>
          <w:rPr>
            <w:rFonts w:ascii="Cambria Math" w:hAnsi="Cambria Math"/>
          </w:rPr>
          <m:t>ИОК)</m:t>
        </m:r>
      </m:oMath>
      <w:r w:rsidR="00990671" w:rsidRPr="00CC5E5A">
        <w:t>‘</w:t>
      </w:r>
      <w:r w:rsidR="00185C53">
        <w:tab/>
      </w:r>
      <w:r w:rsidR="00185C53">
        <w:tab/>
      </w:r>
      <w:r w:rsidR="00185C53">
        <w:tab/>
      </w:r>
      <w:r w:rsidR="00185C53">
        <w:tab/>
      </w:r>
      <w:r w:rsidR="00185C53">
        <w:tab/>
      </w:r>
      <w:r w:rsidR="00185C53">
        <w:tab/>
      </w:r>
      <w:r w:rsidR="00185C53">
        <w:tab/>
      </w:r>
      <w:r w:rsidR="00185C53">
        <w:tab/>
      </w:r>
      <w:r w:rsidR="006A30B0">
        <w:t>(3</w:t>
      </w:r>
      <w:r>
        <w:t xml:space="preserve">)     </w:t>
      </w:r>
    </w:p>
    <w:p w:rsidR="00511F38" w:rsidRDefault="006A30B0" w:rsidP="008F1293">
      <w:r>
        <w:t xml:space="preserve">Это значит, </w:t>
      </w:r>
    </w:p>
    <w:p w:rsidR="00511F38" w:rsidRDefault="00511F38" w:rsidP="00511F38">
      <w:r>
        <w:t xml:space="preserve">              </w:t>
      </w:r>
      <m:oMath>
        <m:r>
          <w:rPr>
            <w:rFonts w:ascii="Cambria Math" w:hAnsi="Cambria Math"/>
          </w:rPr>
          <m:t>Кмул=Кввп</m:t>
        </m:r>
        <m:d>
          <m:dPr>
            <m:ctrlPr>
              <w:rPr>
                <w:rFonts w:ascii="Cambria Math" w:hAnsi="Cambria Math"/>
                <w:i/>
                <w:sz w:val="22"/>
                <w:szCs w:val="22"/>
                <w:lang w:eastAsia="en-US"/>
              </w:rPr>
            </m:ctrlPr>
          </m:dPr>
          <m:e>
            <m:f>
              <m:fPr>
                <m:ctrlPr>
                  <w:rPr>
                    <w:rFonts w:ascii="Cambria Math" w:hAnsi="Cambria Math"/>
                    <w:i/>
                    <w:sz w:val="22"/>
                    <w:szCs w:val="22"/>
                    <w:lang w:eastAsia="en-US"/>
                  </w:rPr>
                </m:ctrlPr>
              </m:fPr>
              <m:num>
                <m:r>
                  <w:rPr>
                    <w:rFonts w:ascii="Cambria Math" w:hAnsi="Cambria Math"/>
                  </w:rPr>
                  <m:t>ВВП</m:t>
                </m:r>
              </m:num>
              <m:den>
                <m:r>
                  <w:rPr>
                    <w:rFonts w:ascii="Cambria Math" w:hAnsi="Cambria Math"/>
                  </w:rPr>
                  <m:t>ИОК</m:t>
                </m:r>
              </m:den>
            </m:f>
          </m:e>
        </m:d>
      </m:oMath>
      <w:r w:rsidR="00990671" w:rsidRPr="00CC5E5A">
        <w:t>’</w:t>
      </w:r>
      <w:r w:rsidR="00185C53">
        <w:tab/>
      </w:r>
      <w:r w:rsidR="00185C53">
        <w:tab/>
      </w:r>
      <w:r w:rsidR="00185C53">
        <w:tab/>
      </w:r>
      <w:r w:rsidR="00185C53">
        <w:tab/>
      </w:r>
      <w:r w:rsidR="00185C53">
        <w:tab/>
      </w:r>
      <w:r w:rsidR="00185C53">
        <w:tab/>
      </w:r>
      <w:r w:rsidR="00185C53">
        <w:tab/>
      </w:r>
      <w:r w:rsidR="00185C53">
        <w:tab/>
      </w:r>
      <w:r w:rsidR="00185C53">
        <w:tab/>
      </w:r>
      <w:r w:rsidR="006A30B0">
        <w:t>(4</w:t>
      </w:r>
      <w:r>
        <w:t>)</w:t>
      </w:r>
    </w:p>
    <w:p w:rsidR="006B16A0" w:rsidRDefault="006B16A0" w:rsidP="00D57B90">
      <w:pPr>
        <w:jc w:val="center"/>
      </w:pPr>
    </w:p>
    <w:p w:rsidR="00185C53" w:rsidRDefault="006A30B0" w:rsidP="006A30B0">
      <w:pPr>
        <w:jc w:val="both"/>
      </w:pPr>
      <w:r>
        <w:t>Таким образом, для того чтобы определить Кмул необходимо иметь</w:t>
      </w:r>
      <w:r w:rsidR="00497233">
        <w:t xml:space="preserve"> значение </w:t>
      </w:r>
      <w:r>
        <w:t>Кввп и величину отношения ВВП/ИОК.</w:t>
      </w:r>
    </w:p>
    <w:p w:rsidR="006A30B0" w:rsidRDefault="006A30B0" w:rsidP="005328C8">
      <w:pPr>
        <w:ind w:firstLine="709"/>
        <w:jc w:val="both"/>
      </w:pPr>
    </w:p>
    <w:p w:rsidR="001638AB" w:rsidRDefault="00423DBE" w:rsidP="005328C8">
      <w:pPr>
        <w:ind w:firstLine="709"/>
        <w:jc w:val="both"/>
      </w:pPr>
      <w:r w:rsidRPr="00423DBE">
        <w:rPr>
          <w:u w:val="single"/>
        </w:rPr>
        <w:t xml:space="preserve">Отношение </w:t>
      </w:r>
      <w:r w:rsidR="001A1439">
        <w:rPr>
          <w:u w:val="single"/>
        </w:rPr>
        <w:t>ИОК/ВВП</w:t>
      </w:r>
      <w:r w:rsidRPr="00423DBE">
        <w:rPr>
          <w:u w:val="single"/>
        </w:rPr>
        <w:t>.</w:t>
      </w:r>
      <w:r>
        <w:t xml:space="preserve"> </w:t>
      </w:r>
      <w:r w:rsidR="00B50FCE">
        <w:t xml:space="preserve">В экономической литературе обычно </w:t>
      </w:r>
      <w:r>
        <w:t>анализируется</w:t>
      </w:r>
      <w:r w:rsidR="00B50FCE">
        <w:t xml:space="preserve"> обратное отношение – </w:t>
      </w:r>
      <w:r w:rsidR="001A1439">
        <w:t>ИОК/ВВП</w:t>
      </w:r>
      <w:r w:rsidR="00B50FCE">
        <w:t xml:space="preserve">. На рис. </w:t>
      </w:r>
      <w:r w:rsidR="00D21DC3">
        <w:t>19</w:t>
      </w:r>
      <w:r w:rsidR="00B50FCE">
        <w:t xml:space="preserve">. Представлено отношение </w:t>
      </w:r>
      <w:r w:rsidR="001A1439">
        <w:t>ИОК/ВВП</w:t>
      </w:r>
      <w:r w:rsidR="00B50FCE">
        <w:t xml:space="preserve"> в</w:t>
      </w:r>
      <w:r w:rsidR="00927D68">
        <w:t xml:space="preserve"> России в</w:t>
      </w:r>
      <w:r w:rsidR="00B50FCE">
        <w:t xml:space="preserve"> период 1970-2013гг. (</w:t>
      </w:r>
      <w:r w:rsidR="00B50FCE">
        <w:rPr>
          <w:lang w:val="en-US"/>
        </w:rPr>
        <w:t>I</w:t>
      </w:r>
      <w:r w:rsidR="00AF3EB9">
        <w:t>-</w:t>
      </w:r>
      <w:r w:rsidR="00B50FCE">
        <w:rPr>
          <w:lang w:val="en-US"/>
        </w:rPr>
        <w:t>III</w:t>
      </w:r>
      <w:r>
        <w:t xml:space="preserve"> кварталы)</w:t>
      </w:r>
      <w:r w:rsidR="00927D68">
        <w:t>, а так же прогноз до 2025 г. по двум</w:t>
      </w:r>
      <w:r w:rsidR="001A1439">
        <w:t xml:space="preserve"> предложенным</w:t>
      </w:r>
      <w:r w:rsidR="00927D68">
        <w:t xml:space="preserve"> сценариям</w:t>
      </w:r>
      <w:r>
        <w:t>.</w:t>
      </w:r>
    </w:p>
    <w:p w:rsidR="001A1439" w:rsidRDefault="001A1439" w:rsidP="005328C8">
      <w:pPr>
        <w:ind w:firstLine="709"/>
        <w:jc w:val="both"/>
      </w:pPr>
    </w:p>
    <w:p w:rsidR="00AF3EB9" w:rsidRDefault="007C1ADE" w:rsidP="00AF3EB9">
      <w:pPr>
        <w:jc w:val="both"/>
        <w:rPr>
          <w:noProof/>
        </w:rPr>
      </w:pPr>
      <w:r>
        <w:rPr>
          <w:noProof/>
        </w:rPr>
        <w:drawing>
          <wp:inline distT="0" distB="0" distL="0" distR="0">
            <wp:extent cx="6089068" cy="4230588"/>
            <wp:effectExtent l="12060" t="6028" r="4397" b="2009"/>
            <wp:docPr id="7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7A29" w:rsidRPr="00B50FCE" w:rsidRDefault="009A7A29" w:rsidP="00AF3EB9">
      <w:pPr>
        <w:jc w:val="both"/>
      </w:pPr>
    </w:p>
    <w:p w:rsidR="00336F99" w:rsidRDefault="00AF3EB9" w:rsidP="00AF3EB9">
      <w:pPr>
        <w:ind w:firstLine="851"/>
        <w:jc w:val="both"/>
      </w:pPr>
      <w:r>
        <w:t xml:space="preserve">Рис. </w:t>
      </w:r>
      <w:r w:rsidR="00D21DC3">
        <w:t>19</w:t>
      </w:r>
      <w:r>
        <w:t xml:space="preserve">. Отношение </w:t>
      </w:r>
      <w:r w:rsidR="001A1439">
        <w:t>ИОК/ВВП</w:t>
      </w:r>
      <w:r>
        <w:t xml:space="preserve"> в России в период 1970-2012гг., 2013г. (</w:t>
      </w:r>
      <w:r>
        <w:rPr>
          <w:lang w:val="en-US"/>
        </w:rPr>
        <w:t>I</w:t>
      </w:r>
      <w:r>
        <w:t>-</w:t>
      </w:r>
      <w:r>
        <w:rPr>
          <w:lang w:val="en-US"/>
        </w:rPr>
        <w:t>III</w:t>
      </w:r>
      <w:r w:rsidRPr="001A1439">
        <w:t xml:space="preserve"> </w:t>
      </w:r>
      <w:r>
        <w:t>кварталы</w:t>
      </w:r>
      <w:r w:rsidR="00B9177C">
        <w:t>) и прогноз до 202</w:t>
      </w:r>
      <w:r w:rsidR="00927D68">
        <w:t>5</w:t>
      </w:r>
      <w:r w:rsidR="00B9177C">
        <w:t xml:space="preserve"> года.</w:t>
      </w:r>
    </w:p>
    <w:p w:rsidR="00AF3EB9" w:rsidRDefault="00AF3EB9" w:rsidP="00AF3EB9">
      <w:pPr>
        <w:ind w:firstLine="851"/>
        <w:jc w:val="both"/>
      </w:pPr>
    </w:p>
    <w:p w:rsidR="00DC0C6F" w:rsidRDefault="00AF3EB9" w:rsidP="002C4D9A">
      <w:pPr>
        <w:ind w:firstLine="851"/>
        <w:jc w:val="both"/>
      </w:pPr>
      <w:r>
        <w:t>Видно, что в советский период (1971-1991гг.) в РСФСР отн</w:t>
      </w:r>
      <w:r w:rsidR="00146F6B">
        <w:t xml:space="preserve">ошение </w:t>
      </w:r>
      <w:r w:rsidR="001A1439">
        <w:t>ИОК/ВВП</w:t>
      </w:r>
      <w:r w:rsidR="00146F6B">
        <w:t xml:space="preserve"> выросло со значения 0,203 до 0,287. Особенно быстрый рост произошел в перестроечный период (1986-1991гг.) с 0,259 до 0,287. В кризисный период (1991-1998гг.) это отношение уп</w:t>
      </w:r>
      <w:r w:rsidR="00556AC8">
        <w:t xml:space="preserve">ало в 2 раза с 0,287 до 0,139, это </w:t>
      </w:r>
      <w:r w:rsidR="00890F16">
        <w:t>объясняется</w:t>
      </w:r>
      <w:r w:rsidR="00556AC8">
        <w:t xml:space="preserve"> тем, что</w:t>
      </w:r>
      <w:r w:rsidR="00890F16">
        <w:t xml:space="preserve"> в этот период</w:t>
      </w:r>
      <w:r w:rsidR="00556AC8">
        <w:t xml:space="preserve"> </w:t>
      </w:r>
      <w:r w:rsidR="00146F6B">
        <w:t xml:space="preserve">экономика страны </w:t>
      </w:r>
      <w:r w:rsidR="00F03BBE">
        <w:t>деградировала</w:t>
      </w:r>
      <w:r w:rsidR="004C3BC1">
        <w:t xml:space="preserve"> из-за пятикратного снижения ИОК (см. рис.</w:t>
      </w:r>
      <w:r w:rsidR="007708EB">
        <w:t xml:space="preserve"> 1</w:t>
      </w:r>
      <w:r w:rsidR="00D21DC3">
        <w:t>7</w:t>
      </w:r>
      <w:r w:rsidR="007708EB">
        <w:t xml:space="preserve">). В восстановительный период (1999-2008гг.) отношение </w:t>
      </w:r>
      <w:r w:rsidR="001A1439">
        <w:t>ИОК/ВВП</w:t>
      </w:r>
      <w:r w:rsidR="007708EB">
        <w:t xml:space="preserve"> увеличилось в 1,53 раза (с 0,139 до 0,212). </w:t>
      </w:r>
      <w:r w:rsidR="00F03BBE">
        <w:t>В</w:t>
      </w:r>
      <w:r w:rsidR="007708EB">
        <w:t xml:space="preserve"> кризис</w:t>
      </w:r>
      <w:r w:rsidR="009026DD">
        <w:t>ный год</w:t>
      </w:r>
      <w:r w:rsidR="007708EB">
        <w:t xml:space="preserve"> (2009г.) и </w:t>
      </w:r>
      <w:r w:rsidR="009026DD">
        <w:t xml:space="preserve">в </w:t>
      </w:r>
      <w:r w:rsidR="007708EB">
        <w:t>послекризисн</w:t>
      </w:r>
      <w:r w:rsidR="009026DD">
        <w:t>ое</w:t>
      </w:r>
      <w:r w:rsidR="007708EB">
        <w:t xml:space="preserve"> </w:t>
      </w:r>
      <w:r w:rsidR="009026DD">
        <w:t>восстановление</w:t>
      </w:r>
      <w:r w:rsidR="007708EB">
        <w:t xml:space="preserve"> (2010-201</w:t>
      </w:r>
      <w:r w:rsidR="009026DD">
        <w:t>3</w:t>
      </w:r>
      <w:r w:rsidR="007708EB">
        <w:t xml:space="preserve">гг.) отношение </w:t>
      </w:r>
      <w:r w:rsidR="001A1439">
        <w:t>ИОК/ВВП</w:t>
      </w:r>
      <w:r w:rsidR="007708EB">
        <w:t xml:space="preserve"> уменьшилось</w:t>
      </w:r>
      <w:r w:rsidR="009026DD">
        <w:t xml:space="preserve"> с 0,213 приблизительно до уровня 0,20. </w:t>
      </w:r>
    </w:p>
    <w:p w:rsidR="00281920" w:rsidRDefault="00DC0C6F" w:rsidP="002C4D9A">
      <w:pPr>
        <w:ind w:firstLine="851"/>
        <w:jc w:val="both"/>
      </w:pPr>
      <w:r>
        <w:t xml:space="preserve">Отношение </w:t>
      </w:r>
      <w:r w:rsidR="001A1439">
        <w:t>ИОК/ВВП</w:t>
      </w:r>
      <w:r>
        <w:t>, равное</w:t>
      </w:r>
      <w:r w:rsidR="00DB429B">
        <w:t xml:space="preserve"> 0,2</w:t>
      </w:r>
      <w:r>
        <w:t>,</w:t>
      </w:r>
      <w:r w:rsidR="00171870">
        <w:t xml:space="preserve"> для российской экономики</w:t>
      </w:r>
      <w:r w:rsidR="007D6497">
        <w:t xml:space="preserve"> </w:t>
      </w:r>
      <w:r w:rsidR="00DB429B">
        <w:t xml:space="preserve">явно </w:t>
      </w:r>
      <w:r w:rsidR="007D6497" w:rsidRPr="00DC0C6F">
        <w:rPr>
          <w:b/>
        </w:rPr>
        <w:t>недостаточно</w:t>
      </w:r>
      <w:r w:rsidR="00A02789">
        <w:rPr>
          <w:b/>
        </w:rPr>
        <w:t>.</w:t>
      </w:r>
      <w:r w:rsidR="007D6497">
        <w:t xml:space="preserve"> </w:t>
      </w:r>
      <w:r w:rsidR="00A02789">
        <w:t>Сегодняшнее</w:t>
      </w:r>
      <w:r w:rsidR="007D6497">
        <w:t xml:space="preserve"> состояния российской экономик</w:t>
      </w:r>
      <w:r w:rsidR="00281920">
        <w:t>и имеет явно сырьевой характер</w:t>
      </w:r>
      <w:r w:rsidR="004B5A5B">
        <w:t>,</w:t>
      </w:r>
      <w:r w:rsidR="00A02789">
        <w:t xml:space="preserve">  и в короткое время изменит</w:t>
      </w:r>
      <w:r w:rsidR="004B5A5B">
        <w:t>ь</w:t>
      </w:r>
      <w:r w:rsidR="00A02789">
        <w:t xml:space="preserve"> его невозможно.</w:t>
      </w:r>
      <w:r w:rsidR="003C1E2B">
        <w:t xml:space="preserve"> </w:t>
      </w:r>
      <w:r w:rsidR="002A4698">
        <w:t xml:space="preserve">Чтобы </w:t>
      </w:r>
      <w:r w:rsidR="004B5A5B">
        <w:t>экономика</w:t>
      </w:r>
      <w:r w:rsidR="002A4698">
        <w:t xml:space="preserve"> развивалась, необходимы существенные</w:t>
      </w:r>
      <w:r w:rsidR="00EA66D8">
        <w:t xml:space="preserve"> опережающие</w:t>
      </w:r>
      <w:r w:rsidR="005E1AF0">
        <w:t xml:space="preserve"> капитальные</w:t>
      </w:r>
      <w:r w:rsidR="003C1E2B">
        <w:t xml:space="preserve"> </w:t>
      </w:r>
      <w:r w:rsidR="00DB429B">
        <w:t>вложени</w:t>
      </w:r>
      <w:r w:rsidR="005E1AF0">
        <w:t>я</w:t>
      </w:r>
      <w:r w:rsidR="00281920">
        <w:t>, которые</w:t>
      </w:r>
      <w:r w:rsidR="00111164">
        <w:t>, в первую очередь,</w:t>
      </w:r>
      <w:r w:rsidR="00281920">
        <w:t xml:space="preserve"> должны быть направлены:</w:t>
      </w:r>
    </w:p>
    <w:p w:rsidR="00281920" w:rsidRDefault="00281920" w:rsidP="002C4D9A">
      <w:pPr>
        <w:ind w:firstLine="851"/>
        <w:jc w:val="both"/>
      </w:pPr>
      <w:r>
        <w:t xml:space="preserve">- </w:t>
      </w:r>
      <w:r w:rsidR="00DB429B">
        <w:t>в реконструкцию</w:t>
      </w:r>
      <w:r w:rsidR="003C1E2B">
        <w:t xml:space="preserve"> и техперевооружение</w:t>
      </w:r>
      <w:r w:rsidR="009C50F9">
        <w:t xml:space="preserve"> уже существующих</w:t>
      </w:r>
      <w:r w:rsidR="00DB429B">
        <w:t xml:space="preserve"> </w:t>
      </w:r>
      <w:r w:rsidR="00CA3ACF">
        <w:t xml:space="preserve">предприятий и </w:t>
      </w:r>
      <w:r w:rsidR="00DB429B">
        <w:t>инфраструктуры</w:t>
      </w:r>
      <w:r w:rsidR="009C50F9">
        <w:t xml:space="preserve">, </w:t>
      </w:r>
      <w:r w:rsidR="003C494C">
        <w:t xml:space="preserve">которые практически все были </w:t>
      </w:r>
      <w:r w:rsidR="009C50F9">
        <w:t>построе</w:t>
      </w:r>
      <w:r w:rsidR="00111164">
        <w:t>н</w:t>
      </w:r>
      <w:r w:rsidR="003C494C">
        <w:t>ы</w:t>
      </w:r>
      <w:r w:rsidR="001A1439">
        <w:t xml:space="preserve"> </w:t>
      </w:r>
      <w:r w:rsidR="009C50F9">
        <w:t>в советский период</w:t>
      </w:r>
      <w:r w:rsidR="00111164">
        <w:t>;</w:t>
      </w:r>
    </w:p>
    <w:p w:rsidR="00281920" w:rsidRDefault="00281920" w:rsidP="002C4D9A">
      <w:pPr>
        <w:ind w:firstLine="851"/>
        <w:jc w:val="both"/>
      </w:pPr>
      <w:r>
        <w:t xml:space="preserve">- </w:t>
      </w:r>
      <w:r w:rsidR="008C6DD7">
        <w:t xml:space="preserve"> </w:t>
      </w:r>
      <w:r w:rsidR="00DB429B">
        <w:t>в строительство</w:t>
      </w:r>
      <w:r w:rsidR="003C1E2B">
        <w:t xml:space="preserve"> </w:t>
      </w:r>
      <w:r w:rsidR="002A4698">
        <w:t xml:space="preserve">новых </w:t>
      </w:r>
      <w:r w:rsidR="00CA3ACF">
        <w:t>объектов</w:t>
      </w:r>
      <w:r w:rsidR="002A4698">
        <w:t xml:space="preserve"> </w:t>
      </w:r>
      <w:r w:rsidR="003C1E2B">
        <w:t>в различных отраслях экономики</w:t>
      </w:r>
      <w:r w:rsidR="003C494C">
        <w:t xml:space="preserve">, а также </w:t>
      </w:r>
      <w:r w:rsidR="008C6DD7">
        <w:t xml:space="preserve"> строительство </w:t>
      </w:r>
      <w:r w:rsidR="003C494C">
        <w:t>жилья и социальных объектов</w:t>
      </w:r>
      <w:r w:rsidR="00111164">
        <w:t>;</w:t>
      </w:r>
    </w:p>
    <w:p w:rsidR="00281920" w:rsidRDefault="00281920" w:rsidP="002C4D9A">
      <w:pPr>
        <w:ind w:firstLine="851"/>
        <w:jc w:val="both"/>
      </w:pPr>
      <w:r>
        <w:t xml:space="preserve">- </w:t>
      </w:r>
      <w:r w:rsidR="00111164">
        <w:t>в разработку и обустройство новых месторождений углеводородного сырья и полезных ископаемых, т.к</w:t>
      </w:r>
      <w:r w:rsidR="00EA66D8">
        <w:t xml:space="preserve">. </w:t>
      </w:r>
      <w:r w:rsidR="001A1439">
        <w:t>большинство</w:t>
      </w:r>
      <w:r w:rsidR="00EA66D8">
        <w:t xml:space="preserve"> эксплуатируемых</w:t>
      </w:r>
      <w:r w:rsidR="001A1439">
        <w:t xml:space="preserve"> сегодня месторождений</w:t>
      </w:r>
      <w:r w:rsidR="00EA66D8">
        <w:t xml:space="preserve"> был</w:t>
      </w:r>
      <w:r w:rsidR="003C494C">
        <w:t>и обустроены в советское время, многие из которых</w:t>
      </w:r>
      <w:r w:rsidR="00111164">
        <w:t xml:space="preserve"> прошли пик</w:t>
      </w:r>
      <w:r w:rsidR="00EA66D8">
        <w:t xml:space="preserve"> своей добычи.</w:t>
      </w:r>
    </w:p>
    <w:p w:rsidR="000627AB" w:rsidRDefault="00FE0256" w:rsidP="000627AB">
      <w:pPr>
        <w:ind w:firstLine="851"/>
        <w:jc w:val="both"/>
      </w:pPr>
      <w:r>
        <w:t>В</w:t>
      </w:r>
      <w:r w:rsidR="00FD6C7E">
        <w:t xml:space="preserve"> результате </w:t>
      </w:r>
      <w:r w:rsidR="004B5A5B">
        <w:t>величина</w:t>
      </w:r>
      <w:r>
        <w:t xml:space="preserve"> отношения </w:t>
      </w:r>
      <w:r w:rsidR="001A1439">
        <w:t>ИОК/ВВП</w:t>
      </w:r>
      <w:r w:rsidR="004B5A5B">
        <w:t xml:space="preserve"> должна увеличиться</w:t>
      </w:r>
      <w:r>
        <w:t xml:space="preserve"> с 0,2 минимум до 0,25. </w:t>
      </w:r>
      <w:r w:rsidR="002C4D9A">
        <w:t>Интересно отметить, что в 1978г., когда объем ИОК соответствовал уровню 2008 и 2013гг., отно</w:t>
      </w:r>
      <w:r w:rsidR="007D6497">
        <w:t xml:space="preserve">шение </w:t>
      </w:r>
      <w:r w:rsidR="001A1439">
        <w:t>ИОК/ВВП</w:t>
      </w:r>
      <w:r w:rsidR="007D6497">
        <w:t xml:space="preserve"> равнялось</w:t>
      </w:r>
      <w:r>
        <w:t xml:space="preserve"> как раз</w:t>
      </w:r>
      <w:r w:rsidR="00435843">
        <w:t xml:space="preserve"> 0,247 или </w:t>
      </w:r>
      <w:r w:rsidR="007D6497">
        <w:t xml:space="preserve">почти на </w:t>
      </w:r>
      <w:r w:rsidR="008B10DC">
        <w:t>четверть</w:t>
      </w:r>
      <w:r w:rsidR="007D6497">
        <w:t xml:space="preserve"> выше, чем сегодня.</w:t>
      </w:r>
      <w:r w:rsidR="000627AB">
        <w:t xml:space="preserve"> Такая же величина имеет место в странах, у которых доля сырьевых отраслей в экономике существенна, например, в Чехии, Канаде и</w:t>
      </w:r>
      <w:r w:rsidR="000627AB" w:rsidRPr="00462DF2">
        <w:t xml:space="preserve"> </w:t>
      </w:r>
      <w:r w:rsidR="000627AB">
        <w:t xml:space="preserve">Австралии (рис. </w:t>
      </w:r>
      <w:r w:rsidR="00D21DC3">
        <w:t>19</w:t>
      </w:r>
      <w:r w:rsidR="000627AB">
        <w:t xml:space="preserve">). Видно, что у них отношение ИОК/ВВП меняется от 0,236 в Чехии до 0,279 в Австралии. </w:t>
      </w:r>
    </w:p>
    <w:p w:rsidR="00B90119" w:rsidRPr="002B57C9" w:rsidRDefault="00B90119" w:rsidP="002C4D9A">
      <w:pPr>
        <w:ind w:firstLine="851"/>
        <w:jc w:val="both"/>
      </w:pPr>
    </w:p>
    <w:p w:rsidR="00B57872" w:rsidRDefault="009C3B41" w:rsidP="002C4D9A">
      <w:pPr>
        <w:ind w:firstLine="851"/>
        <w:jc w:val="both"/>
      </w:pPr>
      <w:r w:rsidRPr="00B9177C">
        <w:rPr>
          <w:u w:val="single"/>
        </w:rPr>
        <w:t>К</w:t>
      </w:r>
      <w:r w:rsidR="00EA2930" w:rsidRPr="00B9177C">
        <w:rPr>
          <w:u w:val="single"/>
        </w:rPr>
        <w:t>оэффициент мультипликации (К</w:t>
      </w:r>
      <w:r w:rsidRPr="00B9177C">
        <w:rPr>
          <w:u w:val="single"/>
        </w:rPr>
        <w:t>мул</w:t>
      </w:r>
      <w:r w:rsidR="00EA2930" w:rsidRPr="00B9177C">
        <w:rPr>
          <w:u w:val="single"/>
        </w:rPr>
        <w:t>).</w:t>
      </w:r>
      <w:r w:rsidR="00EA2930">
        <w:t xml:space="preserve"> </w:t>
      </w:r>
      <w:r w:rsidR="00B9177C">
        <w:t xml:space="preserve">По данным Кввп и </w:t>
      </w:r>
      <w:r w:rsidR="00E84828">
        <w:t>отношени</w:t>
      </w:r>
      <w:r w:rsidR="0055397B">
        <w:t>е</w:t>
      </w:r>
      <w:r w:rsidR="004F42BE">
        <w:t>м</w:t>
      </w:r>
      <w:r w:rsidR="00E84828">
        <w:t xml:space="preserve"> </w:t>
      </w:r>
      <w:r w:rsidR="001A1439">
        <w:t>ИОК/ВВП</w:t>
      </w:r>
      <w:r w:rsidR="00E84828">
        <w:t>, можно рассчитать</w:t>
      </w:r>
      <w:r w:rsidR="00192D45">
        <w:t xml:space="preserve"> ежегодные значения Кмул, которы</w:t>
      </w:r>
      <w:r w:rsidR="0055397B">
        <w:t>е</w:t>
      </w:r>
      <w:r w:rsidR="00192D45">
        <w:t xml:space="preserve"> показан</w:t>
      </w:r>
      <w:r w:rsidR="0055397B">
        <w:t>ы</w:t>
      </w:r>
      <w:r w:rsidR="00192D45">
        <w:t xml:space="preserve"> на рис. 2</w:t>
      </w:r>
      <w:r w:rsidR="00D21DC3">
        <w:t>0</w:t>
      </w:r>
      <w:r w:rsidR="00192D45">
        <w:t xml:space="preserve">. </w:t>
      </w:r>
      <w:r w:rsidR="0055397B">
        <w:t xml:space="preserve">Там же показан прогноз </w:t>
      </w:r>
      <w:r w:rsidR="00243890">
        <w:t>динамики</w:t>
      </w:r>
      <w:r w:rsidR="0055397B">
        <w:t xml:space="preserve"> Кмул для двух</w:t>
      </w:r>
      <w:r w:rsidR="00243890">
        <w:t xml:space="preserve"> рассматриваемых</w:t>
      </w:r>
      <w:r w:rsidR="0055397B">
        <w:t xml:space="preserve"> сценариев.</w:t>
      </w:r>
    </w:p>
    <w:p w:rsidR="00192D45" w:rsidRDefault="00192D45" w:rsidP="002C4D9A">
      <w:pPr>
        <w:ind w:firstLine="851"/>
        <w:jc w:val="both"/>
      </w:pPr>
    </w:p>
    <w:p w:rsidR="00B57872" w:rsidRDefault="007C1ADE" w:rsidP="00B57872">
      <w:pPr>
        <w:jc w:val="both"/>
      </w:pPr>
      <w:r>
        <w:rPr>
          <w:noProof/>
        </w:rPr>
        <w:drawing>
          <wp:inline distT="0" distB="0" distL="0" distR="0">
            <wp:extent cx="5905500" cy="4800600"/>
            <wp:effectExtent l="19050" t="0" r="0" b="0"/>
            <wp:docPr id="78" name="Рисунок 25"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езентация1"/>
                    <pic:cNvPicPr>
                      <a:picLocks noChangeAspect="1" noChangeArrowheads="1"/>
                    </pic:cNvPicPr>
                  </pic:nvPicPr>
                  <pic:blipFill>
                    <a:blip r:embed="rId33" cstate="print"/>
                    <a:srcRect/>
                    <a:stretch>
                      <a:fillRect/>
                    </a:stretch>
                  </pic:blipFill>
                  <pic:spPr bwMode="auto">
                    <a:xfrm>
                      <a:off x="0" y="0"/>
                      <a:ext cx="5905500" cy="4800600"/>
                    </a:xfrm>
                    <a:prstGeom prst="rect">
                      <a:avLst/>
                    </a:prstGeom>
                    <a:noFill/>
                    <a:ln w="9525">
                      <a:noFill/>
                      <a:miter lim="800000"/>
                      <a:headEnd/>
                      <a:tailEnd/>
                    </a:ln>
                  </pic:spPr>
                </pic:pic>
              </a:graphicData>
            </a:graphic>
          </wp:inline>
        </w:drawing>
      </w:r>
    </w:p>
    <w:p w:rsidR="00B57872" w:rsidRDefault="00B57872" w:rsidP="002C4D9A">
      <w:pPr>
        <w:ind w:firstLine="851"/>
        <w:jc w:val="both"/>
      </w:pPr>
      <w:r>
        <w:t>Рис. 2</w:t>
      </w:r>
      <w:r w:rsidR="00D21DC3">
        <w:t>0</w:t>
      </w:r>
      <w:r>
        <w:t xml:space="preserve">. Значение коэффициента мультипликации (Кмул) в России в период 1971-2012гг. </w:t>
      </w:r>
      <w:r w:rsidR="00192D45">
        <w:t>и прогноз до 202</w:t>
      </w:r>
      <w:r w:rsidR="009D4537">
        <w:t>5</w:t>
      </w:r>
      <w:r w:rsidR="00192D45">
        <w:t xml:space="preserve">г. </w:t>
      </w:r>
    </w:p>
    <w:p w:rsidR="00B57872" w:rsidRDefault="00B57872" w:rsidP="002C4D9A">
      <w:pPr>
        <w:ind w:firstLine="851"/>
        <w:jc w:val="both"/>
      </w:pPr>
    </w:p>
    <w:p w:rsidR="00F134F0" w:rsidRDefault="004F42BE" w:rsidP="002C4D9A">
      <w:pPr>
        <w:ind w:firstLine="851"/>
        <w:jc w:val="both"/>
      </w:pPr>
      <w:r>
        <w:t>Здесь так же, как и при расчете Кввп, для тех лет, где значение Кмул существенно (в 2 и более раз) отклоняется от среднего значения, использу</w:t>
      </w:r>
      <w:r w:rsidR="00005CA8">
        <w:t>е</w:t>
      </w:r>
      <w:r>
        <w:t>т</w:t>
      </w:r>
      <w:r w:rsidR="00005CA8">
        <w:t>ся</w:t>
      </w:r>
      <w:r>
        <w:t xml:space="preserve"> процедур</w:t>
      </w:r>
      <w:r w:rsidR="00005CA8">
        <w:t>а</w:t>
      </w:r>
      <w:r>
        <w:t xml:space="preserve"> локального </w:t>
      </w:r>
      <w:r w:rsidR="004B58C2">
        <w:t>осреднения</w:t>
      </w:r>
      <w:r>
        <w:t xml:space="preserve">. </w:t>
      </w:r>
      <w:r w:rsidR="000D78A6">
        <w:t>На рис. 2</w:t>
      </w:r>
      <w:r w:rsidR="00D21DC3">
        <w:t>0</w:t>
      </w:r>
      <w:r w:rsidR="00C360AC">
        <w:t xml:space="preserve"> представлены данные для </w:t>
      </w:r>
      <w:r w:rsidR="00F134F0" w:rsidRPr="00840E1E">
        <w:t>1972</w:t>
      </w:r>
      <w:r w:rsidR="008178AB" w:rsidRPr="00840E1E">
        <w:t>, 1973, 1974гг.</w:t>
      </w:r>
      <w:r w:rsidR="00C360AC" w:rsidRPr="00840E1E">
        <w:t>,</w:t>
      </w:r>
      <w:r w:rsidR="00C360AC">
        <w:t xml:space="preserve"> </w:t>
      </w:r>
      <w:r w:rsidR="00F134F0">
        <w:t xml:space="preserve">которые были </w:t>
      </w:r>
      <w:r w:rsidR="00C360AC">
        <w:t>полу</w:t>
      </w:r>
      <w:r w:rsidR="00F134F0">
        <w:t xml:space="preserve">чены в результате </w:t>
      </w:r>
      <w:r w:rsidR="008178AB">
        <w:t>такого</w:t>
      </w:r>
      <w:r w:rsidR="00F134F0">
        <w:t xml:space="preserve"> осреднения</w:t>
      </w:r>
      <w:r w:rsidR="008178AB">
        <w:t xml:space="preserve"> Кввп</w:t>
      </w:r>
      <w:r w:rsidR="00F134F0">
        <w:t xml:space="preserve"> (см. рис. 1</w:t>
      </w:r>
      <w:r w:rsidR="00D21DC3">
        <w:t>8</w:t>
      </w:r>
      <w:r w:rsidR="00F134F0">
        <w:t xml:space="preserve">).  </w:t>
      </w:r>
    </w:p>
    <w:p w:rsidR="00AB4B98" w:rsidRDefault="000D78A6" w:rsidP="002C4D9A">
      <w:pPr>
        <w:ind w:firstLine="851"/>
        <w:jc w:val="both"/>
      </w:pPr>
      <w:r>
        <w:t>В советский период (1971-1985гг.)</w:t>
      </w:r>
      <w:r w:rsidR="008076BD">
        <w:t xml:space="preserve"> среднегодовое значение </w:t>
      </w:r>
      <w:r w:rsidR="008076BD" w:rsidRPr="00750C4B">
        <w:t>Кмул</w:t>
      </w:r>
      <w:r w:rsidRPr="00750C4B">
        <w:t xml:space="preserve"> =</w:t>
      </w:r>
      <w:r w:rsidRPr="00750C4B">
        <w:rPr>
          <w:b/>
        </w:rPr>
        <w:t xml:space="preserve"> 4,22</w:t>
      </w:r>
      <w:r w:rsidRPr="0093301E">
        <w:t>,</w:t>
      </w:r>
      <w:r>
        <w:t xml:space="preserve"> т.е. 1 рубль</w:t>
      </w:r>
      <w:r w:rsidR="00AB4B98">
        <w:t>, вложенный в</w:t>
      </w:r>
      <w:r>
        <w:t xml:space="preserve"> ИОК</w:t>
      </w:r>
      <w:r w:rsidR="00AB4B98">
        <w:t>,</w:t>
      </w:r>
      <w:r>
        <w:t xml:space="preserve"> трансформирова</w:t>
      </w:r>
      <w:r w:rsidR="00AB4B98">
        <w:t>л</w:t>
      </w:r>
      <w:r>
        <w:t xml:space="preserve">ся в 4,22 рубля ВВП. </w:t>
      </w:r>
      <w:r w:rsidR="00AB4B98">
        <w:t xml:space="preserve">Это </w:t>
      </w:r>
      <w:r w:rsidR="00005CA8">
        <w:t>высоко</w:t>
      </w:r>
      <w:r w:rsidR="00AB4B98">
        <w:t>эффективное использование ИОК</w:t>
      </w:r>
      <w:r w:rsidR="00E33996">
        <w:t xml:space="preserve">. </w:t>
      </w:r>
      <w:r w:rsidR="00E33996" w:rsidRPr="007854F4">
        <w:rPr>
          <w:u w:val="single"/>
        </w:rPr>
        <w:t>Для справки</w:t>
      </w:r>
      <w:r w:rsidR="00E33996">
        <w:t>:</w:t>
      </w:r>
      <w:r w:rsidR="0062490F">
        <w:t xml:space="preserve"> в ЕС</w:t>
      </w:r>
      <w:r w:rsidR="00E33996">
        <w:t>-27</w:t>
      </w:r>
      <w:r w:rsidR="00C72857">
        <w:t>, когда происходил рост ИОК (в 1996-2001гг., 2003-2007гг., 2011г.) среднегодовое значение</w:t>
      </w:r>
      <w:r w:rsidR="00DA723E">
        <w:t xml:space="preserve"> </w:t>
      </w:r>
      <w:r w:rsidR="00C72857" w:rsidRPr="00750C4B">
        <w:t>Кмул=</w:t>
      </w:r>
      <w:r w:rsidR="00C72857" w:rsidRPr="00750C4B">
        <w:rPr>
          <w:b/>
        </w:rPr>
        <w:t>4,04</w:t>
      </w:r>
      <w:r w:rsidR="00C72857">
        <w:t xml:space="preserve">. </w:t>
      </w:r>
    </w:p>
    <w:p w:rsidR="007017F0" w:rsidRDefault="00AB4B98" w:rsidP="002C4D9A">
      <w:pPr>
        <w:ind w:firstLine="851"/>
        <w:jc w:val="both"/>
      </w:pPr>
      <w:r>
        <w:t xml:space="preserve">В </w:t>
      </w:r>
      <w:r w:rsidR="00DC59CC">
        <w:t>«перестроечный» период (1986-1989</w:t>
      </w:r>
      <w:r>
        <w:t>) среднегодовое значение</w:t>
      </w:r>
      <w:r w:rsidR="00984134">
        <w:t xml:space="preserve"> Кмул</w:t>
      </w:r>
      <w:r>
        <w:t xml:space="preserve"> </w:t>
      </w:r>
      <w:r w:rsidR="00984134">
        <w:t>упало до очень низкого уровня (</w:t>
      </w:r>
      <w:r>
        <w:t>Кмул=</w:t>
      </w:r>
      <w:r w:rsidRPr="00750C4B">
        <w:rPr>
          <w:b/>
        </w:rPr>
        <w:t>1,</w:t>
      </w:r>
      <w:r w:rsidR="009D4537" w:rsidRPr="00750C4B">
        <w:rPr>
          <w:b/>
        </w:rPr>
        <w:t>74</w:t>
      </w:r>
      <w:r w:rsidR="00984134" w:rsidRPr="0093301E">
        <w:t>)</w:t>
      </w:r>
      <w:r w:rsidRPr="0093301E">
        <w:t>,</w:t>
      </w:r>
      <w:r>
        <w:t xml:space="preserve"> или 1 рубль, вложенный в ИОК, трансформировался всего в 1,</w:t>
      </w:r>
      <w:r w:rsidR="00750C4B">
        <w:t>74</w:t>
      </w:r>
      <w:r>
        <w:t xml:space="preserve"> рубля ВВП, т.е. эффективность вложения в ИОК упала в 2,</w:t>
      </w:r>
      <w:r w:rsidR="00143C48">
        <w:t>4</w:t>
      </w:r>
      <w:r>
        <w:t xml:space="preserve"> ра</w:t>
      </w:r>
      <w:r w:rsidR="008076BD">
        <w:t>за по сравнению с доперестроечным периодом (1971-1985гг.)</w:t>
      </w:r>
      <w:r w:rsidR="007017F0">
        <w:t>.</w:t>
      </w:r>
    </w:p>
    <w:p w:rsidR="00711D8E" w:rsidRDefault="007017F0" w:rsidP="002C4D9A">
      <w:pPr>
        <w:ind w:firstLine="851"/>
        <w:jc w:val="both"/>
      </w:pPr>
      <w:r>
        <w:t>В кризисный период (199</w:t>
      </w:r>
      <w:r w:rsidR="00DC59CC">
        <w:t>0</w:t>
      </w:r>
      <w:r>
        <w:t>-1998гг. и 2009г.)</w:t>
      </w:r>
      <w:r w:rsidR="00AB4B98">
        <w:t xml:space="preserve"> </w:t>
      </w:r>
      <w:r>
        <w:t>среднегодовое значение Кмул=</w:t>
      </w:r>
      <w:r w:rsidR="009D4537" w:rsidRPr="00750C4B">
        <w:rPr>
          <w:b/>
        </w:rPr>
        <w:t>2,44</w:t>
      </w:r>
      <w:r>
        <w:t>, т.е. на 1 рубль уменьшения вложен</w:t>
      </w:r>
      <w:r w:rsidR="00E059D2">
        <w:t>и</w:t>
      </w:r>
      <w:r w:rsidR="009D4537">
        <w:t xml:space="preserve">й в ИОК, приходилось </w:t>
      </w:r>
      <w:r w:rsidR="009D4537" w:rsidRPr="00750C4B">
        <w:rPr>
          <w:b/>
        </w:rPr>
        <w:t>2,44</w:t>
      </w:r>
      <w:r>
        <w:t xml:space="preserve"> рубля уменьшения ВВП</w:t>
      </w:r>
      <w:r w:rsidR="00711D8E">
        <w:t xml:space="preserve">. </w:t>
      </w:r>
    </w:p>
    <w:p w:rsidR="007112F1" w:rsidRDefault="00711D8E" w:rsidP="002C4D9A">
      <w:pPr>
        <w:ind w:firstLine="851"/>
        <w:jc w:val="both"/>
      </w:pPr>
      <w:r>
        <w:t>И, наконец, в восстановительный период</w:t>
      </w:r>
      <w:r w:rsidR="00DC59CC">
        <w:t>, который можно разделить на два этапа</w:t>
      </w:r>
      <w:r w:rsidR="00387289">
        <w:t xml:space="preserve">: </w:t>
      </w:r>
      <w:r w:rsidR="00072B9F">
        <w:t>первый</w:t>
      </w:r>
      <w:r w:rsidR="00387289">
        <w:t xml:space="preserve"> этап </w:t>
      </w:r>
      <w:r>
        <w:t>1999-200</w:t>
      </w:r>
      <w:r w:rsidR="0093301E">
        <w:t>3</w:t>
      </w:r>
      <w:r w:rsidR="00DC59CC">
        <w:t>г</w:t>
      </w:r>
      <w:r>
        <w:t>г.</w:t>
      </w:r>
      <w:r w:rsidR="00DC59CC">
        <w:t xml:space="preserve"> и</w:t>
      </w:r>
      <w:r w:rsidR="00387289">
        <w:t xml:space="preserve"> </w:t>
      </w:r>
      <w:r w:rsidR="00072B9F">
        <w:t>второй</w:t>
      </w:r>
      <w:r w:rsidR="00387289">
        <w:t xml:space="preserve"> этап</w:t>
      </w:r>
      <w:r>
        <w:t xml:space="preserve"> 20</w:t>
      </w:r>
      <w:r w:rsidR="00DC59CC">
        <w:t>0</w:t>
      </w:r>
      <w:r w:rsidR="0093301E">
        <w:t>4</w:t>
      </w:r>
      <w:r>
        <w:t>-2012гг.</w:t>
      </w:r>
      <w:r w:rsidR="0093301E">
        <w:t>,</w:t>
      </w:r>
      <w:r w:rsidR="00DC59CC">
        <w:t xml:space="preserve"> без кризисного 2009г. На </w:t>
      </w:r>
      <w:r w:rsidR="00072B9F">
        <w:t>первом</w:t>
      </w:r>
      <w:r w:rsidR="00DC59CC">
        <w:t xml:space="preserve"> этапе среднегодовое значение Кмул=</w:t>
      </w:r>
      <w:r w:rsidR="00DC59CC" w:rsidRPr="00750C4B">
        <w:rPr>
          <w:b/>
        </w:rPr>
        <w:t>4</w:t>
      </w:r>
      <w:r w:rsidR="00EA420B" w:rsidRPr="00750C4B">
        <w:rPr>
          <w:b/>
        </w:rPr>
        <w:t>,</w:t>
      </w:r>
      <w:r w:rsidR="00143C48" w:rsidRPr="00750C4B">
        <w:rPr>
          <w:b/>
        </w:rPr>
        <w:t>4</w:t>
      </w:r>
      <w:r w:rsidRPr="0093301E">
        <w:t>,</w:t>
      </w:r>
      <w:r>
        <w:t xml:space="preserve"> т.е. 1 рубль вложений в ИОК трансформировался в </w:t>
      </w:r>
      <w:r w:rsidR="00DC59CC">
        <w:t>4</w:t>
      </w:r>
      <w:r w:rsidR="00143C48">
        <w:t>,4</w:t>
      </w:r>
      <w:r>
        <w:t xml:space="preserve"> рубля в ВВП. </w:t>
      </w:r>
      <w:r w:rsidR="00761E4E">
        <w:t xml:space="preserve">В это время рост экономики обеспечивался </w:t>
      </w:r>
      <w:r w:rsidR="00A303D3">
        <w:t>исключительно за счет использования</w:t>
      </w:r>
      <w:r w:rsidR="00761E4E">
        <w:t xml:space="preserve"> существующих </w:t>
      </w:r>
      <w:r w:rsidR="0093301E">
        <w:t>производственных</w:t>
      </w:r>
      <w:r w:rsidR="00761E4E">
        <w:t xml:space="preserve"> мощностей. </w:t>
      </w:r>
      <w:r w:rsidR="00EA420B">
        <w:t>Это значение практически равно значению 4,22 советского периода, когда экономика страны развивалась стабильно и эффективно. На втором этапе среднегодовое значение</w:t>
      </w:r>
      <w:r w:rsidR="009D4537">
        <w:t xml:space="preserve"> </w:t>
      </w:r>
      <w:r w:rsidR="008C33C1">
        <w:t>упало до Кмул=</w:t>
      </w:r>
      <w:r w:rsidR="0093301E" w:rsidRPr="00750C4B">
        <w:rPr>
          <w:b/>
        </w:rPr>
        <w:t>2,85</w:t>
      </w:r>
      <w:r w:rsidR="00EA420B">
        <w:t xml:space="preserve">, т.е. эффективность </w:t>
      </w:r>
      <w:r w:rsidR="00761E4E">
        <w:t>вложений в ИОК</w:t>
      </w:r>
      <w:r w:rsidR="00EA420B">
        <w:t xml:space="preserve"> </w:t>
      </w:r>
      <w:r w:rsidR="00B86AB0">
        <w:t>составила всего 2/3 от советского периода</w:t>
      </w:r>
      <w:r w:rsidR="00EA420B">
        <w:t>.</w:t>
      </w:r>
    </w:p>
    <w:p w:rsidR="00CC7B30" w:rsidRDefault="00CC7B30" w:rsidP="002C4D9A">
      <w:pPr>
        <w:ind w:firstLine="851"/>
        <w:jc w:val="both"/>
      </w:pPr>
    </w:p>
    <w:p w:rsidR="00043ECB" w:rsidRPr="007B32E1" w:rsidRDefault="007112F1" w:rsidP="005304F6">
      <w:pPr>
        <w:pStyle w:val="3"/>
      </w:pPr>
      <w:bookmarkStart w:id="47" w:name="_Toc370759779"/>
      <w:bookmarkStart w:id="48" w:name="_Toc374557786"/>
      <w:r w:rsidRPr="007B32E1">
        <w:t>2.</w:t>
      </w:r>
      <w:r w:rsidR="007B32E1" w:rsidRPr="007B32E1">
        <w:t>6</w:t>
      </w:r>
      <w:r w:rsidRPr="007B32E1">
        <w:t>. Прогноз темпов изменения ИОК на период 2013-2019гг.</w:t>
      </w:r>
      <w:bookmarkEnd w:id="47"/>
      <w:bookmarkEnd w:id="48"/>
      <w:r w:rsidRPr="007B32E1">
        <w:t xml:space="preserve"> </w:t>
      </w:r>
      <w:r w:rsidR="00761E4E" w:rsidRPr="007B32E1">
        <w:t xml:space="preserve"> </w:t>
      </w:r>
      <w:r w:rsidR="00EA420B" w:rsidRPr="007B32E1">
        <w:t xml:space="preserve"> </w:t>
      </w:r>
    </w:p>
    <w:p w:rsidR="00CC7B30" w:rsidRPr="007112F1" w:rsidRDefault="00CC7B30" w:rsidP="002C4D9A">
      <w:pPr>
        <w:ind w:firstLine="851"/>
        <w:jc w:val="both"/>
        <w:rPr>
          <w:b/>
          <w:sz w:val="32"/>
          <w:szCs w:val="32"/>
        </w:rPr>
      </w:pPr>
    </w:p>
    <w:p w:rsidR="00C14028" w:rsidRDefault="00DE5256" w:rsidP="00B57872">
      <w:pPr>
        <w:ind w:firstLine="851"/>
        <w:jc w:val="both"/>
      </w:pPr>
      <w:r>
        <w:t>Минэкономразвития и различны</w:t>
      </w:r>
      <w:r w:rsidR="0003111B">
        <w:t>е</w:t>
      </w:r>
      <w:r>
        <w:t xml:space="preserve"> международны</w:t>
      </w:r>
      <w:r w:rsidR="0003111B">
        <w:t>е</w:t>
      </w:r>
      <w:r>
        <w:t xml:space="preserve"> финансовы</w:t>
      </w:r>
      <w:r w:rsidR="0003111B">
        <w:t>е</w:t>
      </w:r>
      <w:r>
        <w:t xml:space="preserve"> орга</w:t>
      </w:r>
      <w:r w:rsidR="0003111B">
        <w:t>низации</w:t>
      </w:r>
      <w:r>
        <w:t xml:space="preserve"> (МВФ, Всемирный банк) </w:t>
      </w:r>
      <w:r w:rsidR="0003111B">
        <w:t>прогнозируют</w:t>
      </w:r>
      <w:r w:rsidR="00D532F8">
        <w:t xml:space="preserve"> </w:t>
      </w:r>
      <w:r w:rsidR="006670D3">
        <w:t>в России</w:t>
      </w:r>
      <w:r w:rsidR="0003111B">
        <w:t xml:space="preserve"> среднегодовой темп роста ВВП не выше 3%</w:t>
      </w:r>
      <w:r w:rsidR="00521F34" w:rsidRPr="00521F34">
        <w:t xml:space="preserve"> </w:t>
      </w:r>
      <w:r w:rsidR="00521F34">
        <w:t>в ближайшие годы</w:t>
      </w:r>
      <w:r w:rsidR="0003111B">
        <w:t xml:space="preserve">. </w:t>
      </w:r>
      <w:r w:rsidR="00521F34">
        <w:t>Д</w:t>
      </w:r>
      <w:r w:rsidR="00D532F8">
        <w:t xml:space="preserve">ля обеспечения такого темпа роста ВВП необходим среднегодовой темп роста ИОК 3%/0,6=5%. </w:t>
      </w:r>
      <w:r w:rsidR="00C14028">
        <w:t>При этом значение Кмул снизится с 2,85 до 2,39 (см. рис 2</w:t>
      </w:r>
      <w:r w:rsidR="00CC7B30">
        <w:t>0</w:t>
      </w:r>
      <w:r w:rsidR="00C14028">
        <w:t xml:space="preserve">). </w:t>
      </w:r>
      <w:r w:rsidR="006670D3">
        <w:t xml:space="preserve">Будем считать этот сценарий </w:t>
      </w:r>
      <w:r w:rsidR="006670D3" w:rsidRPr="006670D3">
        <w:rPr>
          <w:b/>
        </w:rPr>
        <w:t>оптимистичным</w:t>
      </w:r>
      <w:r w:rsidR="006670D3">
        <w:t xml:space="preserve">. </w:t>
      </w:r>
    </w:p>
    <w:p w:rsidR="000140B5" w:rsidRDefault="008042CB" w:rsidP="00B57872">
      <w:pPr>
        <w:ind w:firstLine="851"/>
        <w:jc w:val="both"/>
      </w:pPr>
      <w:r>
        <w:t>В</w:t>
      </w:r>
      <w:r w:rsidR="006670D3">
        <w:t xml:space="preserve">  </w:t>
      </w:r>
      <w:r w:rsidR="006670D3" w:rsidRPr="00521F34">
        <w:rPr>
          <w:b/>
        </w:rPr>
        <w:t>пессимистическо</w:t>
      </w:r>
      <w:r w:rsidR="000140B5" w:rsidRPr="00521F34">
        <w:rPr>
          <w:b/>
        </w:rPr>
        <w:t>м</w:t>
      </w:r>
      <w:r w:rsidR="006670D3">
        <w:t xml:space="preserve"> сценари</w:t>
      </w:r>
      <w:r>
        <w:t>и</w:t>
      </w:r>
      <w:r w:rsidR="000140B5">
        <w:t xml:space="preserve"> примем среднегодовой темп падения ИОК -1%</w:t>
      </w:r>
      <w:r>
        <w:t>. Э</w:t>
      </w:r>
      <w:r w:rsidR="000140B5">
        <w:t>то следует из того, что з</w:t>
      </w:r>
      <w:r w:rsidR="00C14028">
        <w:t>а 9 мес. 2013г. по отношению к аналогичному периоду в 2012г., ИОК в стране упал на 1,4%</w:t>
      </w:r>
      <w:r w:rsidR="002510ED">
        <w:t xml:space="preserve">. </w:t>
      </w:r>
      <w:r w:rsidR="000140B5">
        <w:t>Соответственно, среднегодовой темп падения ВВП равен -0,6%, тогда значение Кмул поднимется до 3,16 (рис. 2</w:t>
      </w:r>
      <w:r w:rsidR="00CC7B30">
        <w:t>0</w:t>
      </w:r>
      <w:r w:rsidR="000140B5">
        <w:t>).</w:t>
      </w:r>
    </w:p>
    <w:p w:rsidR="00984396" w:rsidRDefault="00984396" w:rsidP="00984396">
      <w:pPr>
        <w:ind w:firstLine="851"/>
        <w:jc w:val="both"/>
      </w:pPr>
      <w:r>
        <w:t xml:space="preserve">Из рис. 20 видно, что </w:t>
      </w:r>
      <w:r w:rsidRPr="00435843">
        <w:t>только</w:t>
      </w:r>
      <w:r>
        <w:t xml:space="preserve"> </w:t>
      </w:r>
      <w:r w:rsidRPr="00435843">
        <w:rPr>
          <w:b/>
        </w:rPr>
        <w:t>при оптимистическом сценарии</w:t>
      </w:r>
      <w:r>
        <w:t xml:space="preserve"> отношение ИОК/ВВП растет и достигнет значения 0,247</w:t>
      </w:r>
      <w:r w:rsidRPr="005E3BAA">
        <w:t xml:space="preserve"> </w:t>
      </w:r>
      <w:r>
        <w:t xml:space="preserve">к 2024г. </w:t>
      </w:r>
      <w:r w:rsidRPr="009A76BE">
        <w:rPr>
          <w:b/>
        </w:rPr>
        <w:t>При пессимистическом сценарии</w:t>
      </w:r>
      <w:r w:rsidRPr="002B57C9">
        <w:t xml:space="preserve"> отношение </w:t>
      </w:r>
      <w:r>
        <w:t>ИОК/ВВП</w:t>
      </w:r>
      <w:r w:rsidRPr="002B57C9">
        <w:t xml:space="preserve"> падает</w:t>
      </w:r>
      <w:r>
        <w:t xml:space="preserve"> с 0,2 до 0,18, при этом </w:t>
      </w:r>
      <w:r w:rsidRPr="002B57C9">
        <w:t>не будет</w:t>
      </w:r>
      <w:r>
        <w:t xml:space="preserve"> достаточных средств для выполнения </w:t>
      </w:r>
      <w:r w:rsidRPr="002B57C9">
        <w:t>необходим</w:t>
      </w:r>
      <w:r>
        <w:t>ого</w:t>
      </w:r>
      <w:r w:rsidRPr="002B57C9">
        <w:t xml:space="preserve"> объем</w:t>
      </w:r>
      <w:r>
        <w:t>а</w:t>
      </w:r>
      <w:r w:rsidR="00963207">
        <w:t xml:space="preserve"> работ ни по</w:t>
      </w:r>
      <w:r w:rsidRPr="002B57C9">
        <w:t xml:space="preserve"> реконструкции и техперевооружени</w:t>
      </w:r>
      <w:r w:rsidR="00963207">
        <w:t>ю</w:t>
      </w:r>
      <w:r w:rsidRPr="002B57C9">
        <w:t xml:space="preserve"> существующих объектов, ни </w:t>
      </w:r>
      <w:r w:rsidR="00963207">
        <w:t>по</w:t>
      </w:r>
      <w:r>
        <w:t xml:space="preserve"> </w:t>
      </w:r>
      <w:r w:rsidRPr="002B57C9">
        <w:t>строительств</w:t>
      </w:r>
      <w:r w:rsidR="00963207">
        <w:t>у</w:t>
      </w:r>
      <w:r w:rsidRPr="002B57C9">
        <w:t xml:space="preserve"> новых. </w:t>
      </w:r>
      <w:r>
        <w:t xml:space="preserve">Результат - </w:t>
      </w:r>
      <w:r w:rsidRPr="002B57C9">
        <w:t xml:space="preserve"> стагнаци</w:t>
      </w:r>
      <w:r>
        <w:t xml:space="preserve">я </w:t>
      </w:r>
      <w:r w:rsidRPr="002B57C9">
        <w:t xml:space="preserve">и </w:t>
      </w:r>
      <w:r>
        <w:t>экономический кризис</w:t>
      </w:r>
      <w:r w:rsidRPr="002B57C9">
        <w:t xml:space="preserve"> в стране.   </w:t>
      </w:r>
    </w:p>
    <w:p w:rsidR="00ED2385" w:rsidRDefault="00B8506B" w:rsidP="00ED2385">
      <w:pPr>
        <w:ind w:firstLine="709"/>
        <w:jc w:val="both"/>
      </w:pPr>
      <w:r>
        <w:t>Среднегодовой темп роста ИОК в 5% для 2013 года означа</w:t>
      </w:r>
      <w:r w:rsidR="00CE2B24">
        <w:t>л бы</w:t>
      </w:r>
      <w:r>
        <w:t>, что ИОК</w:t>
      </w:r>
      <w:r w:rsidR="00584CDB">
        <w:t xml:space="preserve"> в стране</w:t>
      </w:r>
      <w:r>
        <w:t xml:space="preserve"> долж</w:t>
      </w:r>
      <w:r w:rsidR="00584CDB">
        <w:t>ны</w:t>
      </w:r>
      <w:r w:rsidR="00CE2B24">
        <w:t xml:space="preserve"> были</w:t>
      </w:r>
      <w:r>
        <w:t xml:space="preserve"> бы</w:t>
      </w:r>
      <w:r w:rsidR="00F51732">
        <w:t>ть</w:t>
      </w:r>
      <w:r>
        <w:t xml:space="preserve"> увеличен</w:t>
      </w:r>
      <w:r w:rsidR="00584CDB">
        <w:t>ы</w:t>
      </w:r>
      <w:r w:rsidR="00F51732">
        <w:t xml:space="preserve"> с 12,6 трлн. руб. (в 2012г.) до 13,23 трлн. руб. или </w:t>
      </w:r>
      <w:r w:rsidR="00584CDB">
        <w:t xml:space="preserve"> на 6</w:t>
      </w:r>
      <w:r w:rsidR="00205920">
        <w:t>30</w:t>
      </w:r>
      <w:r w:rsidR="00F51732">
        <w:t xml:space="preserve"> млрд. руб</w:t>
      </w:r>
      <w:r w:rsidR="00A1689C">
        <w:t>. (в ценах 2012 года)</w:t>
      </w:r>
      <w:r w:rsidR="001F749D">
        <w:t>. Однако за 9</w:t>
      </w:r>
      <w:r w:rsidR="00205920">
        <w:t xml:space="preserve"> м</w:t>
      </w:r>
      <w:r w:rsidR="001F749D">
        <w:t>есяцев 2013 года ИОК упал</w:t>
      </w:r>
      <w:r w:rsidR="006740E9">
        <w:t>и</w:t>
      </w:r>
      <w:r w:rsidR="001F749D">
        <w:t xml:space="preserve"> на 1,4</w:t>
      </w:r>
      <w:r w:rsidR="00205920">
        <w:t xml:space="preserve">%. При пересчете на год </w:t>
      </w:r>
      <w:r w:rsidR="008373F2">
        <w:t>это означает уменьшение ИОК</w:t>
      </w:r>
      <w:r w:rsidR="00205920">
        <w:t xml:space="preserve"> </w:t>
      </w:r>
      <w:r w:rsidR="001F749D">
        <w:t>на 18</w:t>
      </w:r>
      <w:r w:rsidR="008373F2">
        <w:t xml:space="preserve">0 млрд. руб. Таким образом, </w:t>
      </w:r>
      <w:r w:rsidR="00CC0A34">
        <w:t xml:space="preserve">уже </w:t>
      </w:r>
      <w:r w:rsidR="006740E9">
        <w:t xml:space="preserve">к концу </w:t>
      </w:r>
      <w:r w:rsidR="00CC0A34">
        <w:t xml:space="preserve">2013г. эта </w:t>
      </w:r>
      <w:r w:rsidR="008373F2">
        <w:t>ра</w:t>
      </w:r>
      <w:r w:rsidR="00462217">
        <w:t>зница состав</w:t>
      </w:r>
      <w:r w:rsidR="006740E9">
        <w:t>ит</w:t>
      </w:r>
      <w:r w:rsidR="00462217">
        <w:t xml:space="preserve"> </w:t>
      </w:r>
      <w:r w:rsidR="001F749D">
        <w:t>81</w:t>
      </w:r>
      <w:r w:rsidR="00462217">
        <w:t xml:space="preserve">0 млрд. руб. </w:t>
      </w:r>
    </w:p>
    <w:p w:rsidR="008B4E15" w:rsidRPr="00FE05C6" w:rsidRDefault="00BE4B42" w:rsidP="00ED2385">
      <w:pPr>
        <w:ind w:firstLine="709"/>
        <w:jc w:val="both"/>
      </w:pPr>
      <w:r>
        <w:t>Сегодня ясно</w:t>
      </w:r>
      <w:r w:rsidR="008B4E15">
        <w:t>, что 201</w:t>
      </w:r>
      <w:r w:rsidR="00CC0A34">
        <w:t xml:space="preserve">3г. </w:t>
      </w:r>
      <w:r w:rsidR="00CC0A34" w:rsidRPr="00D90780">
        <w:rPr>
          <w:b/>
        </w:rPr>
        <w:t>потерян</w:t>
      </w:r>
      <w:r w:rsidR="00CC0A34">
        <w:t xml:space="preserve"> для роста экономики. Д</w:t>
      </w:r>
      <w:r w:rsidR="008B4E15">
        <w:t>ля того, чтобы в 2014</w:t>
      </w:r>
      <w:r>
        <w:t xml:space="preserve">г. </w:t>
      </w:r>
      <w:r w:rsidR="00D90780">
        <w:t xml:space="preserve">и последующие годы </w:t>
      </w:r>
      <w:r>
        <w:t>обеспечить</w:t>
      </w:r>
      <w:r w:rsidR="00D90780">
        <w:t xml:space="preserve"> среднегодовой</w:t>
      </w:r>
      <w:r>
        <w:t xml:space="preserve">  рост ВВП на 3%</w:t>
      </w:r>
      <w:r w:rsidR="00AE5AA9">
        <w:t>,</w:t>
      </w:r>
      <w:r>
        <w:t xml:space="preserve"> необходим</w:t>
      </w:r>
      <w:r w:rsidR="00D90780">
        <w:t xml:space="preserve"> среднегодовой</w:t>
      </w:r>
      <w:r w:rsidR="008B4E15">
        <w:t xml:space="preserve"> рост ИОК</w:t>
      </w:r>
      <w:r w:rsidR="003D0FD3">
        <w:t xml:space="preserve"> на 5%. В 2014г.</w:t>
      </w:r>
      <w:r w:rsidR="00C5041B">
        <w:t xml:space="preserve"> </w:t>
      </w:r>
      <w:r w:rsidR="003D0FD3">
        <w:t>это</w:t>
      </w:r>
      <w:r w:rsidR="00AE5AA9">
        <w:t xml:space="preserve"> те же самые 630 млрд. руб.</w:t>
      </w:r>
      <w:r w:rsidR="00C5041B">
        <w:t xml:space="preserve"> в ценах 2012</w:t>
      </w:r>
      <w:r w:rsidR="00D2755C">
        <w:t xml:space="preserve"> </w:t>
      </w:r>
      <w:r w:rsidR="00C5041B">
        <w:t>г.</w:t>
      </w:r>
      <w:r w:rsidR="0016409B">
        <w:t xml:space="preserve"> </w:t>
      </w:r>
      <w:r w:rsidR="00C5041B">
        <w:t>С</w:t>
      </w:r>
      <w:r w:rsidR="00AE5AA9">
        <w:t xml:space="preserve"> учетом прогнозируемой  инфляции</w:t>
      </w:r>
      <w:r w:rsidR="00C62EB9">
        <w:t xml:space="preserve"> в 6%</w:t>
      </w:r>
      <w:r w:rsidR="00AE5AA9">
        <w:t xml:space="preserve"> и в 2013, и в 2014гг</w:t>
      </w:r>
      <w:r w:rsidR="00A308A9">
        <w:t xml:space="preserve">. – это равняется </w:t>
      </w:r>
      <w:r w:rsidR="00546D48">
        <w:t>710 млрд. руб.</w:t>
      </w:r>
      <w:r w:rsidR="000E50A4">
        <w:t xml:space="preserve"> или 22млрд.</w:t>
      </w:r>
      <w:r w:rsidR="000E50A4" w:rsidRPr="00A308A9">
        <w:t xml:space="preserve">$ </w:t>
      </w:r>
      <w:r w:rsidR="000E50A4">
        <w:t xml:space="preserve">(принимается 1 </w:t>
      </w:r>
      <w:r w:rsidR="000E50A4" w:rsidRPr="00A308A9">
        <w:t xml:space="preserve">$ </w:t>
      </w:r>
      <w:r w:rsidR="000E50A4">
        <w:t>ЦБ = 32,5 руб</w:t>
      </w:r>
      <w:r w:rsidR="00A308A9">
        <w:t>.)</w:t>
      </w:r>
      <w:r w:rsidR="000E50A4">
        <w:t xml:space="preserve">, </w:t>
      </w:r>
      <w:r w:rsidR="00FE05C6">
        <w:t xml:space="preserve">а к </w:t>
      </w:r>
      <w:r w:rsidR="000E50A4">
        <w:t>2019г.</w:t>
      </w:r>
      <w:r w:rsidR="00FE05C6">
        <w:t xml:space="preserve"> возрастет до 28,1млрд.$, </w:t>
      </w:r>
      <w:r w:rsidR="00963207">
        <w:t>и</w:t>
      </w:r>
      <w:r w:rsidR="009713AD">
        <w:t xml:space="preserve"> </w:t>
      </w:r>
      <w:r w:rsidR="00FE05C6">
        <w:t>в среднем</w:t>
      </w:r>
      <w:r w:rsidR="009713AD">
        <w:t xml:space="preserve"> на весь период</w:t>
      </w:r>
      <w:r w:rsidR="00FE05C6">
        <w:t xml:space="preserve"> –</w:t>
      </w:r>
      <w:r w:rsidR="009713AD">
        <w:t xml:space="preserve"> 25</w:t>
      </w:r>
      <w:r w:rsidR="00FE05C6">
        <w:t>млрд.</w:t>
      </w:r>
      <w:r w:rsidR="00FE05C6" w:rsidRPr="009713AD">
        <w:t>$</w:t>
      </w:r>
      <w:r w:rsidR="00FE05C6">
        <w:t xml:space="preserve">. </w:t>
      </w:r>
    </w:p>
    <w:p w:rsidR="00615DB6" w:rsidRDefault="00C62EB9" w:rsidP="009475AD">
      <w:pPr>
        <w:ind w:firstLine="709"/>
        <w:jc w:val="both"/>
      </w:pPr>
      <w:r>
        <w:t xml:space="preserve">Рассмотрим, какие возможности есть </w:t>
      </w:r>
      <w:r w:rsidR="009475AD">
        <w:t xml:space="preserve">в стране </w:t>
      </w:r>
      <w:r>
        <w:t>для обеспечения такого роста</w:t>
      </w:r>
      <w:r w:rsidR="009B3F51">
        <w:t xml:space="preserve"> ИОК</w:t>
      </w:r>
      <w:r>
        <w:t xml:space="preserve"> в</w:t>
      </w:r>
      <w:r w:rsidR="003B1B36">
        <w:t xml:space="preserve"> период 2013-2019гг.</w:t>
      </w:r>
      <w:r w:rsidR="002D0698">
        <w:t xml:space="preserve"> </w:t>
      </w:r>
      <w:r w:rsidR="00615DB6">
        <w:t>П</w:t>
      </w:r>
      <w:r w:rsidR="00A308A9">
        <w:t xml:space="preserve">роанализируем </w:t>
      </w:r>
      <w:r w:rsidR="00615DB6">
        <w:t xml:space="preserve">3 </w:t>
      </w:r>
      <w:r w:rsidR="00A308A9">
        <w:t>главные</w:t>
      </w:r>
      <w:r w:rsidR="002D0698">
        <w:t xml:space="preserve"> составляющие ИОК</w:t>
      </w:r>
      <w:r w:rsidR="00615DB6">
        <w:t>, суммарная доля которых в общих ИОК</w:t>
      </w:r>
      <w:r w:rsidR="00A5582F">
        <w:t xml:space="preserve"> в период 2008-2012гг.</w:t>
      </w:r>
      <w:r w:rsidR="00615DB6">
        <w:t xml:space="preserve"> меняется </w:t>
      </w:r>
      <w:r w:rsidR="00A5582F">
        <w:t xml:space="preserve">в диапазоне 94,5% - </w:t>
      </w:r>
      <w:r w:rsidR="00615DB6">
        <w:t>96,3%</w:t>
      </w:r>
      <w:r w:rsidR="00D23D72">
        <w:t xml:space="preserve"> (по данным Росстата от 19.03.2013 г.)</w:t>
      </w:r>
      <w:r w:rsidR="00615DB6">
        <w:t xml:space="preserve">: </w:t>
      </w:r>
    </w:p>
    <w:p w:rsidR="00615DB6" w:rsidRDefault="006D3863" w:rsidP="00615DB6">
      <w:pPr>
        <w:numPr>
          <w:ilvl w:val="0"/>
          <w:numId w:val="32"/>
        </w:numPr>
        <w:jc w:val="both"/>
      </w:pPr>
      <w:r>
        <w:t xml:space="preserve">в </w:t>
      </w:r>
      <w:r w:rsidR="00706252">
        <w:t>государственную собственность (в сумме федеральную и собственность субъектов федерации),</w:t>
      </w:r>
      <w:r w:rsidR="00A308A9">
        <w:t xml:space="preserve"> </w:t>
      </w:r>
    </w:p>
    <w:p w:rsidR="00615DB6" w:rsidRDefault="006D3863" w:rsidP="00615DB6">
      <w:pPr>
        <w:numPr>
          <w:ilvl w:val="0"/>
          <w:numId w:val="32"/>
        </w:numPr>
        <w:jc w:val="both"/>
      </w:pPr>
      <w:r>
        <w:t xml:space="preserve">суммарно </w:t>
      </w:r>
      <w:r w:rsidR="00A308A9">
        <w:t xml:space="preserve">в частную </w:t>
      </w:r>
      <w:r w:rsidR="00706252">
        <w:t xml:space="preserve"> и  смешанную российскую собственность (без иностранного участия)</w:t>
      </w:r>
      <w:r w:rsidR="002D0698">
        <w:t>,</w:t>
      </w:r>
      <w:r w:rsidR="00363D9C">
        <w:t xml:space="preserve"> </w:t>
      </w:r>
    </w:p>
    <w:p w:rsidR="00615DB6" w:rsidRDefault="006D3863" w:rsidP="00615DB6">
      <w:pPr>
        <w:numPr>
          <w:ilvl w:val="0"/>
          <w:numId w:val="32"/>
        </w:numPr>
        <w:jc w:val="both"/>
      </w:pPr>
      <w:r>
        <w:t>суммарно в</w:t>
      </w:r>
      <w:r w:rsidR="002D0698">
        <w:t xml:space="preserve"> иностранную и совместн</w:t>
      </w:r>
      <w:r w:rsidR="00442324">
        <w:t xml:space="preserve">ую </w:t>
      </w:r>
      <w:r w:rsidR="002D0698">
        <w:t>российско-иностранную собственность</w:t>
      </w:r>
      <w:r w:rsidR="00615DB6">
        <w:t xml:space="preserve">. </w:t>
      </w:r>
    </w:p>
    <w:p w:rsidR="006D3863" w:rsidRDefault="006D3863" w:rsidP="00F146C4">
      <w:pPr>
        <w:ind w:firstLine="709"/>
        <w:jc w:val="both"/>
      </w:pPr>
    </w:p>
    <w:p w:rsidR="00615DB6" w:rsidRPr="00615DB6" w:rsidRDefault="00615DB6" w:rsidP="00F146C4">
      <w:pPr>
        <w:ind w:firstLine="709"/>
        <w:jc w:val="both"/>
      </w:pPr>
      <w:r w:rsidRPr="00615DB6">
        <w:t xml:space="preserve">На рис. </w:t>
      </w:r>
      <w:r>
        <w:t>2</w:t>
      </w:r>
      <w:r w:rsidR="00CC7B30">
        <w:t>1</w:t>
      </w:r>
      <w:r>
        <w:t xml:space="preserve"> представлены значения ИОК</w:t>
      </w:r>
      <w:r w:rsidR="00D23D72">
        <w:t xml:space="preserve"> этих составляющих в период 2008-2012 гг. с прогнозом на 2013 г. в ценах 2012 г. </w:t>
      </w:r>
    </w:p>
    <w:p w:rsidR="00D23D72" w:rsidRDefault="00D23D72" w:rsidP="00F146C4">
      <w:pPr>
        <w:ind w:firstLine="709"/>
        <w:jc w:val="both"/>
        <w:rPr>
          <w:u w:val="single"/>
        </w:rPr>
      </w:pPr>
    </w:p>
    <w:p w:rsidR="006D3863" w:rsidRDefault="007C1ADE" w:rsidP="006D3863">
      <w:pPr>
        <w:ind w:firstLine="709"/>
        <w:jc w:val="center"/>
        <w:rPr>
          <w:noProof/>
        </w:rPr>
      </w:pPr>
      <w:r>
        <w:rPr>
          <w:noProof/>
        </w:rPr>
        <w:drawing>
          <wp:inline distT="0" distB="0" distL="0" distR="0">
            <wp:extent cx="4611333" cy="3373523"/>
            <wp:effectExtent l="12192" t="6096" r="5625" b="1756"/>
            <wp:docPr id="7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633E" w:rsidRDefault="0030633E" w:rsidP="006D3863">
      <w:pPr>
        <w:ind w:firstLine="709"/>
        <w:jc w:val="center"/>
        <w:rPr>
          <w:noProof/>
        </w:rPr>
      </w:pPr>
    </w:p>
    <w:p w:rsidR="006D3863" w:rsidRDefault="006D3863" w:rsidP="00AD272F">
      <w:pPr>
        <w:ind w:firstLine="709"/>
        <w:jc w:val="both"/>
        <w:rPr>
          <w:u w:val="single"/>
        </w:rPr>
      </w:pPr>
      <w:r>
        <w:rPr>
          <w:noProof/>
        </w:rPr>
        <w:t>Рис. 2</w:t>
      </w:r>
      <w:r w:rsidR="00CC7B30">
        <w:rPr>
          <w:noProof/>
        </w:rPr>
        <w:t>1</w:t>
      </w:r>
      <w:r>
        <w:rPr>
          <w:noProof/>
        </w:rPr>
        <w:t xml:space="preserve">. </w:t>
      </w:r>
      <w:r w:rsidR="00A5582F">
        <w:rPr>
          <w:noProof/>
        </w:rPr>
        <w:t xml:space="preserve">Динамика ИОК в государственную, </w:t>
      </w:r>
      <w:r w:rsidR="00AD272F">
        <w:rPr>
          <w:noProof/>
        </w:rPr>
        <w:t xml:space="preserve">сумарно </w:t>
      </w:r>
      <w:r w:rsidR="00A5582F">
        <w:rPr>
          <w:noProof/>
        </w:rPr>
        <w:t>частную</w:t>
      </w:r>
      <w:r w:rsidR="00AD272F">
        <w:rPr>
          <w:noProof/>
        </w:rPr>
        <w:t xml:space="preserve"> и смешаную российску</w:t>
      </w:r>
      <w:r w:rsidR="00140855">
        <w:rPr>
          <w:noProof/>
        </w:rPr>
        <w:t>ю</w:t>
      </w:r>
      <w:r w:rsidR="00AD272F">
        <w:rPr>
          <w:noProof/>
        </w:rPr>
        <w:t xml:space="preserve">, а также суммарно иностранную и совместную российско-иностранную </w:t>
      </w:r>
      <w:r w:rsidR="00A5582F">
        <w:rPr>
          <w:noProof/>
        </w:rPr>
        <w:t>собственность</w:t>
      </w:r>
      <w:r w:rsidR="00AD272F">
        <w:rPr>
          <w:noProof/>
        </w:rPr>
        <w:t xml:space="preserve"> в период 2008-2012гг., и прогноз на 2013гг. </w:t>
      </w:r>
    </w:p>
    <w:p w:rsidR="006D3863" w:rsidRDefault="006D3863" w:rsidP="00F146C4">
      <w:pPr>
        <w:ind w:firstLine="709"/>
        <w:jc w:val="both"/>
        <w:rPr>
          <w:u w:val="single"/>
        </w:rPr>
      </w:pPr>
    </w:p>
    <w:p w:rsidR="00A47CB8" w:rsidRDefault="006D3863" w:rsidP="00061E15">
      <w:pPr>
        <w:ind w:firstLine="709"/>
        <w:jc w:val="both"/>
      </w:pPr>
      <w:r>
        <w:t>Видно, что в 2012 г. по отношению к 2011 г. ИОК в государственную собственность упали на</w:t>
      </w:r>
      <w:r w:rsidR="000E1D18">
        <w:t xml:space="preserve"> 4%</w:t>
      </w:r>
      <w:r>
        <w:t xml:space="preserve">, ИОК в иностранную и совместную собственность остались на том же уровне и только ИОК в частную и смешанную собственность увеличились </w:t>
      </w:r>
      <w:r w:rsidR="0078514D">
        <w:t xml:space="preserve">на </w:t>
      </w:r>
      <w:r w:rsidR="0078514D" w:rsidRPr="009C2F80">
        <w:rPr>
          <w:b/>
        </w:rPr>
        <w:t>10,5</w:t>
      </w:r>
      <w:r w:rsidR="00217CF3" w:rsidRPr="009C2F80">
        <w:rPr>
          <w:b/>
        </w:rPr>
        <w:t>%.</w:t>
      </w:r>
      <w:r w:rsidR="0078514D">
        <w:t xml:space="preserve"> Прогно</w:t>
      </w:r>
      <w:r w:rsidR="000E1D18">
        <w:t>з</w:t>
      </w:r>
      <w:r w:rsidR="0078514D">
        <w:t xml:space="preserve"> </w:t>
      </w:r>
      <w:r w:rsidR="000E1D18">
        <w:t>ИОК на</w:t>
      </w:r>
      <w:r w:rsidR="0078514D">
        <w:t xml:space="preserve"> </w:t>
      </w:r>
      <w:r w:rsidR="000E1D18">
        <w:t>2013г., делается из следующих соображений</w:t>
      </w:r>
      <w:r w:rsidR="001463AF">
        <w:t>:</w:t>
      </w:r>
      <w:r w:rsidR="0078514D">
        <w:t xml:space="preserve"> по оперативным данным</w:t>
      </w:r>
      <w:r w:rsidR="001463AF">
        <w:t xml:space="preserve"> Росстата </w:t>
      </w:r>
      <w:r w:rsidR="009F11E1">
        <w:t xml:space="preserve">за 9 мес. 2013г. </w:t>
      </w:r>
      <w:r w:rsidR="001463AF">
        <w:t>все</w:t>
      </w:r>
      <w:r w:rsidR="0078514D">
        <w:t xml:space="preserve"> ИОК в стране упал</w:t>
      </w:r>
      <w:r w:rsidR="001463AF">
        <w:t>и</w:t>
      </w:r>
      <w:r w:rsidR="0078514D">
        <w:t xml:space="preserve"> на 1,4%</w:t>
      </w:r>
      <w:r w:rsidR="00061E15">
        <w:t xml:space="preserve">, </w:t>
      </w:r>
      <w:r w:rsidR="001463AF">
        <w:t>по сравнению с аналогичным периодом</w:t>
      </w:r>
      <w:r w:rsidR="009F11E1">
        <w:t xml:space="preserve"> </w:t>
      </w:r>
      <w:r w:rsidR="001463AF">
        <w:t>2012г. (за 8 мес. – на 1,3%)</w:t>
      </w:r>
      <w:r w:rsidR="0078514D">
        <w:t xml:space="preserve">. </w:t>
      </w:r>
      <w:r w:rsidR="00061E15">
        <w:t>Отсюда делается предположение, что</w:t>
      </w:r>
      <w:r w:rsidR="000D1837">
        <w:t xml:space="preserve"> за весь 2013г. </w:t>
      </w:r>
      <w:r w:rsidR="00BF738E">
        <w:t>все</w:t>
      </w:r>
      <w:r w:rsidR="00061E15">
        <w:t xml:space="preserve"> ИОК в стране упад</w:t>
      </w:r>
      <w:r w:rsidR="001B44B9">
        <w:t>у</w:t>
      </w:r>
      <w:r w:rsidR="00061E15">
        <w:t>т на 1,5%</w:t>
      </w:r>
      <w:r w:rsidR="000E1D18">
        <w:t xml:space="preserve"> по отношению к 2012г.</w:t>
      </w:r>
      <w:r w:rsidR="00061E15">
        <w:t xml:space="preserve"> </w:t>
      </w:r>
    </w:p>
    <w:p w:rsidR="00F85AA5" w:rsidRDefault="00A47CB8" w:rsidP="00061E15">
      <w:pPr>
        <w:ind w:firstLine="709"/>
        <w:jc w:val="both"/>
      </w:pPr>
      <w:r>
        <w:t>Оценим т</w:t>
      </w:r>
      <w:r w:rsidR="00061E15">
        <w:t>емпы изменения составляющих ИОК</w:t>
      </w:r>
      <w:r>
        <w:t xml:space="preserve"> в 2013г.</w:t>
      </w:r>
      <w:r w:rsidR="00395779">
        <w:t xml:space="preserve"> по отношению к 2012 г.</w:t>
      </w:r>
      <w:r w:rsidR="00BF738E">
        <w:t xml:space="preserve"> </w:t>
      </w:r>
      <w:r w:rsidR="00395779">
        <w:t xml:space="preserve">Если считать, что темп изменения ИОК </w:t>
      </w:r>
      <w:r w:rsidR="00BF738E">
        <w:t>в государственную и суммарно иностранную и совместно российско-иностранную соб</w:t>
      </w:r>
      <w:r w:rsidR="00395779">
        <w:t>ственность</w:t>
      </w:r>
      <w:r w:rsidR="003F57CD">
        <w:t xml:space="preserve"> </w:t>
      </w:r>
      <w:r>
        <w:t xml:space="preserve">в </w:t>
      </w:r>
      <w:r w:rsidR="003F57CD">
        <w:t xml:space="preserve">2013 г. </w:t>
      </w:r>
      <w:r w:rsidR="00061E15">
        <w:t xml:space="preserve"> </w:t>
      </w:r>
      <w:r w:rsidR="00395779">
        <w:t>были</w:t>
      </w:r>
      <w:r w:rsidR="00140855">
        <w:t xml:space="preserve"> такими же, </w:t>
      </w:r>
      <w:r w:rsidR="00395779">
        <w:t>что и</w:t>
      </w:r>
      <w:r w:rsidR="00061E15">
        <w:t xml:space="preserve"> </w:t>
      </w:r>
      <w:r w:rsidR="00140855">
        <w:t>в</w:t>
      </w:r>
      <w:r w:rsidR="00061E15">
        <w:t xml:space="preserve"> 2012г.</w:t>
      </w:r>
      <w:r w:rsidR="00140855">
        <w:t xml:space="preserve"> по отношению</w:t>
      </w:r>
      <w:r w:rsidR="00395779">
        <w:t xml:space="preserve"> к 2011 г., то можно получить</w:t>
      </w:r>
      <w:r w:rsidR="00061E15">
        <w:t>, что</w:t>
      </w:r>
      <w:r w:rsidR="00395779">
        <w:t xml:space="preserve"> темп изменения</w:t>
      </w:r>
      <w:r w:rsidR="00061E15">
        <w:t xml:space="preserve"> ИОК в частную и смешан</w:t>
      </w:r>
      <w:r w:rsidR="00395779">
        <w:t>ную собственность упал на 1,2% (рис. 2</w:t>
      </w:r>
      <w:r w:rsidR="00CC7B30">
        <w:t>1</w:t>
      </w:r>
      <w:r w:rsidR="00395779">
        <w:t>).</w:t>
      </w:r>
      <w:r w:rsidR="003F57CD">
        <w:t xml:space="preserve"> </w:t>
      </w:r>
    </w:p>
    <w:p w:rsidR="007F61B9" w:rsidRDefault="003F57CD" w:rsidP="00061E15">
      <w:pPr>
        <w:ind w:firstLine="709"/>
        <w:jc w:val="both"/>
      </w:pPr>
      <w:r>
        <w:t>П</w:t>
      </w:r>
      <w:r w:rsidR="0063107B">
        <w:t>редполож</w:t>
      </w:r>
      <w:r>
        <w:t>им</w:t>
      </w:r>
      <w:r w:rsidR="0063107B">
        <w:t>, что</w:t>
      </w:r>
      <w:r w:rsidR="009C55C0">
        <w:t xml:space="preserve"> в 2014г.</w:t>
      </w:r>
      <w:r w:rsidR="00287D49">
        <w:t xml:space="preserve"> и последующие годы</w:t>
      </w:r>
      <w:r w:rsidR="0063107B">
        <w:t xml:space="preserve"> </w:t>
      </w:r>
      <w:r w:rsidR="009C55C0">
        <w:t>рост всех</w:t>
      </w:r>
      <w:r w:rsidR="00C81226">
        <w:t xml:space="preserve"> ИОК </w:t>
      </w:r>
      <w:r w:rsidR="009C55C0">
        <w:t>б</w:t>
      </w:r>
      <w:r w:rsidR="00287D49">
        <w:t xml:space="preserve">удет </w:t>
      </w:r>
      <w:r w:rsidR="005E63A8">
        <w:t>о</w:t>
      </w:r>
      <w:r w:rsidR="00C81226">
        <w:t xml:space="preserve">беспечиваться </w:t>
      </w:r>
      <w:r w:rsidR="005E63A8">
        <w:t>только</w:t>
      </w:r>
      <w:r w:rsidR="00C81226">
        <w:t xml:space="preserve"> за счет</w:t>
      </w:r>
      <w:r w:rsidR="005E63A8">
        <w:t xml:space="preserve"> роста</w:t>
      </w:r>
      <w:r w:rsidR="00C81226">
        <w:t xml:space="preserve"> ИОК</w:t>
      </w:r>
      <w:r w:rsidR="005E63A8">
        <w:t xml:space="preserve"> суммарно</w:t>
      </w:r>
      <w:r w:rsidR="00C81226">
        <w:t xml:space="preserve"> в частную и смешанную </w:t>
      </w:r>
      <w:r w:rsidR="00A505E6">
        <w:t xml:space="preserve">российскую собственность, тогда </w:t>
      </w:r>
      <w:r w:rsidR="00287D49">
        <w:t>в 2014г.</w:t>
      </w:r>
      <w:r w:rsidR="001D57FB">
        <w:t>их темп роста</w:t>
      </w:r>
      <w:r w:rsidR="00287D49">
        <w:t xml:space="preserve"> </w:t>
      </w:r>
      <w:r w:rsidR="00C81226">
        <w:t xml:space="preserve">должен составить </w:t>
      </w:r>
      <w:r w:rsidR="00A505E6">
        <w:t>710 млрд. руб.</w:t>
      </w:r>
      <w:r w:rsidR="00C81226">
        <w:t>/855</w:t>
      </w:r>
      <w:r w:rsidR="00A505E6">
        <w:t>0млрд</w:t>
      </w:r>
      <w:r w:rsidR="000A4E3F">
        <w:t>.руб.</w:t>
      </w:r>
      <w:r w:rsidR="00C81226">
        <w:t>=</w:t>
      </w:r>
      <w:r w:rsidR="00A505E6" w:rsidRPr="009C2F80">
        <w:rPr>
          <w:b/>
        </w:rPr>
        <w:t>8,3</w:t>
      </w:r>
      <w:r w:rsidR="00C81226" w:rsidRPr="009C2F80">
        <w:rPr>
          <w:b/>
        </w:rPr>
        <w:t>%</w:t>
      </w:r>
      <w:r w:rsidR="00902933" w:rsidRPr="009C2F80">
        <w:rPr>
          <w:b/>
        </w:rPr>
        <w:t>.</w:t>
      </w:r>
      <w:r w:rsidR="00565B20" w:rsidRPr="009C2F80">
        <w:rPr>
          <w:b/>
        </w:rPr>
        <w:t xml:space="preserve"> </w:t>
      </w:r>
      <w:r w:rsidR="000A4E3F">
        <w:t xml:space="preserve">В </w:t>
      </w:r>
      <w:r w:rsidR="00402AA1">
        <w:t>России</w:t>
      </w:r>
      <w:r w:rsidR="000A4E3F">
        <w:t xml:space="preserve"> </w:t>
      </w:r>
      <w:r w:rsidR="00197CCA">
        <w:t>частны</w:t>
      </w:r>
      <w:r w:rsidR="001D57FB">
        <w:t>е</w:t>
      </w:r>
      <w:r w:rsidR="00197CCA">
        <w:t xml:space="preserve"> собственник</w:t>
      </w:r>
      <w:r w:rsidR="001D57FB">
        <w:t>и имеют достаточно</w:t>
      </w:r>
      <w:r w:rsidR="00197CCA">
        <w:t xml:space="preserve"> </w:t>
      </w:r>
      <w:r w:rsidR="000A4E3F">
        <w:t>ф</w:t>
      </w:r>
      <w:r w:rsidR="00565B20">
        <w:t>инансовы</w:t>
      </w:r>
      <w:r w:rsidR="001D57FB">
        <w:t xml:space="preserve">х </w:t>
      </w:r>
      <w:r w:rsidR="00565B20">
        <w:t>ресурс</w:t>
      </w:r>
      <w:r w:rsidR="001D57FB">
        <w:t>ов</w:t>
      </w:r>
      <w:r w:rsidR="00565B20">
        <w:t xml:space="preserve"> для обеспечения такого</w:t>
      </w:r>
      <w:r w:rsidR="00C6412E">
        <w:t xml:space="preserve"> темпа</w:t>
      </w:r>
      <w:r w:rsidR="00565B20">
        <w:t xml:space="preserve"> роста</w:t>
      </w:r>
      <w:r w:rsidR="00402AA1">
        <w:t xml:space="preserve"> ИОК</w:t>
      </w:r>
      <w:r w:rsidR="00A1491D">
        <w:t>.</w:t>
      </w:r>
      <w:r w:rsidR="00C9487E">
        <w:t xml:space="preserve"> </w:t>
      </w:r>
      <w:r w:rsidR="00C6412E">
        <w:t xml:space="preserve">Это следует из анализа </w:t>
      </w:r>
      <w:r w:rsidR="00C9487E">
        <w:t>динамик</w:t>
      </w:r>
      <w:r w:rsidR="00C6412E">
        <w:t>и</w:t>
      </w:r>
      <w:r w:rsidR="00C9487E">
        <w:t xml:space="preserve"> объема вывоза капитала за границу частными собственниками</w:t>
      </w:r>
      <w:r w:rsidR="004D4AF5">
        <w:t xml:space="preserve"> (</w:t>
      </w:r>
      <w:hyperlink r:id="rId35" w:history="1">
        <w:r w:rsidR="004D4AF5" w:rsidRPr="00A84105">
          <w:rPr>
            <w:rStyle w:val="a4"/>
          </w:rPr>
          <w:t>http://ru.wikipedia.org/wiki/%C1%E5%E3%F1%F2%E2%EE_%EA%E0%EF%E8%F2%E0%EB%E0</w:t>
        </w:r>
      </w:hyperlink>
      <w:r w:rsidR="004D4AF5">
        <w:t xml:space="preserve"> – «</w:t>
      </w:r>
      <w:hyperlink r:id="rId36" w:history="1">
        <w:r w:rsidR="004D4AF5" w:rsidRPr="004D4AF5">
          <w:rPr>
            <w:rStyle w:val="a4"/>
            <w:color w:val="000000"/>
            <w:u w:val="none"/>
          </w:rPr>
          <w:t>Чистый ввоз/вывоз капитала частным сектором в 1994—2011 годах и I квартале 2012 года</w:t>
        </w:r>
      </w:hyperlink>
      <w:r w:rsidR="004D4AF5">
        <w:rPr>
          <w:rStyle w:val="reference-text"/>
          <w:sz w:val="22"/>
          <w:szCs w:val="22"/>
        </w:rPr>
        <w:t xml:space="preserve">» по данным </w:t>
      </w:r>
      <w:r w:rsidR="00F83BB3">
        <w:rPr>
          <w:rStyle w:val="reference-text"/>
          <w:sz w:val="22"/>
          <w:szCs w:val="22"/>
        </w:rPr>
        <w:t>П</w:t>
      </w:r>
      <w:r w:rsidR="004D4AF5">
        <w:rPr>
          <w:rStyle w:val="reference-text"/>
          <w:sz w:val="22"/>
          <w:szCs w:val="22"/>
        </w:rPr>
        <w:t>латежного баланса Российской Федерации)</w:t>
      </w:r>
      <w:r w:rsidR="003E2A35">
        <w:t>, (см. рис. 2</w:t>
      </w:r>
      <w:r w:rsidR="00CC7B30">
        <w:t>1</w:t>
      </w:r>
      <w:r w:rsidR="003E2A35">
        <w:t>).</w:t>
      </w:r>
    </w:p>
    <w:p w:rsidR="0085254B" w:rsidRDefault="0085254B" w:rsidP="00B57872">
      <w:pPr>
        <w:ind w:firstLine="709"/>
        <w:jc w:val="both"/>
      </w:pPr>
    </w:p>
    <w:p w:rsidR="007F61B9" w:rsidRPr="00A81F9F" w:rsidRDefault="007C1ADE" w:rsidP="007F61B9">
      <w:pPr>
        <w:ind w:firstLine="851"/>
      </w:pPr>
      <w:r>
        <w:rPr>
          <w:noProof/>
        </w:rPr>
        <w:drawing>
          <wp:inline distT="0" distB="0" distL="0" distR="0">
            <wp:extent cx="4536005" cy="3565937"/>
            <wp:effectExtent l="13096" t="5938" r="3849" b="0"/>
            <wp:docPr id="7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F4550" w:rsidRDefault="005F4550" w:rsidP="007F61B9">
      <w:pPr>
        <w:ind w:firstLine="709"/>
        <w:jc w:val="both"/>
      </w:pPr>
    </w:p>
    <w:p w:rsidR="007F61B9" w:rsidRDefault="00441E1B" w:rsidP="007F61B9">
      <w:pPr>
        <w:ind w:firstLine="709"/>
        <w:jc w:val="both"/>
      </w:pPr>
      <w:r>
        <w:t>Рис. 2</w:t>
      </w:r>
      <w:r w:rsidR="00CC7B30">
        <w:t>2</w:t>
      </w:r>
      <w:r w:rsidR="007F61B9">
        <w:t>. Динамика ввоза (вывоза) капитала за границу в России в период 2000-2013гг.</w:t>
      </w:r>
      <w:r w:rsidR="004D4AF5">
        <w:t xml:space="preserve"> </w:t>
      </w:r>
    </w:p>
    <w:p w:rsidR="007F61B9" w:rsidRDefault="007F61B9" w:rsidP="007F61B9">
      <w:pPr>
        <w:ind w:firstLine="709"/>
        <w:jc w:val="both"/>
      </w:pPr>
    </w:p>
    <w:p w:rsidR="007F61B9" w:rsidRDefault="007F61B9" w:rsidP="007F61B9">
      <w:pPr>
        <w:ind w:firstLine="709"/>
        <w:jc w:val="both"/>
      </w:pPr>
    </w:p>
    <w:p w:rsidR="00241AC4" w:rsidRDefault="007F61B9" w:rsidP="00241AC4">
      <w:pPr>
        <w:ind w:firstLine="851"/>
        <w:jc w:val="both"/>
      </w:pPr>
      <w:r>
        <w:t xml:space="preserve">Видно, что в период 2008-2013гг. чистый вывоз капитала за границу изменялся в диапазоне -133,7 (2008г.) и 34,4 млрд. </w:t>
      </w:r>
      <w:r w:rsidRPr="00671AC3">
        <w:t>$</w:t>
      </w:r>
      <w:r>
        <w:t xml:space="preserve"> (в 2010г.), в 2013г. прогнозируется – 73-75 млрд. </w:t>
      </w:r>
      <w:r w:rsidRPr="007F61B9">
        <w:t>$</w:t>
      </w:r>
      <w:r w:rsidR="00825BCF">
        <w:t xml:space="preserve">, а в среднем – 72 </w:t>
      </w:r>
      <w:r>
        <w:t>млрд.</w:t>
      </w:r>
      <w:r w:rsidRPr="00671AC3">
        <w:t>$</w:t>
      </w:r>
      <w:r w:rsidR="0071087A">
        <w:t xml:space="preserve"> или почти в 3 раза больше, чем необходимо </w:t>
      </w:r>
      <w:r w:rsidR="004C2ABF">
        <w:t>для 5%-го</w:t>
      </w:r>
      <w:r w:rsidR="00E5408D">
        <w:t xml:space="preserve"> ежегодного темпа</w:t>
      </w:r>
      <w:r w:rsidR="004C2ABF">
        <w:t xml:space="preserve"> роста ИОК в период 2014-2019 гг</w:t>
      </w:r>
      <w:r w:rsidR="00732614">
        <w:t xml:space="preserve">. </w:t>
      </w:r>
      <w:r w:rsidR="00FC56B1">
        <w:t>Однако</w:t>
      </w:r>
      <w:r>
        <w:t xml:space="preserve"> пока не видно никаких предпосылок, почему вывоз капитала из России должен уменьш</w:t>
      </w:r>
      <w:r w:rsidR="00FC56B1">
        <w:t>а</w:t>
      </w:r>
      <w:r>
        <w:t xml:space="preserve">ться. При этом в стране </w:t>
      </w:r>
      <w:r w:rsidR="0028000C">
        <w:t>даже не обсуждаются</w:t>
      </w:r>
      <w:r>
        <w:t xml:space="preserve"> </w:t>
      </w:r>
      <w:r w:rsidR="0028000C">
        <w:t xml:space="preserve">какие-либо </w:t>
      </w:r>
      <w:r w:rsidR="0028000C">
        <w:rPr>
          <w:b/>
        </w:rPr>
        <w:t>ограничительные</w:t>
      </w:r>
      <w:r w:rsidRPr="00EF7075">
        <w:rPr>
          <w:b/>
        </w:rPr>
        <w:t xml:space="preserve"> </w:t>
      </w:r>
      <w:r w:rsidRPr="00EF7075">
        <w:t>мер</w:t>
      </w:r>
      <w:r w:rsidR="0028000C">
        <w:t>ы</w:t>
      </w:r>
      <w:r>
        <w:t xml:space="preserve"> по</w:t>
      </w:r>
      <w:r w:rsidR="00633D18">
        <w:t xml:space="preserve"> его</w:t>
      </w:r>
      <w:r>
        <w:t xml:space="preserve"> вывозу, например, </w:t>
      </w:r>
      <w:r w:rsidR="00E945B8">
        <w:t>введение</w:t>
      </w:r>
      <w:r>
        <w:t xml:space="preserve"> специальн</w:t>
      </w:r>
      <w:r w:rsidR="00E945B8">
        <w:t>ого налога</w:t>
      </w:r>
      <w:r>
        <w:t xml:space="preserve"> на вывозимый капитал.</w:t>
      </w:r>
      <w:r w:rsidR="0028000C">
        <w:t xml:space="preserve"> </w:t>
      </w:r>
    </w:p>
    <w:p w:rsidR="006740E9" w:rsidRDefault="00BA6E76" w:rsidP="00241AC4">
      <w:pPr>
        <w:ind w:firstLine="851"/>
        <w:jc w:val="both"/>
      </w:pPr>
      <w:r>
        <w:t>Фундаментальн</w:t>
      </w:r>
      <w:r w:rsidR="00241AC4">
        <w:t>а</w:t>
      </w:r>
      <w:r>
        <w:t>я</w:t>
      </w:r>
      <w:r w:rsidR="00FC56B1">
        <w:t xml:space="preserve"> мер</w:t>
      </w:r>
      <w:r>
        <w:t>а</w:t>
      </w:r>
      <w:r w:rsidR="00FC56B1">
        <w:t xml:space="preserve"> по </w:t>
      </w:r>
      <w:r>
        <w:t>снижению</w:t>
      </w:r>
      <w:r w:rsidR="00FC56B1">
        <w:t xml:space="preserve"> вывоза капитала за границу – это</w:t>
      </w:r>
      <w:r w:rsidR="00241AC4">
        <w:t xml:space="preserve"> качественное</w:t>
      </w:r>
      <w:r w:rsidR="00FC56B1">
        <w:t xml:space="preserve"> улучшение инвестиционного климата</w:t>
      </w:r>
      <w:r>
        <w:t xml:space="preserve"> в России. Однако</w:t>
      </w:r>
      <w:r w:rsidR="00241AC4">
        <w:t>,</w:t>
      </w:r>
      <w:r>
        <w:t xml:space="preserve"> в лучшем случае, это</w:t>
      </w:r>
      <w:r w:rsidR="002A2C72">
        <w:t xml:space="preserve"> станет заметно</w:t>
      </w:r>
      <w:r>
        <w:t xml:space="preserve"> не </w:t>
      </w:r>
      <w:r w:rsidR="002A2C72">
        <w:t>ранее, чем через</w:t>
      </w:r>
      <w:r>
        <w:t xml:space="preserve"> 3-5 лет</w:t>
      </w:r>
      <w:r w:rsidR="003E44E5">
        <w:t xml:space="preserve">. </w:t>
      </w:r>
      <w:r w:rsidR="00FC56B1">
        <w:t xml:space="preserve"> </w:t>
      </w:r>
      <w:r w:rsidR="00241AC4">
        <w:t>Поэтому т</w:t>
      </w:r>
      <w:r w:rsidR="0071087A">
        <w:t>рудно</w:t>
      </w:r>
      <w:r w:rsidR="00B8198A">
        <w:t xml:space="preserve"> предположить, что</w:t>
      </w:r>
      <w:r w:rsidR="002A2C72">
        <w:t xml:space="preserve"> среднегодовой</w:t>
      </w:r>
      <w:r w:rsidR="00B8198A">
        <w:t xml:space="preserve"> </w:t>
      </w:r>
      <w:r w:rsidR="005F4550">
        <w:t xml:space="preserve">темп роста </w:t>
      </w:r>
      <w:r w:rsidR="00B8198A">
        <w:t xml:space="preserve">ИОК в стране будет </w:t>
      </w:r>
      <w:r w:rsidR="00922A00">
        <w:t>больше 5%</w:t>
      </w:r>
      <w:r w:rsidR="00E72C60">
        <w:t xml:space="preserve">,  </w:t>
      </w:r>
      <w:r w:rsidR="002A2C72">
        <w:t>соответственно,</w:t>
      </w:r>
      <w:r w:rsidR="00E72C60">
        <w:t xml:space="preserve"> </w:t>
      </w:r>
      <w:r w:rsidR="00C6405D">
        <w:t xml:space="preserve">среднегодовой темп роста </w:t>
      </w:r>
      <w:r w:rsidR="000A4E92" w:rsidRPr="00A81F9F">
        <w:t>ВВП</w:t>
      </w:r>
      <w:r w:rsidR="000A4E92">
        <w:t xml:space="preserve"> </w:t>
      </w:r>
      <w:r w:rsidR="00E72C60">
        <w:t xml:space="preserve">не </w:t>
      </w:r>
      <w:r w:rsidR="00C6405D">
        <w:t>будет превышать</w:t>
      </w:r>
      <w:r w:rsidR="000A4E92">
        <w:t xml:space="preserve"> 3%. </w:t>
      </w:r>
      <w:r w:rsidR="00BC6715" w:rsidRPr="00F804B8">
        <w:rPr>
          <w:u w:val="single"/>
        </w:rPr>
        <w:t>Для справки</w:t>
      </w:r>
      <w:r w:rsidR="00BC6715">
        <w:t>, в 2012 г.</w:t>
      </w:r>
      <w:r w:rsidR="00BC6715" w:rsidRPr="00BC6715">
        <w:t xml:space="preserve"> </w:t>
      </w:r>
      <w:r w:rsidR="00BC6715">
        <w:t xml:space="preserve">по отношению к 2011 г. рост ИОК составил 6,6%, </w:t>
      </w:r>
      <w:r w:rsidR="00F804B8">
        <w:t xml:space="preserve">ВВП – 3,6%, </w:t>
      </w:r>
      <w:r w:rsidR="00BC6715">
        <w:t>а за 9 месяцев 2013 г. по отношению к соответствующему периоду 2012 г. – упал на 1,</w:t>
      </w:r>
      <w:r w:rsidR="000D25C5">
        <w:t>4</w:t>
      </w:r>
      <w:r w:rsidR="00BC6715">
        <w:t>%</w:t>
      </w:r>
      <w:r w:rsidR="00F804B8">
        <w:t>, а ВВП – вырос на 1,5%</w:t>
      </w:r>
      <w:r w:rsidR="00C6405D">
        <w:t xml:space="preserve"> (данные Росстата, октябрь 2013г.)</w:t>
      </w:r>
      <w:r w:rsidR="00F804B8">
        <w:t>.</w:t>
      </w:r>
      <w:r w:rsidR="00A721EA">
        <w:t xml:space="preserve"> </w:t>
      </w:r>
    </w:p>
    <w:p w:rsidR="003D01E2" w:rsidRDefault="009478DB" w:rsidP="005E5A32">
      <w:pPr>
        <w:ind w:firstLine="709"/>
        <w:jc w:val="both"/>
      </w:pPr>
      <w:r w:rsidRPr="00A81F9F">
        <w:t>Недостаток инвестиций в основной капитал означает недостаток средств для ускоренной модернизация старых и строительства новых прои</w:t>
      </w:r>
      <w:r w:rsidR="00D75BF1">
        <w:t>зводств, включая электр</w:t>
      </w:r>
      <w:r w:rsidRPr="00A81F9F">
        <w:t xml:space="preserve">оемкие. В результате,  структура экономики будет </w:t>
      </w:r>
      <w:r w:rsidRPr="00C6405D">
        <w:rPr>
          <w:b/>
        </w:rPr>
        <w:t>мало меняться</w:t>
      </w:r>
      <w:r w:rsidRPr="00A81F9F">
        <w:t xml:space="preserve">, </w:t>
      </w:r>
      <w:r w:rsidRPr="00C6405D">
        <w:rPr>
          <w:b/>
        </w:rPr>
        <w:t>консервироваться</w:t>
      </w:r>
      <w:r w:rsidRPr="00A81F9F">
        <w:t>, а это значит, что доля производства товаров в ВВП будет сохраняться на уровне 40-45%</w:t>
      </w:r>
      <w:r w:rsidR="00D75BF1">
        <w:t>. С</w:t>
      </w:r>
      <w:r w:rsidRPr="00A81F9F">
        <w:t>оответственно, все рассмотренные выше фундаментальные значения с</w:t>
      </w:r>
      <w:r w:rsidR="00D75BF1">
        <w:t>реднегодовы</w:t>
      </w:r>
      <w:r w:rsidRPr="00A81F9F">
        <w:t xml:space="preserve">х коэффициентов </w:t>
      </w:r>
      <w:r w:rsidR="000627AB">
        <w:t>эластичности</w:t>
      </w:r>
      <w:r w:rsidR="00D75BF1">
        <w:t>,</w:t>
      </w:r>
      <w:r w:rsidR="00D75BF1" w:rsidRPr="00D75BF1">
        <w:t xml:space="preserve"> </w:t>
      </w:r>
      <w:r w:rsidR="00D75BF1" w:rsidRPr="00A81F9F">
        <w:t>осредненные на периоде времени не менее 10 лет,</w:t>
      </w:r>
      <w:r w:rsidR="00D75BF1">
        <w:t xml:space="preserve"> </w:t>
      </w:r>
      <w:r w:rsidR="00D75BF1" w:rsidRPr="00A81F9F">
        <w:t>будут неизменными</w:t>
      </w:r>
      <w:r w:rsidR="00D75BF1">
        <w:t>,</w:t>
      </w:r>
      <w:r w:rsidR="00D75BF1" w:rsidRPr="00D75BF1">
        <w:t xml:space="preserve"> </w:t>
      </w:r>
      <w:r w:rsidR="00D75BF1">
        <w:t>а именно</w:t>
      </w:r>
      <w:r w:rsidR="000627AB">
        <w:t>: электропотребления</w:t>
      </w:r>
      <w:r w:rsidRPr="00A81F9F">
        <w:t xml:space="preserve"> к ВВП - </w:t>
      </w:r>
      <w:r w:rsidRPr="00A81F9F">
        <w:rPr>
          <w:rStyle w:val="af5"/>
          <w:rFonts w:eastAsia="Calibri"/>
          <w:sz w:val="30"/>
        </w:rPr>
        <w:t>0,3</w:t>
      </w:r>
      <w:r w:rsidR="00D17890">
        <w:rPr>
          <w:rStyle w:val="af5"/>
          <w:rFonts w:eastAsia="Calibri"/>
          <w:sz w:val="30"/>
        </w:rPr>
        <w:t>3</w:t>
      </w:r>
      <w:r w:rsidRPr="00A81F9F">
        <w:t xml:space="preserve">, </w:t>
      </w:r>
      <w:r w:rsidR="00792773">
        <w:t>электропотребления к промышленному</w:t>
      </w:r>
      <w:r w:rsidRPr="00A81F9F">
        <w:t xml:space="preserve"> </w:t>
      </w:r>
      <w:r w:rsidR="00792773">
        <w:t xml:space="preserve">производству – </w:t>
      </w:r>
      <w:r w:rsidR="00792773" w:rsidRPr="00792773">
        <w:rPr>
          <w:rStyle w:val="af5"/>
          <w:rFonts w:eastAsia="Calibri"/>
          <w:sz w:val="30"/>
        </w:rPr>
        <w:t>0,4,</w:t>
      </w:r>
      <w:r w:rsidR="00792773">
        <w:t xml:space="preserve"> промышленного </w:t>
      </w:r>
      <w:r w:rsidRPr="00A81F9F">
        <w:t xml:space="preserve">производства к ВВП - </w:t>
      </w:r>
      <w:r w:rsidRPr="00A81F9F">
        <w:rPr>
          <w:rStyle w:val="af5"/>
          <w:rFonts w:eastAsia="Calibri"/>
          <w:sz w:val="30"/>
        </w:rPr>
        <w:t>0,9</w:t>
      </w:r>
      <w:r w:rsidRPr="00A81F9F">
        <w:t xml:space="preserve">, ВВП к </w:t>
      </w:r>
      <w:r w:rsidR="00D75BF1">
        <w:t>ИОК</w:t>
      </w:r>
      <w:r w:rsidRPr="00A81F9F">
        <w:t xml:space="preserve"> – </w:t>
      </w:r>
      <w:r w:rsidRPr="00A81F9F">
        <w:rPr>
          <w:rStyle w:val="af5"/>
          <w:rFonts w:eastAsia="Calibri"/>
          <w:sz w:val="30"/>
        </w:rPr>
        <w:t>0,6</w:t>
      </w:r>
      <w:r>
        <w:rPr>
          <w:rStyle w:val="af5"/>
          <w:rFonts w:eastAsia="Calibri"/>
          <w:sz w:val="30"/>
        </w:rPr>
        <w:t xml:space="preserve"> (0,5)</w:t>
      </w:r>
      <w:r w:rsidRPr="00A81F9F">
        <w:t xml:space="preserve">. </w:t>
      </w:r>
    </w:p>
    <w:p w:rsidR="009A37A2" w:rsidRDefault="009A37A2" w:rsidP="003D01E2">
      <w:pPr>
        <w:ind w:firstLine="709"/>
        <w:jc w:val="both"/>
      </w:pPr>
    </w:p>
    <w:p w:rsidR="005E5A32" w:rsidRDefault="005E5A32" w:rsidP="00280732">
      <w:pPr>
        <w:jc w:val="both"/>
        <w:rPr>
          <w:b/>
          <w:sz w:val="36"/>
        </w:rPr>
      </w:pPr>
    </w:p>
    <w:p w:rsidR="009A37A2" w:rsidRPr="00BD7131" w:rsidRDefault="00A721EA" w:rsidP="005304F6">
      <w:pPr>
        <w:pStyle w:val="3"/>
      </w:pPr>
      <w:bookmarkStart w:id="49" w:name="_Toc370759780"/>
      <w:bookmarkStart w:id="50" w:name="_Toc374557787"/>
      <w:r w:rsidRPr="00BD7131">
        <w:t>2.</w:t>
      </w:r>
      <w:r w:rsidR="00BD7131" w:rsidRPr="00BD7131">
        <w:t>7</w:t>
      </w:r>
      <w:r w:rsidRPr="00BD7131">
        <w:t>. Обоснование прогноза электропотребления в России на среднесрочную перспективу до 2022 г.</w:t>
      </w:r>
      <w:bookmarkEnd w:id="49"/>
      <w:bookmarkEnd w:id="50"/>
    </w:p>
    <w:p w:rsidR="00D9021D" w:rsidRPr="00B9470D" w:rsidRDefault="00D9021D" w:rsidP="003D01E2">
      <w:pPr>
        <w:ind w:firstLine="709"/>
        <w:jc w:val="both"/>
        <w:rPr>
          <w:b/>
          <w:sz w:val="18"/>
        </w:rPr>
      </w:pPr>
    </w:p>
    <w:p w:rsidR="005E5A32" w:rsidRDefault="005E5A32" w:rsidP="005E5A32">
      <w:pPr>
        <w:ind w:firstLine="720"/>
        <w:jc w:val="both"/>
      </w:pPr>
      <w:r>
        <w:t xml:space="preserve">Ниже </w:t>
      </w:r>
      <w:r w:rsidR="00316771">
        <w:t>будет рассмотрено</w:t>
      </w:r>
      <w:r>
        <w:t xml:space="preserve"> два сценария развития экономики страны на среднесрочную перспективу: оптимистичный и пессимистичный</w:t>
      </w:r>
      <w:r w:rsidR="00316771">
        <w:t>. Они</w:t>
      </w:r>
      <w:r>
        <w:t xml:space="preserve"> </w:t>
      </w:r>
      <w:r w:rsidR="00316771">
        <w:t>станут</w:t>
      </w:r>
      <w:r>
        <w:t xml:space="preserve"> осно</w:t>
      </w:r>
      <w:r w:rsidR="00316771">
        <w:t>вой</w:t>
      </w:r>
      <w:r>
        <w:t xml:space="preserve"> прогноза электропотребления</w:t>
      </w:r>
      <w:r w:rsidR="00316771">
        <w:t xml:space="preserve"> в стране</w:t>
      </w:r>
      <w:r>
        <w:t xml:space="preserve"> до 20</w:t>
      </w:r>
      <w:r w:rsidR="00621303">
        <w:t>19</w:t>
      </w:r>
      <w:r>
        <w:t>-202</w:t>
      </w:r>
      <w:r w:rsidR="00621303">
        <w:t>0</w:t>
      </w:r>
      <w:r>
        <w:t xml:space="preserve">гг. </w:t>
      </w:r>
    </w:p>
    <w:p w:rsidR="005E5A32" w:rsidRDefault="005E5A32" w:rsidP="005E5A32">
      <w:pPr>
        <w:ind w:firstLine="720"/>
        <w:jc w:val="both"/>
      </w:pPr>
      <w:r w:rsidRPr="00461C09">
        <w:rPr>
          <w:u w:val="single"/>
        </w:rPr>
        <w:t>Оптимистичный</w:t>
      </w:r>
      <w:r>
        <w:t xml:space="preserve"> сценарий – среднегодовой темп роста </w:t>
      </w:r>
      <w:r w:rsidR="004274DC">
        <w:t xml:space="preserve">ИОК – +5%, </w:t>
      </w:r>
      <w:r>
        <w:t>ВВП – +3%</w:t>
      </w:r>
      <w:r w:rsidR="004274DC">
        <w:t>, а электропотребления 3%*0,33=+1%</w:t>
      </w:r>
      <w:r>
        <w:t xml:space="preserve">. </w:t>
      </w:r>
    </w:p>
    <w:p w:rsidR="00984396" w:rsidRDefault="005E5A32" w:rsidP="004274DC">
      <w:pPr>
        <w:ind w:firstLine="720"/>
        <w:jc w:val="both"/>
      </w:pPr>
      <w:r w:rsidRPr="00461C09">
        <w:rPr>
          <w:u w:val="single"/>
        </w:rPr>
        <w:t>Пессимистичный</w:t>
      </w:r>
      <w:r>
        <w:t xml:space="preserve"> сценарий – среднегодовой темп </w:t>
      </w:r>
      <w:r w:rsidR="004274DC">
        <w:t>роста ИОК - -1%,</w:t>
      </w:r>
      <w:r>
        <w:t xml:space="preserve"> </w:t>
      </w:r>
    </w:p>
    <w:p w:rsidR="003D01E2" w:rsidRDefault="005E5A32" w:rsidP="00B11266">
      <w:pPr>
        <w:jc w:val="both"/>
      </w:pPr>
      <w:r>
        <w:t>ВВП –</w:t>
      </w:r>
      <w:r w:rsidR="00984396">
        <w:t xml:space="preserve"> -0,6%</w:t>
      </w:r>
      <w:r>
        <w:t xml:space="preserve"> электропотребления </w:t>
      </w:r>
      <w:r w:rsidR="00984396">
        <w:t xml:space="preserve"> - </w:t>
      </w:r>
      <w:r>
        <w:t xml:space="preserve">-0,6*0,5= -0,3%. </w:t>
      </w:r>
    </w:p>
    <w:p w:rsidR="00800386" w:rsidRDefault="00800386" w:rsidP="003D01E2">
      <w:pPr>
        <w:ind w:firstLine="709"/>
        <w:jc w:val="both"/>
      </w:pPr>
      <w:r>
        <w:t>На рис.</w:t>
      </w:r>
      <w:r w:rsidR="00430442">
        <w:t xml:space="preserve"> </w:t>
      </w:r>
      <w:r w:rsidR="00CC7B30">
        <w:t>23</w:t>
      </w:r>
      <w:r w:rsidR="00430442">
        <w:t xml:space="preserve"> </w:t>
      </w:r>
      <w:r>
        <w:t xml:space="preserve"> </w:t>
      </w:r>
      <w:r w:rsidR="00430442">
        <w:t>показана динамика ИОК, ВВП и электропотребления в России в период 1990-2012 гг., отнесенные к их значениям в 1998 г. Там же представлен их прогноз до 2019 г. по оптимистическому и пессимистическому сценариям.</w:t>
      </w:r>
    </w:p>
    <w:p w:rsidR="00B9470D" w:rsidRDefault="00B9470D" w:rsidP="003D01E2">
      <w:pPr>
        <w:ind w:firstLine="709"/>
        <w:jc w:val="both"/>
      </w:pPr>
    </w:p>
    <w:p w:rsidR="003D01E2" w:rsidRDefault="007C1ADE" w:rsidP="00B9470D">
      <w:pPr>
        <w:ind w:hanging="284"/>
        <w:jc w:val="center"/>
      </w:pPr>
      <w:r>
        <w:rPr>
          <w:noProof/>
        </w:rPr>
        <w:drawing>
          <wp:inline distT="0" distB="0" distL="0" distR="0">
            <wp:extent cx="5972175" cy="6010275"/>
            <wp:effectExtent l="19050" t="0" r="9525" b="0"/>
            <wp:docPr id="73"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l="14973" t="25977" r="34489" b="10352"/>
                    <a:stretch>
                      <a:fillRect/>
                    </a:stretch>
                  </pic:blipFill>
                  <pic:spPr bwMode="auto">
                    <a:xfrm>
                      <a:off x="0" y="0"/>
                      <a:ext cx="5972175" cy="6010275"/>
                    </a:xfrm>
                    <a:prstGeom prst="rect">
                      <a:avLst/>
                    </a:prstGeom>
                    <a:noFill/>
                    <a:ln w="9525">
                      <a:noFill/>
                      <a:miter lim="800000"/>
                      <a:headEnd/>
                      <a:tailEnd/>
                    </a:ln>
                  </pic:spPr>
                </pic:pic>
              </a:graphicData>
            </a:graphic>
          </wp:inline>
        </w:drawing>
      </w:r>
    </w:p>
    <w:p w:rsidR="003D01E2" w:rsidRDefault="003D01E2" w:rsidP="00A47E4E">
      <w:pPr>
        <w:ind w:firstLine="709"/>
        <w:jc w:val="both"/>
      </w:pPr>
    </w:p>
    <w:p w:rsidR="00922A00" w:rsidRPr="00A81F9F" w:rsidRDefault="00922A00" w:rsidP="00922A00">
      <w:pPr>
        <w:ind w:firstLine="709"/>
        <w:jc w:val="center"/>
      </w:pPr>
      <w:r w:rsidRPr="00A81F9F">
        <w:t xml:space="preserve">Рис. </w:t>
      </w:r>
      <w:r w:rsidR="00441E1B">
        <w:t>2</w:t>
      </w:r>
      <w:r w:rsidR="00CC7B30">
        <w:t>3</w:t>
      </w:r>
      <w:r w:rsidR="00800386">
        <w:t xml:space="preserve">. ИОК, </w:t>
      </w:r>
      <w:r w:rsidRPr="00A81F9F">
        <w:t xml:space="preserve">ВВП </w:t>
      </w:r>
      <w:r w:rsidR="00800386">
        <w:t xml:space="preserve">и электропотребление </w:t>
      </w:r>
      <w:r w:rsidRPr="00A81F9F">
        <w:t>России в период 1990-201</w:t>
      </w:r>
      <w:r w:rsidR="00800386">
        <w:t>3</w:t>
      </w:r>
      <w:r w:rsidR="00415758">
        <w:t>гг</w:t>
      </w:r>
      <w:r w:rsidRPr="00A81F9F">
        <w:t xml:space="preserve">, отнесенные к </w:t>
      </w:r>
      <w:smartTag w:uri="urn:schemas-microsoft-com:office:smarttags" w:element="metricconverter">
        <w:smartTagPr>
          <w:attr w:name="ProductID" w:val="1998 г"/>
        </w:smartTagPr>
        <w:r w:rsidRPr="00A81F9F">
          <w:t>1998 г</w:t>
        </w:r>
      </w:smartTag>
      <w:r w:rsidRPr="00A81F9F">
        <w:t>.</w:t>
      </w:r>
      <w:r w:rsidR="00800386">
        <w:t xml:space="preserve"> с прогнозом </w:t>
      </w:r>
      <w:r w:rsidR="00430442">
        <w:t>до 2019 г. по оптимистическому и пессимистическому сценариям</w:t>
      </w:r>
      <w:r w:rsidR="00415758">
        <w:t xml:space="preserve">. </w:t>
      </w:r>
    </w:p>
    <w:p w:rsidR="003D01E2" w:rsidRPr="00A81F9F" w:rsidRDefault="003D01E2" w:rsidP="00A47E4E">
      <w:pPr>
        <w:ind w:firstLine="709"/>
        <w:jc w:val="both"/>
      </w:pPr>
    </w:p>
    <w:p w:rsidR="00A47E4E" w:rsidRDefault="007A7715" w:rsidP="00415758">
      <w:pPr>
        <w:ind w:firstLine="851"/>
        <w:jc w:val="both"/>
      </w:pPr>
      <w:r>
        <w:t>Видно, что прогноз электропотребления в России вырастет по отношению к 1998 г. по оптимистическому сценарию в 1,38 раз, а по пессимистическому – в 1,28 раз.</w:t>
      </w:r>
    </w:p>
    <w:p w:rsidR="00CB500E" w:rsidRDefault="00CB500E" w:rsidP="00CB500E">
      <w:pPr>
        <w:ind w:firstLine="709"/>
        <w:jc w:val="both"/>
      </w:pPr>
      <w:r w:rsidRPr="005C0387">
        <w:t>Сопос</w:t>
      </w:r>
      <w:r>
        <w:t xml:space="preserve">тавление </w:t>
      </w:r>
      <w:r w:rsidRPr="005C0387">
        <w:t>прогнозов</w:t>
      </w:r>
      <w:r>
        <w:t xml:space="preserve"> электропотребления </w:t>
      </w:r>
      <w:r w:rsidR="006653B2">
        <w:t>в стране по Минэнерго-2011, 2012 и 2013 г.</w:t>
      </w:r>
      <w:r>
        <w:t xml:space="preserve"> и СПЭ</w:t>
      </w:r>
      <w:r w:rsidR="006653B2">
        <w:t>- 2013 г.</w:t>
      </w:r>
      <w:r>
        <w:t xml:space="preserve"> представлен</w:t>
      </w:r>
      <w:r w:rsidR="006653B2">
        <w:t>ы</w:t>
      </w:r>
      <w:r>
        <w:t xml:space="preserve"> на рис. 2</w:t>
      </w:r>
      <w:r w:rsidR="00CC7B30">
        <w:t>4</w:t>
      </w:r>
      <w:r>
        <w:t xml:space="preserve"> (принимается, что темп роста электропотребления во всей России соответствует темпу роста в ЕЭС).</w:t>
      </w:r>
    </w:p>
    <w:p w:rsidR="00CB500E" w:rsidRDefault="00CB500E" w:rsidP="00CB500E">
      <w:pPr>
        <w:ind w:firstLine="709"/>
        <w:jc w:val="both"/>
      </w:pPr>
    </w:p>
    <w:p w:rsidR="00CB500E" w:rsidRDefault="007C1ADE" w:rsidP="00CB500E">
      <w:pPr>
        <w:ind w:hanging="567"/>
        <w:jc w:val="center"/>
      </w:pPr>
      <w:r>
        <w:rPr>
          <w:noProof/>
        </w:rPr>
        <w:drawing>
          <wp:inline distT="0" distB="0" distL="0" distR="0">
            <wp:extent cx="6096000" cy="2990850"/>
            <wp:effectExtent l="19050" t="0" r="0" b="0"/>
            <wp:docPr id="7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6096000" cy="2990850"/>
                    </a:xfrm>
                    <a:prstGeom prst="rect">
                      <a:avLst/>
                    </a:prstGeom>
                    <a:noFill/>
                    <a:ln w="9525">
                      <a:noFill/>
                      <a:miter lim="800000"/>
                      <a:headEnd/>
                      <a:tailEnd/>
                    </a:ln>
                  </pic:spPr>
                </pic:pic>
              </a:graphicData>
            </a:graphic>
          </wp:inline>
        </w:drawing>
      </w:r>
    </w:p>
    <w:p w:rsidR="00667512" w:rsidRDefault="00CB500E" w:rsidP="00415758">
      <w:pPr>
        <w:jc w:val="both"/>
      </w:pPr>
      <w:r>
        <w:t>Рис.2</w:t>
      </w:r>
      <w:r w:rsidR="00CC7B30">
        <w:t>4</w:t>
      </w:r>
      <w:r>
        <w:t xml:space="preserve">. Прогнозы внутреннего электропотребления в РФ в млрд. кВтч. </w:t>
      </w:r>
    </w:p>
    <w:p w:rsidR="00415758" w:rsidRDefault="00667512" w:rsidP="00415758">
      <w:pPr>
        <w:jc w:val="both"/>
      </w:pPr>
      <w:r>
        <w:t xml:space="preserve">а) по Минэнерго 2011 г., </w:t>
      </w:r>
      <w:r w:rsidR="008B3108">
        <w:t>2012</w:t>
      </w:r>
      <w:r w:rsidR="00CB500E">
        <w:t xml:space="preserve"> г. и СПЭ 2012 г.</w:t>
      </w:r>
      <w:r>
        <w:t>;</w:t>
      </w:r>
    </w:p>
    <w:p w:rsidR="00CB500E" w:rsidRPr="000F1ED4" w:rsidRDefault="00667512" w:rsidP="00415758">
      <w:pPr>
        <w:jc w:val="both"/>
      </w:pPr>
      <w:r>
        <w:t>б) по Минэнерго 2013 г.  и СПЭ 2013 г.;</w:t>
      </w:r>
    </w:p>
    <w:p w:rsidR="00441E1B" w:rsidRDefault="00441E1B" w:rsidP="00415758">
      <w:pPr>
        <w:jc w:val="both"/>
      </w:pPr>
    </w:p>
    <w:p w:rsidR="00441E1B" w:rsidRDefault="00A3311A" w:rsidP="00CB500E">
      <w:pPr>
        <w:ind w:firstLine="709"/>
        <w:jc w:val="both"/>
      </w:pPr>
      <w:r>
        <w:t>Из рис. 2</w:t>
      </w:r>
      <w:r w:rsidR="00CC7B30">
        <w:t>4</w:t>
      </w:r>
      <w:r>
        <w:t xml:space="preserve"> видно, что разница между прогнозами Минэнерго-2012 и</w:t>
      </w:r>
      <w:r w:rsidR="002375F0">
        <w:t xml:space="preserve"> </w:t>
      </w:r>
      <w:r>
        <w:t xml:space="preserve"> СПЭ-2012</w:t>
      </w:r>
      <w:r w:rsidR="002375F0">
        <w:t xml:space="preserve"> (оптимистичный сценарий)</w:t>
      </w:r>
      <w:r>
        <w:t xml:space="preserve"> составляет 72,7 млрд. кВтч. на конец периода в 2018 г., а между прогнозами Минэнерго-2013 и СПЭ-2013 </w:t>
      </w:r>
      <w:r w:rsidR="002375F0">
        <w:t xml:space="preserve">(оптимистичный сценарий) </w:t>
      </w:r>
      <w:r>
        <w:t>равняется 66,8 млрд. кВтч. на конец периода 2019 г.</w:t>
      </w:r>
    </w:p>
    <w:p w:rsidR="00B11266" w:rsidRDefault="00B11266" w:rsidP="00B11266">
      <w:pPr>
        <w:ind w:firstLine="709"/>
        <w:jc w:val="both"/>
      </w:pPr>
    </w:p>
    <w:p w:rsidR="00B11266" w:rsidRPr="00A81F9F" w:rsidRDefault="00B11266" w:rsidP="00B11266">
      <w:pPr>
        <w:ind w:firstLine="709"/>
        <w:jc w:val="both"/>
        <w:rPr>
          <w:rStyle w:val="af5"/>
          <w:rFonts w:eastAsia="Calibri" w:cs="Times New Roman"/>
          <w:b w:val="0"/>
          <w:bCs w:val="0"/>
          <w:sz w:val="24"/>
          <w:szCs w:val="24"/>
        </w:rPr>
      </w:pPr>
      <w:r w:rsidRPr="00A81F9F">
        <w:t>На основании полученных среднегодовых темпов роста электропотребления</w:t>
      </w:r>
      <w:r>
        <w:t xml:space="preserve"> (по оптимистичному сценарию)</w:t>
      </w:r>
      <w:r w:rsidRPr="00A81F9F">
        <w:t>, предлагается корректировка основных показателей Схемы и прогр</w:t>
      </w:r>
      <w:r>
        <w:t>аммы развития ЕЭС России на 2013 – 2019</w:t>
      </w:r>
      <w:r w:rsidRPr="00A81F9F">
        <w:t xml:space="preserve"> гг. Корректировку аналогичных показателей по отдельным объединенным энергосистемам (ОЭС) легко выполнить, используя предложенную методологию. </w:t>
      </w:r>
    </w:p>
    <w:p w:rsidR="009478DB" w:rsidRPr="00BD7131" w:rsidRDefault="00A70029" w:rsidP="005304F6">
      <w:pPr>
        <w:pStyle w:val="3"/>
        <w:rPr>
          <w:shd w:val="clear" w:color="auto" w:fill="FFFFFF"/>
        </w:rPr>
      </w:pPr>
      <w:bookmarkStart w:id="51" w:name="_Toc344496540"/>
      <w:bookmarkEnd w:id="38"/>
      <w:bookmarkEnd w:id="39"/>
      <w:r>
        <w:rPr>
          <w:i/>
          <w:shd w:val="clear" w:color="auto" w:fill="FFFFFF"/>
        </w:rPr>
        <w:br w:type="page"/>
      </w:r>
      <w:bookmarkStart w:id="52" w:name="_Toc370759781"/>
      <w:bookmarkStart w:id="53" w:name="_Toc374557788"/>
      <w:r w:rsidR="009478DB" w:rsidRPr="00BD7131">
        <w:rPr>
          <w:shd w:val="clear" w:color="auto" w:fill="FFFFFF"/>
        </w:rPr>
        <w:t>2.</w:t>
      </w:r>
      <w:r w:rsidR="00BD7131" w:rsidRPr="00BD7131">
        <w:rPr>
          <w:shd w:val="clear" w:color="auto" w:fill="FFFFFF"/>
        </w:rPr>
        <w:t>8</w:t>
      </w:r>
      <w:r w:rsidR="009478DB" w:rsidRPr="00BD7131">
        <w:rPr>
          <w:shd w:val="clear" w:color="auto" w:fill="FFFFFF"/>
        </w:rPr>
        <w:t xml:space="preserve">. Прогноз роста электропотребления в </w:t>
      </w:r>
      <w:r w:rsidR="00C1112C" w:rsidRPr="00BD7131">
        <w:rPr>
          <w:shd w:val="clear" w:color="auto" w:fill="FFFFFF"/>
        </w:rPr>
        <w:t xml:space="preserve">ЕЭС </w:t>
      </w:r>
      <w:r w:rsidR="009478DB" w:rsidRPr="00BD7131">
        <w:rPr>
          <w:shd w:val="clear" w:color="auto" w:fill="FFFFFF"/>
        </w:rPr>
        <w:t xml:space="preserve">России </w:t>
      </w:r>
      <w:r w:rsidR="00C1112C" w:rsidRPr="00BD7131">
        <w:rPr>
          <w:shd w:val="clear" w:color="auto" w:fill="FFFFFF"/>
        </w:rPr>
        <w:t xml:space="preserve">на 2011-2019 </w:t>
      </w:r>
      <w:r w:rsidR="009478DB" w:rsidRPr="00BD7131">
        <w:rPr>
          <w:shd w:val="clear" w:color="auto" w:fill="FFFFFF"/>
        </w:rPr>
        <w:t>гг</w:t>
      </w:r>
      <w:r w:rsidR="00C1112C" w:rsidRPr="00BD7131">
        <w:rPr>
          <w:shd w:val="clear" w:color="auto" w:fill="FFFFFF"/>
        </w:rPr>
        <w:t>. по материалам Программы Минэнерго 2011, 2012, 2013 г.</w:t>
      </w:r>
      <w:bookmarkEnd w:id="51"/>
      <w:bookmarkEnd w:id="52"/>
      <w:bookmarkEnd w:id="53"/>
      <w:r w:rsidR="00C1112C" w:rsidRPr="00BD7131">
        <w:rPr>
          <w:shd w:val="clear" w:color="auto" w:fill="FFFFFF"/>
        </w:rPr>
        <w:t xml:space="preserve"> </w:t>
      </w:r>
    </w:p>
    <w:p w:rsidR="006F7513" w:rsidRDefault="006F7513" w:rsidP="00EE1A61">
      <w:pPr>
        <w:ind w:firstLine="709"/>
        <w:jc w:val="both"/>
      </w:pPr>
    </w:p>
    <w:p w:rsidR="009478DB" w:rsidRDefault="00A70029" w:rsidP="00EE1A61">
      <w:pPr>
        <w:ind w:firstLine="709"/>
        <w:jc w:val="both"/>
      </w:pPr>
      <w:r>
        <w:t>Прогнозы электропотребления в млрд. кВтч в ЕЭС России  в соответствие с Программой Минэнерго 2011, 2012, 2013 г. даны в</w:t>
      </w:r>
      <w:r w:rsidR="00C1112C" w:rsidRPr="00C1112C">
        <w:t xml:space="preserve"> та</w:t>
      </w:r>
      <w:r w:rsidR="00C1112C">
        <w:t xml:space="preserve">блице </w:t>
      </w:r>
      <w:r w:rsidR="00DF4DFB">
        <w:t>1, 2, 3</w:t>
      </w:r>
      <w:r>
        <w:t>.</w:t>
      </w:r>
      <w:r w:rsidR="00C1112C">
        <w:t xml:space="preserve"> </w:t>
      </w:r>
    </w:p>
    <w:p w:rsidR="00A70029" w:rsidRPr="00C1112C" w:rsidRDefault="00A70029" w:rsidP="00EE1A61">
      <w:pPr>
        <w:ind w:firstLine="709"/>
        <w:jc w:val="both"/>
      </w:pPr>
    </w:p>
    <w:p w:rsidR="00AA1AE9" w:rsidRDefault="002914B2" w:rsidP="00AA1AE9">
      <w:pPr>
        <w:ind w:firstLine="900"/>
        <w:jc w:val="right"/>
      </w:pPr>
      <w:r>
        <w:t xml:space="preserve">Таблица </w:t>
      </w:r>
      <w:r w:rsidR="00AA1AE9">
        <w:t>1.</w:t>
      </w:r>
    </w:p>
    <w:p w:rsidR="00AA1AE9" w:rsidRDefault="00AA1AE9" w:rsidP="00AA1AE9">
      <w:pPr>
        <w:ind w:firstLine="540"/>
        <w:jc w:val="center"/>
      </w:pPr>
      <w:r>
        <w:t>Прогноз электропотребления (млрд.кВт.ч) на 2011-2017 годы (Минэнерго 2011г.)</w:t>
      </w:r>
    </w:p>
    <w:p w:rsidR="00AA1AE9" w:rsidRDefault="00AA1AE9" w:rsidP="00AA1AE9">
      <w:pPr>
        <w:ind w:firstLine="540"/>
        <w:jc w:val="center"/>
      </w:pPr>
    </w:p>
    <w:tbl>
      <w:tblPr>
        <w:tblW w:w="5079" w:type="pct"/>
        <w:jc w:val="center"/>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8"/>
        <w:gridCol w:w="748"/>
        <w:gridCol w:w="882"/>
        <w:gridCol w:w="748"/>
        <w:gridCol w:w="817"/>
        <w:gridCol w:w="817"/>
        <w:gridCol w:w="801"/>
        <w:gridCol w:w="801"/>
        <w:gridCol w:w="801"/>
        <w:gridCol w:w="801"/>
        <w:gridCol w:w="801"/>
        <w:gridCol w:w="882"/>
      </w:tblGrid>
      <w:tr w:rsidR="00AA1AE9" w:rsidRPr="00A81F9F" w:rsidTr="00A86774">
        <w:trPr>
          <w:trHeight w:val="1065"/>
          <w:jc w:val="center"/>
        </w:trPr>
        <w:tc>
          <w:tcPr>
            <w:tcW w:w="545" w:type="pct"/>
            <w:vMerge w:val="restart"/>
            <w:noWrap/>
            <w:vAlign w:val="bottom"/>
          </w:tcPr>
          <w:p w:rsidR="00AA1AE9" w:rsidRPr="00A81F9F" w:rsidRDefault="00AA1AE9" w:rsidP="00F938F5">
            <w:pPr>
              <w:ind w:firstLine="709"/>
              <w:rPr>
                <w:b/>
                <w:bCs/>
                <w:sz w:val="18"/>
                <w:szCs w:val="18"/>
              </w:rPr>
            </w:pPr>
            <w:r w:rsidRPr="00A81F9F">
              <w:rPr>
                <w:b/>
                <w:bCs/>
                <w:sz w:val="18"/>
                <w:szCs w:val="18"/>
              </w:rPr>
              <w:t> </w:t>
            </w:r>
          </w:p>
        </w:tc>
        <w:tc>
          <w:tcPr>
            <w:tcW w:w="374" w:type="pct"/>
            <w:noWrap/>
            <w:vAlign w:val="center"/>
          </w:tcPr>
          <w:p w:rsidR="00AA1AE9" w:rsidRPr="00A81F9F" w:rsidRDefault="00AA1AE9" w:rsidP="00F938F5">
            <w:pPr>
              <w:rPr>
                <w:b/>
                <w:bCs/>
                <w:sz w:val="18"/>
                <w:szCs w:val="18"/>
              </w:rPr>
            </w:pPr>
            <w:r w:rsidRPr="00A81F9F">
              <w:rPr>
                <w:b/>
                <w:bCs/>
                <w:sz w:val="18"/>
                <w:szCs w:val="18"/>
              </w:rPr>
              <w:t>Факт</w:t>
            </w:r>
          </w:p>
        </w:tc>
        <w:tc>
          <w:tcPr>
            <w:tcW w:w="442" w:type="pct"/>
            <w:vMerge w:val="restart"/>
            <w:vAlign w:val="center"/>
          </w:tcPr>
          <w:p w:rsidR="00AA1AE9" w:rsidRPr="00A81F9F" w:rsidRDefault="00AA1AE9" w:rsidP="00F938F5">
            <w:pPr>
              <w:ind w:firstLine="709"/>
              <w:jc w:val="center"/>
              <w:rPr>
                <w:b/>
                <w:bCs/>
                <w:sz w:val="18"/>
                <w:szCs w:val="18"/>
              </w:rPr>
            </w:pPr>
          </w:p>
          <w:p w:rsidR="00AA1AE9" w:rsidRPr="00A81F9F" w:rsidRDefault="00AA1AE9" w:rsidP="00F938F5">
            <w:pPr>
              <w:rPr>
                <w:b/>
                <w:bCs/>
                <w:sz w:val="18"/>
                <w:szCs w:val="18"/>
              </w:rPr>
            </w:pPr>
            <w:r w:rsidRPr="00A81F9F">
              <w:rPr>
                <w:b/>
                <w:bCs/>
                <w:sz w:val="18"/>
                <w:szCs w:val="18"/>
              </w:rPr>
              <w:t>Ср.год. прирост за 200</w:t>
            </w:r>
            <w:r>
              <w:rPr>
                <w:b/>
                <w:bCs/>
                <w:sz w:val="18"/>
                <w:szCs w:val="18"/>
              </w:rPr>
              <w:t>7</w:t>
            </w:r>
            <w:r w:rsidRPr="00A81F9F">
              <w:rPr>
                <w:b/>
                <w:bCs/>
                <w:sz w:val="18"/>
                <w:szCs w:val="18"/>
              </w:rPr>
              <w:t xml:space="preserve"> - 20</w:t>
            </w:r>
            <w:r>
              <w:rPr>
                <w:b/>
                <w:bCs/>
                <w:sz w:val="18"/>
                <w:szCs w:val="18"/>
              </w:rPr>
              <w:t>09</w:t>
            </w:r>
            <w:r w:rsidRPr="00A81F9F">
              <w:rPr>
                <w:b/>
                <w:bCs/>
                <w:sz w:val="18"/>
                <w:szCs w:val="18"/>
              </w:rPr>
              <w:t xml:space="preserve"> годы., %</w:t>
            </w:r>
          </w:p>
        </w:tc>
        <w:tc>
          <w:tcPr>
            <w:tcW w:w="374" w:type="pct"/>
            <w:noWrap/>
            <w:vAlign w:val="center"/>
          </w:tcPr>
          <w:p w:rsidR="00AA1AE9" w:rsidRPr="00A81F9F" w:rsidRDefault="00AA1AE9" w:rsidP="00F938F5">
            <w:pPr>
              <w:rPr>
                <w:b/>
                <w:bCs/>
                <w:sz w:val="18"/>
                <w:szCs w:val="18"/>
              </w:rPr>
            </w:pPr>
            <w:r w:rsidRPr="00A81F9F">
              <w:rPr>
                <w:b/>
                <w:bCs/>
                <w:sz w:val="18"/>
                <w:szCs w:val="18"/>
              </w:rPr>
              <w:t>Факт</w:t>
            </w:r>
          </w:p>
        </w:tc>
        <w:tc>
          <w:tcPr>
            <w:tcW w:w="2823" w:type="pct"/>
            <w:gridSpan w:val="7"/>
            <w:noWrap/>
            <w:vAlign w:val="center"/>
          </w:tcPr>
          <w:p w:rsidR="00AA1AE9" w:rsidRPr="00A81F9F" w:rsidRDefault="00AA1AE9" w:rsidP="00F938F5">
            <w:pPr>
              <w:jc w:val="center"/>
              <w:rPr>
                <w:b/>
                <w:bCs/>
                <w:sz w:val="18"/>
                <w:szCs w:val="18"/>
              </w:rPr>
            </w:pPr>
            <w:r w:rsidRPr="00A81F9F">
              <w:rPr>
                <w:b/>
                <w:bCs/>
                <w:sz w:val="18"/>
                <w:szCs w:val="18"/>
              </w:rPr>
              <w:t>Прогноз</w:t>
            </w:r>
          </w:p>
        </w:tc>
        <w:tc>
          <w:tcPr>
            <w:tcW w:w="442" w:type="pct"/>
            <w:vMerge w:val="restart"/>
            <w:vAlign w:val="center"/>
          </w:tcPr>
          <w:p w:rsidR="00AA1AE9" w:rsidRPr="00A81F9F" w:rsidRDefault="00AA1AE9" w:rsidP="00F938F5">
            <w:pPr>
              <w:rPr>
                <w:b/>
                <w:bCs/>
                <w:sz w:val="18"/>
                <w:szCs w:val="18"/>
              </w:rPr>
            </w:pPr>
            <w:r w:rsidRPr="00A81F9F">
              <w:rPr>
                <w:b/>
                <w:bCs/>
                <w:sz w:val="18"/>
                <w:szCs w:val="18"/>
              </w:rPr>
              <w:t>Ср.год. прирост за 2012 - 2018 годы., %</w:t>
            </w:r>
          </w:p>
        </w:tc>
      </w:tr>
      <w:tr w:rsidR="00AA1AE9" w:rsidRPr="00A81F9F" w:rsidTr="00A86774">
        <w:trPr>
          <w:trHeight w:val="555"/>
          <w:jc w:val="center"/>
        </w:trPr>
        <w:tc>
          <w:tcPr>
            <w:tcW w:w="545" w:type="pct"/>
            <w:vMerge/>
            <w:vAlign w:val="center"/>
          </w:tcPr>
          <w:p w:rsidR="00AA1AE9" w:rsidRPr="00A81F9F" w:rsidRDefault="00AA1AE9" w:rsidP="00F938F5">
            <w:pPr>
              <w:ind w:firstLine="709"/>
              <w:rPr>
                <w:b/>
                <w:bCs/>
                <w:sz w:val="18"/>
                <w:szCs w:val="18"/>
              </w:rPr>
            </w:pPr>
          </w:p>
        </w:tc>
        <w:tc>
          <w:tcPr>
            <w:tcW w:w="374" w:type="pct"/>
            <w:noWrap/>
            <w:vAlign w:val="center"/>
          </w:tcPr>
          <w:p w:rsidR="00AA1AE9" w:rsidRPr="00A81F9F" w:rsidRDefault="00AA1AE9" w:rsidP="00F938F5">
            <w:pPr>
              <w:rPr>
                <w:b/>
                <w:bCs/>
                <w:sz w:val="18"/>
                <w:szCs w:val="18"/>
              </w:rPr>
            </w:pPr>
            <w:smartTag w:uri="urn:schemas-microsoft-com:office:smarttags" w:element="metricconverter">
              <w:smartTagPr>
                <w:attr w:name="ProductID" w:val="2009 г"/>
              </w:smartTagPr>
              <w:r>
                <w:rPr>
                  <w:b/>
                  <w:bCs/>
                  <w:sz w:val="18"/>
                  <w:szCs w:val="18"/>
                </w:rPr>
                <w:t xml:space="preserve">2009 </w:t>
              </w:r>
              <w:r w:rsidRPr="00A81F9F">
                <w:rPr>
                  <w:b/>
                  <w:bCs/>
                  <w:sz w:val="18"/>
                  <w:szCs w:val="18"/>
                </w:rPr>
                <w:t>г</w:t>
              </w:r>
            </w:smartTag>
            <w:r w:rsidRPr="00A81F9F">
              <w:rPr>
                <w:b/>
                <w:bCs/>
                <w:sz w:val="18"/>
                <w:szCs w:val="18"/>
              </w:rPr>
              <w:t>.</w:t>
            </w:r>
          </w:p>
        </w:tc>
        <w:tc>
          <w:tcPr>
            <w:tcW w:w="442" w:type="pct"/>
            <w:vMerge/>
            <w:vAlign w:val="center"/>
          </w:tcPr>
          <w:p w:rsidR="00AA1AE9" w:rsidRPr="00A81F9F" w:rsidRDefault="00AA1AE9" w:rsidP="00F938F5">
            <w:pPr>
              <w:ind w:firstLine="709"/>
              <w:rPr>
                <w:b/>
                <w:bCs/>
                <w:sz w:val="18"/>
                <w:szCs w:val="18"/>
              </w:rPr>
            </w:pPr>
          </w:p>
        </w:tc>
        <w:tc>
          <w:tcPr>
            <w:tcW w:w="374" w:type="pct"/>
            <w:noWrap/>
            <w:vAlign w:val="center"/>
          </w:tcPr>
          <w:p w:rsidR="00AA1AE9" w:rsidRPr="00A81F9F" w:rsidRDefault="00AA1AE9" w:rsidP="00F938F5">
            <w:pPr>
              <w:rPr>
                <w:b/>
                <w:bCs/>
                <w:sz w:val="18"/>
                <w:szCs w:val="18"/>
              </w:rPr>
            </w:pPr>
            <w:smartTag w:uri="urn:schemas-microsoft-com:office:smarttags" w:element="metricconverter">
              <w:smartTagPr>
                <w:attr w:name="ProductID" w:val="2010 г"/>
              </w:smartTagPr>
              <w:r w:rsidRPr="00A81F9F">
                <w:rPr>
                  <w:b/>
                  <w:bCs/>
                  <w:sz w:val="18"/>
                  <w:szCs w:val="18"/>
                </w:rPr>
                <w:t>20</w:t>
              </w:r>
              <w:r>
                <w:rPr>
                  <w:b/>
                  <w:bCs/>
                  <w:sz w:val="18"/>
                  <w:szCs w:val="18"/>
                </w:rPr>
                <w:t>10</w:t>
              </w:r>
              <w:r w:rsidRPr="00A81F9F">
                <w:rPr>
                  <w:b/>
                  <w:bCs/>
                  <w:sz w:val="18"/>
                  <w:szCs w:val="18"/>
                </w:rPr>
                <w:t xml:space="preserve"> г</w:t>
              </w:r>
            </w:smartTag>
            <w:r w:rsidRPr="00A81F9F">
              <w:rPr>
                <w:b/>
                <w:bCs/>
                <w:sz w:val="18"/>
                <w:szCs w:val="18"/>
              </w:rPr>
              <w:t>.</w:t>
            </w:r>
          </w:p>
        </w:tc>
        <w:tc>
          <w:tcPr>
            <w:tcW w:w="409" w:type="pct"/>
            <w:vAlign w:val="center"/>
          </w:tcPr>
          <w:p w:rsidR="00AA1AE9" w:rsidRPr="00A81F9F" w:rsidRDefault="00AA1AE9" w:rsidP="00F938F5">
            <w:pPr>
              <w:rPr>
                <w:b/>
                <w:bCs/>
                <w:sz w:val="18"/>
                <w:szCs w:val="18"/>
              </w:rPr>
            </w:pPr>
            <w:smartTag w:uri="urn:schemas-microsoft-com:office:smarttags" w:element="metricconverter">
              <w:smartTagPr>
                <w:attr w:name="ProductID" w:val="2011 г"/>
              </w:smartTagPr>
              <w:r w:rsidRPr="00A81F9F">
                <w:rPr>
                  <w:b/>
                  <w:bCs/>
                  <w:sz w:val="18"/>
                  <w:szCs w:val="18"/>
                </w:rPr>
                <w:t>201</w:t>
              </w:r>
              <w:r>
                <w:rPr>
                  <w:b/>
                  <w:bCs/>
                  <w:sz w:val="18"/>
                  <w:szCs w:val="18"/>
                </w:rPr>
                <w:t>1</w:t>
              </w:r>
              <w:r w:rsidRPr="00A81F9F">
                <w:rPr>
                  <w:b/>
                  <w:bCs/>
                  <w:sz w:val="18"/>
                  <w:szCs w:val="18"/>
                </w:rPr>
                <w:t xml:space="preserve"> г</w:t>
              </w:r>
            </w:smartTag>
            <w:r w:rsidRPr="00A81F9F">
              <w:rPr>
                <w:b/>
                <w:bCs/>
                <w:sz w:val="18"/>
                <w:szCs w:val="18"/>
              </w:rPr>
              <w:t>.</w:t>
            </w:r>
          </w:p>
        </w:tc>
        <w:tc>
          <w:tcPr>
            <w:tcW w:w="409" w:type="pct"/>
            <w:vAlign w:val="center"/>
          </w:tcPr>
          <w:p w:rsidR="00AA1AE9" w:rsidRPr="00A81F9F" w:rsidRDefault="00AA1AE9" w:rsidP="00F938F5">
            <w:pPr>
              <w:rPr>
                <w:b/>
                <w:bCs/>
                <w:sz w:val="18"/>
                <w:szCs w:val="18"/>
              </w:rPr>
            </w:pPr>
            <w:smartTag w:uri="urn:schemas-microsoft-com:office:smarttags" w:element="metricconverter">
              <w:smartTagPr>
                <w:attr w:name="ProductID" w:val="2012 г"/>
              </w:smartTagPr>
              <w:r w:rsidRPr="00A81F9F">
                <w:rPr>
                  <w:b/>
                  <w:bCs/>
                  <w:sz w:val="18"/>
                  <w:szCs w:val="18"/>
                </w:rPr>
                <w:t>201</w:t>
              </w:r>
              <w:r>
                <w:rPr>
                  <w:b/>
                  <w:bCs/>
                  <w:sz w:val="18"/>
                  <w:szCs w:val="18"/>
                </w:rPr>
                <w:t>2</w:t>
              </w:r>
              <w:r w:rsidRPr="00A81F9F">
                <w:rPr>
                  <w:b/>
                  <w:bCs/>
                  <w:sz w:val="18"/>
                  <w:szCs w:val="18"/>
                </w:rPr>
                <w:t xml:space="preserve"> г</w:t>
              </w:r>
            </w:smartTag>
            <w:r w:rsidRPr="00A81F9F">
              <w:rPr>
                <w:b/>
                <w:bCs/>
                <w:sz w:val="18"/>
                <w:szCs w:val="18"/>
              </w:rPr>
              <w:t>.</w:t>
            </w:r>
          </w:p>
        </w:tc>
        <w:tc>
          <w:tcPr>
            <w:tcW w:w="401" w:type="pct"/>
            <w:vAlign w:val="center"/>
          </w:tcPr>
          <w:p w:rsidR="00AA1AE9" w:rsidRPr="00A81F9F" w:rsidRDefault="00AA1AE9" w:rsidP="00F938F5">
            <w:pPr>
              <w:rPr>
                <w:b/>
                <w:bCs/>
                <w:sz w:val="18"/>
                <w:szCs w:val="18"/>
              </w:rPr>
            </w:pPr>
            <w:smartTag w:uri="urn:schemas-microsoft-com:office:smarttags" w:element="metricconverter">
              <w:smartTagPr>
                <w:attr w:name="ProductID" w:val="2013 г"/>
              </w:smartTagPr>
              <w:r w:rsidRPr="00A81F9F">
                <w:rPr>
                  <w:b/>
                  <w:bCs/>
                  <w:sz w:val="18"/>
                  <w:szCs w:val="18"/>
                </w:rPr>
                <w:t>201</w:t>
              </w:r>
              <w:r>
                <w:rPr>
                  <w:b/>
                  <w:bCs/>
                  <w:sz w:val="18"/>
                  <w:szCs w:val="18"/>
                </w:rPr>
                <w:t>3</w:t>
              </w:r>
              <w:r w:rsidRPr="00A81F9F">
                <w:rPr>
                  <w:b/>
                  <w:bCs/>
                  <w:sz w:val="18"/>
                  <w:szCs w:val="18"/>
                </w:rPr>
                <w:t xml:space="preserve"> г</w:t>
              </w:r>
            </w:smartTag>
            <w:r w:rsidRPr="00A81F9F">
              <w:rPr>
                <w:b/>
                <w:bCs/>
                <w:sz w:val="18"/>
                <w:szCs w:val="18"/>
              </w:rPr>
              <w:t>.</w:t>
            </w:r>
          </w:p>
        </w:tc>
        <w:tc>
          <w:tcPr>
            <w:tcW w:w="401" w:type="pct"/>
            <w:vAlign w:val="center"/>
          </w:tcPr>
          <w:p w:rsidR="00AA1AE9" w:rsidRPr="00A81F9F" w:rsidRDefault="00AA1AE9" w:rsidP="00F938F5">
            <w:pPr>
              <w:rPr>
                <w:b/>
                <w:bCs/>
                <w:sz w:val="18"/>
                <w:szCs w:val="18"/>
              </w:rPr>
            </w:pPr>
            <w:smartTag w:uri="urn:schemas-microsoft-com:office:smarttags" w:element="metricconverter">
              <w:smartTagPr>
                <w:attr w:name="ProductID" w:val="2014 г"/>
              </w:smartTagPr>
              <w:r w:rsidRPr="00A81F9F">
                <w:rPr>
                  <w:b/>
                  <w:bCs/>
                  <w:sz w:val="18"/>
                  <w:szCs w:val="18"/>
                </w:rPr>
                <w:t>201</w:t>
              </w:r>
              <w:r>
                <w:rPr>
                  <w:b/>
                  <w:bCs/>
                  <w:sz w:val="18"/>
                  <w:szCs w:val="18"/>
                </w:rPr>
                <w:t>4</w:t>
              </w:r>
              <w:r w:rsidRPr="00A81F9F">
                <w:rPr>
                  <w:b/>
                  <w:bCs/>
                  <w:sz w:val="18"/>
                  <w:szCs w:val="18"/>
                </w:rPr>
                <w:t xml:space="preserve"> г</w:t>
              </w:r>
            </w:smartTag>
            <w:r w:rsidRPr="00A81F9F">
              <w:rPr>
                <w:b/>
                <w:bCs/>
                <w:sz w:val="18"/>
                <w:szCs w:val="18"/>
              </w:rPr>
              <w:t>.</w:t>
            </w:r>
          </w:p>
        </w:tc>
        <w:tc>
          <w:tcPr>
            <w:tcW w:w="401" w:type="pct"/>
            <w:vAlign w:val="center"/>
          </w:tcPr>
          <w:p w:rsidR="00AA1AE9" w:rsidRPr="00A81F9F" w:rsidRDefault="00AA1AE9" w:rsidP="00F938F5">
            <w:pPr>
              <w:rPr>
                <w:b/>
                <w:bCs/>
                <w:sz w:val="18"/>
                <w:szCs w:val="18"/>
              </w:rPr>
            </w:pPr>
            <w:smartTag w:uri="urn:schemas-microsoft-com:office:smarttags" w:element="metricconverter">
              <w:smartTagPr>
                <w:attr w:name="ProductID" w:val="2015 г"/>
              </w:smartTagPr>
              <w:r w:rsidRPr="00A81F9F">
                <w:rPr>
                  <w:b/>
                  <w:bCs/>
                  <w:sz w:val="18"/>
                  <w:szCs w:val="18"/>
                </w:rPr>
                <w:t>201</w:t>
              </w:r>
              <w:r>
                <w:rPr>
                  <w:b/>
                  <w:bCs/>
                  <w:sz w:val="18"/>
                  <w:szCs w:val="18"/>
                </w:rPr>
                <w:t>5</w:t>
              </w:r>
              <w:r w:rsidRPr="00A81F9F">
                <w:rPr>
                  <w:b/>
                  <w:bCs/>
                  <w:sz w:val="18"/>
                  <w:szCs w:val="18"/>
                </w:rPr>
                <w:t xml:space="preserve"> г</w:t>
              </w:r>
            </w:smartTag>
            <w:r w:rsidRPr="00A81F9F">
              <w:rPr>
                <w:b/>
                <w:bCs/>
                <w:sz w:val="18"/>
                <w:szCs w:val="18"/>
              </w:rPr>
              <w:t>.</w:t>
            </w:r>
          </w:p>
        </w:tc>
        <w:tc>
          <w:tcPr>
            <w:tcW w:w="401" w:type="pct"/>
            <w:vAlign w:val="center"/>
          </w:tcPr>
          <w:p w:rsidR="00AA1AE9" w:rsidRPr="00A81F9F" w:rsidRDefault="00AA1AE9" w:rsidP="00F938F5">
            <w:pPr>
              <w:rPr>
                <w:b/>
                <w:bCs/>
                <w:sz w:val="18"/>
                <w:szCs w:val="18"/>
              </w:rPr>
            </w:pPr>
            <w:smartTag w:uri="urn:schemas-microsoft-com:office:smarttags" w:element="metricconverter">
              <w:smartTagPr>
                <w:attr w:name="ProductID" w:val="2016 г"/>
              </w:smartTagPr>
              <w:r w:rsidRPr="00A81F9F">
                <w:rPr>
                  <w:b/>
                  <w:bCs/>
                  <w:sz w:val="18"/>
                  <w:szCs w:val="18"/>
                </w:rPr>
                <w:t>20</w:t>
              </w:r>
              <w:r>
                <w:rPr>
                  <w:b/>
                  <w:bCs/>
                  <w:sz w:val="18"/>
                  <w:szCs w:val="18"/>
                </w:rPr>
                <w:t>16</w:t>
              </w:r>
              <w:r w:rsidRPr="00A81F9F">
                <w:rPr>
                  <w:b/>
                  <w:bCs/>
                  <w:sz w:val="18"/>
                  <w:szCs w:val="18"/>
                </w:rPr>
                <w:t xml:space="preserve"> г</w:t>
              </w:r>
            </w:smartTag>
            <w:r w:rsidRPr="00A81F9F">
              <w:rPr>
                <w:b/>
                <w:bCs/>
                <w:sz w:val="18"/>
                <w:szCs w:val="18"/>
              </w:rPr>
              <w:t>.</w:t>
            </w:r>
          </w:p>
        </w:tc>
        <w:tc>
          <w:tcPr>
            <w:tcW w:w="401" w:type="pct"/>
            <w:vAlign w:val="center"/>
          </w:tcPr>
          <w:p w:rsidR="00AA1AE9" w:rsidRPr="00A81F9F" w:rsidRDefault="00AA1AE9" w:rsidP="00F938F5">
            <w:pPr>
              <w:rPr>
                <w:b/>
                <w:bCs/>
                <w:sz w:val="18"/>
                <w:szCs w:val="18"/>
              </w:rPr>
            </w:pPr>
            <w:smartTag w:uri="urn:schemas-microsoft-com:office:smarttags" w:element="metricconverter">
              <w:smartTagPr>
                <w:attr w:name="ProductID" w:val="2017 г"/>
              </w:smartTagPr>
              <w:r w:rsidRPr="00A81F9F">
                <w:rPr>
                  <w:b/>
                  <w:bCs/>
                  <w:sz w:val="18"/>
                  <w:szCs w:val="18"/>
                </w:rPr>
                <w:t>201</w:t>
              </w:r>
              <w:r>
                <w:rPr>
                  <w:b/>
                  <w:bCs/>
                  <w:sz w:val="18"/>
                  <w:szCs w:val="18"/>
                </w:rPr>
                <w:t>7</w:t>
              </w:r>
              <w:r w:rsidRPr="00A81F9F">
                <w:rPr>
                  <w:b/>
                  <w:bCs/>
                  <w:sz w:val="18"/>
                  <w:szCs w:val="18"/>
                </w:rPr>
                <w:t xml:space="preserve"> г</w:t>
              </w:r>
            </w:smartTag>
            <w:r w:rsidRPr="00A81F9F">
              <w:rPr>
                <w:b/>
                <w:bCs/>
                <w:sz w:val="18"/>
                <w:szCs w:val="18"/>
              </w:rPr>
              <w:t>.</w:t>
            </w:r>
          </w:p>
        </w:tc>
        <w:tc>
          <w:tcPr>
            <w:tcW w:w="442" w:type="pct"/>
            <w:vMerge/>
            <w:vAlign w:val="center"/>
          </w:tcPr>
          <w:p w:rsidR="00AA1AE9" w:rsidRPr="00A81F9F" w:rsidRDefault="00AA1AE9" w:rsidP="00F938F5">
            <w:pPr>
              <w:ind w:firstLine="709"/>
              <w:rPr>
                <w:b/>
                <w:bCs/>
                <w:sz w:val="18"/>
                <w:szCs w:val="18"/>
              </w:rPr>
            </w:pPr>
          </w:p>
        </w:tc>
      </w:tr>
      <w:tr w:rsidR="00AA1AE9" w:rsidRPr="00A81F9F" w:rsidTr="00A86774">
        <w:trPr>
          <w:trHeight w:val="420"/>
          <w:jc w:val="center"/>
        </w:trPr>
        <w:tc>
          <w:tcPr>
            <w:tcW w:w="545" w:type="pct"/>
            <w:vAlign w:val="center"/>
          </w:tcPr>
          <w:p w:rsidR="00AA1AE9" w:rsidRPr="00A81F9F" w:rsidRDefault="00AA1AE9" w:rsidP="00F938F5">
            <w:pPr>
              <w:rPr>
                <w:b/>
                <w:bCs/>
                <w:sz w:val="18"/>
                <w:szCs w:val="18"/>
              </w:rPr>
            </w:pPr>
            <w:r w:rsidRPr="00A81F9F">
              <w:rPr>
                <w:b/>
                <w:bCs/>
                <w:sz w:val="18"/>
                <w:szCs w:val="18"/>
              </w:rPr>
              <w:t xml:space="preserve">ЕЭС России </w:t>
            </w:r>
          </w:p>
        </w:tc>
        <w:tc>
          <w:tcPr>
            <w:tcW w:w="374" w:type="pct"/>
            <w:noWrap/>
            <w:vAlign w:val="center"/>
          </w:tcPr>
          <w:p w:rsidR="00AA1AE9" w:rsidRPr="00A81F9F" w:rsidRDefault="00AA1AE9" w:rsidP="00F938F5">
            <w:pPr>
              <w:rPr>
                <w:b/>
                <w:bCs/>
                <w:sz w:val="18"/>
                <w:szCs w:val="18"/>
              </w:rPr>
            </w:pPr>
            <w:r>
              <w:rPr>
                <w:b/>
                <w:bCs/>
                <w:sz w:val="18"/>
                <w:szCs w:val="18"/>
              </w:rPr>
              <w:t>946,5</w:t>
            </w:r>
          </w:p>
        </w:tc>
        <w:tc>
          <w:tcPr>
            <w:tcW w:w="442" w:type="pct"/>
            <w:noWrap/>
            <w:vAlign w:val="center"/>
          </w:tcPr>
          <w:p w:rsidR="00AA1AE9" w:rsidRPr="00A81F9F" w:rsidRDefault="00AA1AE9" w:rsidP="00F938F5">
            <w:pPr>
              <w:rPr>
                <w:b/>
                <w:bCs/>
                <w:sz w:val="18"/>
                <w:szCs w:val="18"/>
              </w:rPr>
            </w:pPr>
            <w:r w:rsidRPr="00A81F9F">
              <w:rPr>
                <w:b/>
                <w:bCs/>
                <w:sz w:val="18"/>
                <w:szCs w:val="18"/>
              </w:rPr>
              <w:t> </w:t>
            </w:r>
          </w:p>
        </w:tc>
        <w:tc>
          <w:tcPr>
            <w:tcW w:w="374" w:type="pct"/>
            <w:noWrap/>
            <w:vAlign w:val="center"/>
          </w:tcPr>
          <w:p w:rsidR="00AA1AE9" w:rsidRPr="00A81F9F" w:rsidRDefault="00AA1AE9" w:rsidP="00F938F5">
            <w:pPr>
              <w:rPr>
                <w:b/>
                <w:bCs/>
                <w:sz w:val="18"/>
                <w:szCs w:val="18"/>
              </w:rPr>
            </w:pPr>
            <w:r>
              <w:rPr>
                <w:b/>
                <w:bCs/>
                <w:sz w:val="18"/>
                <w:szCs w:val="18"/>
              </w:rPr>
              <w:t>988,96</w:t>
            </w:r>
          </w:p>
        </w:tc>
        <w:tc>
          <w:tcPr>
            <w:tcW w:w="409" w:type="pct"/>
            <w:noWrap/>
            <w:vAlign w:val="center"/>
          </w:tcPr>
          <w:p w:rsidR="00AA1AE9" w:rsidRPr="00A81F9F" w:rsidRDefault="00AA1AE9" w:rsidP="00F938F5">
            <w:pPr>
              <w:rPr>
                <w:b/>
                <w:bCs/>
                <w:sz w:val="18"/>
                <w:szCs w:val="18"/>
              </w:rPr>
            </w:pPr>
            <w:r>
              <w:rPr>
                <w:b/>
                <w:bCs/>
                <w:sz w:val="18"/>
                <w:szCs w:val="18"/>
              </w:rPr>
              <w:t>1009,35</w:t>
            </w:r>
          </w:p>
        </w:tc>
        <w:tc>
          <w:tcPr>
            <w:tcW w:w="409" w:type="pct"/>
            <w:noWrap/>
            <w:vAlign w:val="center"/>
          </w:tcPr>
          <w:p w:rsidR="00AA1AE9" w:rsidRPr="00A81F9F" w:rsidRDefault="00AA1AE9" w:rsidP="00F938F5">
            <w:pPr>
              <w:rPr>
                <w:b/>
                <w:bCs/>
                <w:sz w:val="18"/>
                <w:szCs w:val="18"/>
              </w:rPr>
            </w:pPr>
            <w:r>
              <w:rPr>
                <w:b/>
                <w:bCs/>
                <w:sz w:val="18"/>
                <w:szCs w:val="18"/>
              </w:rPr>
              <w:t>1039,79</w:t>
            </w:r>
          </w:p>
        </w:tc>
        <w:tc>
          <w:tcPr>
            <w:tcW w:w="401" w:type="pct"/>
            <w:noWrap/>
            <w:vAlign w:val="center"/>
          </w:tcPr>
          <w:p w:rsidR="00AA1AE9" w:rsidRPr="00A81F9F" w:rsidRDefault="00AA1AE9" w:rsidP="00F938F5">
            <w:pPr>
              <w:rPr>
                <w:b/>
                <w:bCs/>
                <w:sz w:val="18"/>
                <w:szCs w:val="18"/>
              </w:rPr>
            </w:pPr>
            <w:r>
              <w:rPr>
                <w:b/>
                <w:bCs/>
                <w:sz w:val="18"/>
                <w:szCs w:val="18"/>
              </w:rPr>
              <w:t>1075,74</w:t>
            </w:r>
          </w:p>
        </w:tc>
        <w:tc>
          <w:tcPr>
            <w:tcW w:w="401" w:type="pct"/>
            <w:noWrap/>
            <w:vAlign w:val="center"/>
          </w:tcPr>
          <w:p w:rsidR="00AA1AE9" w:rsidRPr="00A81F9F" w:rsidRDefault="00AA1AE9" w:rsidP="00F938F5">
            <w:pPr>
              <w:rPr>
                <w:b/>
                <w:bCs/>
                <w:sz w:val="18"/>
                <w:szCs w:val="18"/>
              </w:rPr>
            </w:pPr>
            <w:r>
              <w:rPr>
                <w:b/>
                <w:bCs/>
                <w:sz w:val="18"/>
                <w:szCs w:val="18"/>
              </w:rPr>
              <w:t>1101,83</w:t>
            </w:r>
          </w:p>
        </w:tc>
        <w:tc>
          <w:tcPr>
            <w:tcW w:w="401" w:type="pct"/>
            <w:noWrap/>
            <w:vAlign w:val="center"/>
          </w:tcPr>
          <w:p w:rsidR="00AA1AE9" w:rsidRPr="00A81F9F" w:rsidRDefault="00AA1AE9" w:rsidP="00F938F5">
            <w:pPr>
              <w:rPr>
                <w:b/>
                <w:bCs/>
                <w:sz w:val="18"/>
                <w:szCs w:val="18"/>
              </w:rPr>
            </w:pPr>
            <w:r>
              <w:rPr>
                <w:b/>
                <w:bCs/>
                <w:sz w:val="18"/>
                <w:szCs w:val="18"/>
              </w:rPr>
              <w:t>1130,21</w:t>
            </w:r>
          </w:p>
        </w:tc>
        <w:tc>
          <w:tcPr>
            <w:tcW w:w="401" w:type="pct"/>
            <w:noWrap/>
            <w:vAlign w:val="center"/>
          </w:tcPr>
          <w:p w:rsidR="00AA1AE9" w:rsidRPr="00A81F9F" w:rsidRDefault="00AA1AE9" w:rsidP="00F938F5">
            <w:pPr>
              <w:rPr>
                <w:b/>
                <w:bCs/>
                <w:sz w:val="18"/>
                <w:szCs w:val="18"/>
              </w:rPr>
            </w:pPr>
            <w:r>
              <w:rPr>
                <w:b/>
                <w:bCs/>
                <w:sz w:val="18"/>
                <w:szCs w:val="18"/>
              </w:rPr>
              <w:t>1157,88</w:t>
            </w:r>
          </w:p>
        </w:tc>
        <w:tc>
          <w:tcPr>
            <w:tcW w:w="401" w:type="pct"/>
            <w:noWrap/>
            <w:vAlign w:val="center"/>
          </w:tcPr>
          <w:p w:rsidR="00AA1AE9" w:rsidRPr="00A81F9F" w:rsidRDefault="00AA1AE9" w:rsidP="00F938F5">
            <w:pPr>
              <w:rPr>
                <w:b/>
                <w:bCs/>
                <w:sz w:val="18"/>
                <w:szCs w:val="18"/>
              </w:rPr>
            </w:pPr>
            <w:r>
              <w:rPr>
                <w:b/>
                <w:bCs/>
                <w:sz w:val="18"/>
                <w:szCs w:val="18"/>
              </w:rPr>
              <w:t>1183,43</w:t>
            </w:r>
          </w:p>
        </w:tc>
        <w:tc>
          <w:tcPr>
            <w:tcW w:w="442" w:type="pct"/>
            <w:noWrap/>
            <w:vAlign w:val="center"/>
          </w:tcPr>
          <w:p w:rsidR="00AA1AE9" w:rsidRPr="00A81F9F" w:rsidRDefault="00AA1AE9" w:rsidP="00F938F5">
            <w:pPr>
              <w:rPr>
                <w:i/>
                <w:iCs/>
                <w:sz w:val="18"/>
                <w:szCs w:val="18"/>
              </w:rPr>
            </w:pPr>
            <w:r w:rsidRPr="00A81F9F">
              <w:rPr>
                <w:i/>
                <w:iCs/>
                <w:sz w:val="18"/>
                <w:szCs w:val="18"/>
              </w:rPr>
              <w:t> </w:t>
            </w:r>
          </w:p>
        </w:tc>
      </w:tr>
      <w:tr w:rsidR="00AA1AE9" w:rsidRPr="00A81F9F" w:rsidTr="00A86774">
        <w:trPr>
          <w:trHeight w:val="420"/>
          <w:jc w:val="center"/>
        </w:trPr>
        <w:tc>
          <w:tcPr>
            <w:tcW w:w="545" w:type="pct"/>
            <w:vAlign w:val="center"/>
          </w:tcPr>
          <w:p w:rsidR="00AA1AE9" w:rsidRPr="00A81F9F" w:rsidRDefault="00AA1AE9" w:rsidP="00F938F5">
            <w:pPr>
              <w:rPr>
                <w:sz w:val="18"/>
                <w:szCs w:val="18"/>
              </w:rPr>
            </w:pPr>
            <w:r w:rsidRPr="00A81F9F">
              <w:rPr>
                <w:sz w:val="18"/>
                <w:szCs w:val="18"/>
              </w:rPr>
              <w:t>Ср.годовой темп прироста, %</w:t>
            </w:r>
          </w:p>
        </w:tc>
        <w:tc>
          <w:tcPr>
            <w:tcW w:w="374" w:type="pct"/>
            <w:noWrap/>
            <w:vAlign w:val="center"/>
          </w:tcPr>
          <w:p w:rsidR="00AA1AE9" w:rsidRPr="00633B28" w:rsidRDefault="00AA1AE9" w:rsidP="00F938F5">
            <w:pPr>
              <w:rPr>
                <w:b/>
                <w:bCs/>
                <w:i/>
                <w:iCs/>
                <w:color w:val="FF0000"/>
              </w:rPr>
            </w:pPr>
            <w:r w:rsidRPr="00633B28">
              <w:rPr>
                <w:b/>
                <w:bCs/>
                <w:i/>
                <w:iCs/>
                <w:color w:val="FF0000"/>
              </w:rPr>
              <w:t>-4,37</w:t>
            </w:r>
          </w:p>
        </w:tc>
        <w:tc>
          <w:tcPr>
            <w:tcW w:w="442" w:type="pct"/>
            <w:noWrap/>
            <w:vAlign w:val="center"/>
          </w:tcPr>
          <w:p w:rsidR="00AA1AE9" w:rsidRPr="00633B28" w:rsidRDefault="00AA1AE9" w:rsidP="00F938F5">
            <w:pPr>
              <w:rPr>
                <w:b/>
                <w:bCs/>
                <w:i/>
                <w:iCs/>
                <w:color w:val="FF0000"/>
              </w:rPr>
            </w:pPr>
            <w:r w:rsidRPr="00633B28">
              <w:rPr>
                <w:b/>
                <w:bCs/>
                <w:i/>
                <w:iCs/>
                <w:color w:val="FF0000"/>
              </w:rPr>
              <w:t>-0,03</w:t>
            </w:r>
          </w:p>
        </w:tc>
        <w:tc>
          <w:tcPr>
            <w:tcW w:w="374" w:type="pct"/>
            <w:noWrap/>
            <w:vAlign w:val="center"/>
          </w:tcPr>
          <w:p w:rsidR="00AA1AE9" w:rsidRPr="00633B28" w:rsidRDefault="00AA1AE9" w:rsidP="00F938F5">
            <w:pPr>
              <w:rPr>
                <w:b/>
                <w:bCs/>
                <w:i/>
                <w:iCs/>
                <w:color w:val="FF0000"/>
              </w:rPr>
            </w:pPr>
            <w:r w:rsidRPr="00633B28">
              <w:rPr>
                <w:b/>
                <w:bCs/>
                <w:i/>
                <w:iCs/>
                <w:color w:val="FF0000"/>
              </w:rPr>
              <w:t>4,49</w:t>
            </w:r>
          </w:p>
        </w:tc>
        <w:tc>
          <w:tcPr>
            <w:tcW w:w="409" w:type="pct"/>
            <w:noWrap/>
            <w:vAlign w:val="center"/>
          </w:tcPr>
          <w:p w:rsidR="00AA1AE9" w:rsidRDefault="00AA1AE9" w:rsidP="00F938F5">
            <w:pPr>
              <w:rPr>
                <w:b/>
                <w:bCs/>
                <w:i/>
                <w:iCs/>
              </w:rPr>
            </w:pPr>
            <w:r w:rsidRPr="00A81F9F">
              <w:rPr>
                <w:b/>
                <w:bCs/>
                <w:i/>
                <w:iCs/>
              </w:rPr>
              <w:t>2,</w:t>
            </w:r>
            <w:r>
              <w:rPr>
                <w:b/>
                <w:bCs/>
                <w:i/>
                <w:iCs/>
              </w:rPr>
              <w:t>06</w:t>
            </w:r>
          </w:p>
          <w:p w:rsidR="00AA1AE9" w:rsidRPr="00633B28" w:rsidRDefault="00AA1AE9" w:rsidP="00F938F5">
            <w:pPr>
              <w:rPr>
                <w:b/>
                <w:bCs/>
                <w:i/>
                <w:iCs/>
                <w:color w:val="FF0000"/>
              </w:rPr>
            </w:pPr>
            <w:r w:rsidRPr="00633B28">
              <w:rPr>
                <w:b/>
                <w:bCs/>
                <w:i/>
                <w:iCs/>
                <w:color w:val="FF0000"/>
              </w:rPr>
              <w:t>1,2</w:t>
            </w:r>
          </w:p>
          <w:p w:rsidR="00AA1AE9" w:rsidRPr="00A81F9F" w:rsidRDefault="00AA1AE9" w:rsidP="00F938F5">
            <w:pPr>
              <w:rPr>
                <w:b/>
                <w:bCs/>
                <w:i/>
                <w:iCs/>
              </w:rPr>
            </w:pPr>
            <w:r w:rsidRPr="00633B28">
              <w:rPr>
                <w:b/>
                <w:bCs/>
                <w:i/>
                <w:iCs/>
                <w:color w:val="FF0000"/>
              </w:rPr>
              <w:t>факт</w:t>
            </w:r>
          </w:p>
        </w:tc>
        <w:tc>
          <w:tcPr>
            <w:tcW w:w="409" w:type="pct"/>
            <w:noWrap/>
            <w:vAlign w:val="center"/>
          </w:tcPr>
          <w:p w:rsidR="00AA1AE9" w:rsidRDefault="00AA1AE9" w:rsidP="00F938F5">
            <w:pPr>
              <w:rPr>
                <w:b/>
                <w:bCs/>
                <w:i/>
                <w:iCs/>
                <w:lang w:val="en-US"/>
              </w:rPr>
            </w:pPr>
            <w:r>
              <w:rPr>
                <w:b/>
                <w:bCs/>
                <w:i/>
                <w:iCs/>
              </w:rPr>
              <w:t>3,02</w:t>
            </w:r>
          </w:p>
          <w:p w:rsidR="00AA1AE9" w:rsidRPr="00633B28" w:rsidRDefault="00AA1AE9" w:rsidP="00F938F5">
            <w:pPr>
              <w:rPr>
                <w:b/>
                <w:bCs/>
                <w:i/>
                <w:iCs/>
                <w:color w:val="FF0000"/>
              </w:rPr>
            </w:pPr>
            <w:r w:rsidRPr="00633B28">
              <w:rPr>
                <w:b/>
                <w:bCs/>
                <w:i/>
                <w:iCs/>
                <w:color w:val="FF0000"/>
                <w:lang w:val="en-US"/>
              </w:rPr>
              <w:t>1</w:t>
            </w:r>
            <w:r w:rsidRPr="00633B28">
              <w:rPr>
                <w:b/>
                <w:bCs/>
                <w:i/>
                <w:iCs/>
                <w:color w:val="FF0000"/>
              </w:rPr>
              <w:t>,6</w:t>
            </w:r>
          </w:p>
          <w:p w:rsidR="00AA1AE9" w:rsidRPr="00633B28" w:rsidRDefault="00AA1AE9" w:rsidP="00F938F5">
            <w:pPr>
              <w:rPr>
                <w:b/>
                <w:bCs/>
                <w:i/>
                <w:iCs/>
              </w:rPr>
            </w:pPr>
            <w:r w:rsidRPr="00633B28">
              <w:rPr>
                <w:b/>
                <w:bCs/>
                <w:i/>
                <w:iCs/>
                <w:color w:val="FF0000"/>
              </w:rPr>
              <w:t>факт</w:t>
            </w:r>
          </w:p>
        </w:tc>
        <w:tc>
          <w:tcPr>
            <w:tcW w:w="401" w:type="pct"/>
            <w:noWrap/>
            <w:vAlign w:val="center"/>
          </w:tcPr>
          <w:p w:rsidR="00AA1AE9" w:rsidRDefault="00AA1AE9" w:rsidP="00F938F5">
            <w:pPr>
              <w:rPr>
                <w:b/>
                <w:bCs/>
                <w:i/>
                <w:iCs/>
              </w:rPr>
            </w:pPr>
            <w:r>
              <w:rPr>
                <w:b/>
                <w:bCs/>
                <w:i/>
                <w:iCs/>
              </w:rPr>
              <w:t>3,46</w:t>
            </w:r>
          </w:p>
          <w:p w:rsidR="00AA1AE9" w:rsidRDefault="00AA1AE9" w:rsidP="00F938F5">
            <w:pPr>
              <w:rPr>
                <w:b/>
                <w:bCs/>
                <w:i/>
                <w:iCs/>
              </w:rPr>
            </w:pPr>
          </w:p>
          <w:p w:rsidR="00AA1AE9" w:rsidRPr="00A81F9F" w:rsidRDefault="00AA1AE9" w:rsidP="00F938F5">
            <w:pPr>
              <w:rPr>
                <w:b/>
                <w:bCs/>
                <w:i/>
                <w:iCs/>
              </w:rPr>
            </w:pPr>
          </w:p>
        </w:tc>
        <w:tc>
          <w:tcPr>
            <w:tcW w:w="401" w:type="pct"/>
            <w:noWrap/>
            <w:vAlign w:val="center"/>
          </w:tcPr>
          <w:p w:rsidR="00AA1AE9" w:rsidRDefault="00AA1AE9" w:rsidP="00F938F5">
            <w:pPr>
              <w:rPr>
                <w:b/>
                <w:bCs/>
                <w:i/>
                <w:iCs/>
              </w:rPr>
            </w:pPr>
            <w:r w:rsidRPr="00A81F9F">
              <w:rPr>
                <w:b/>
                <w:bCs/>
                <w:i/>
                <w:iCs/>
              </w:rPr>
              <w:t>2,</w:t>
            </w:r>
            <w:r>
              <w:rPr>
                <w:b/>
                <w:bCs/>
                <w:i/>
                <w:iCs/>
              </w:rPr>
              <w:t>42</w:t>
            </w:r>
          </w:p>
          <w:p w:rsidR="00AA1AE9" w:rsidRDefault="00AA1AE9" w:rsidP="00F938F5">
            <w:pPr>
              <w:rPr>
                <w:b/>
                <w:bCs/>
                <w:i/>
                <w:iCs/>
              </w:rPr>
            </w:pPr>
          </w:p>
          <w:p w:rsidR="00AA1AE9" w:rsidRPr="00A81F9F" w:rsidRDefault="00AA1AE9" w:rsidP="00F938F5">
            <w:pPr>
              <w:rPr>
                <w:b/>
                <w:bCs/>
                <w:i/>
                <w:iCs/>
              </w:rPr>
            </w:pPr>
          </w:p>
        </w:tc>
        <w:tc>
          <w:tcPr>
            <w:tcW w:w="401" w:type="pct"/>
            <w:noWrap/>
            <w:vAlign w:val="center"/>
          </w:tcPr>
          <w:p w:rsidR="00AA1AE9" w:rsidRDefault="00AA1AE9" w:rsidP="00F938F5">
            <w:pPr>
              <w:rPr>
                <w:b/>
                <w:bCs/>
                <w:i/>
                <w:iCs/>
              </w:rPr>
            </w:pPr>
            <w:r>
              <w:rPr>
                <w:b/>
                <w:bCs/>
                <w:i/>
                <w:iCs/>
              </w:rPr>
              <w:t>2,58</w:t>
            </w:r>
          </w:p>
          <w:p w:rsidR="00AA1AE9" w:rsidRDefault="00AA1AE9" w:rsidP="00F938F5">
            <w:pPr>
              <w:rPr>
                <w:b/>
                <w:bCs/>
                <w:i/>
                <w:iCs/>
              </w:rPr>
            </w:pPr>
          </w:p>
          <w:p w:rsidR="00AA1AE9" w:rsidRPr="00A81F9F" w:rsidRDefault="00AA1AE9" w:rsidP="00F938F5">
            <w:pPr>
              <w:rPr>
                <w:b/>
                <w:bCs/>
                <w:i/>
                <w:iCs/>
              </w:rPr>
            </w:pPr>
          </w:p>
        </w:tc>
        <w:tc>
          <w:tcPr>
            <w:tcW w:w="401" w:type="pct"/>
            <w:noWrap/>
            <w:vAlign w:val="center"/>
          </w:tcPr>
          <w:p w:rsidR="00AA1AE9" w:rsidRDefault="00AA1AE9" w:rsidP="00F938F5">
            <w:pPr>
              <w:rPr>
                <w:b/>
                <w:bCs/>
                <w:i/>
                <w:iCs/>
              </w:rPr>
            </w:pPr>
            <w:r>
              <w:rPr>
                <w:b/>
                <w:bCs/>
                <w:i/>
                <w:iCs/>
              </w:rPr>
              <w:t>2,45</w:t>
            </w:r>
          </w:p>
          <w:p w:rsidR="00AA1AE9" w:rsidRDefault="00AA1AE9" w:rsidP="00F938F5">
            <w:pPr>
              <w:rPr>
                <w:b/>
                <w:bCs/>
                <w:i/>
                <w:iCs/>
              </w:rPr>
            </w:pPr>
          </w:p>
          <w:p w:rsidR="00AA1AE9" w:rsidRPr="00A81F9F" w:rsidRDefault="00AA1AE9" w:rsidP="00F938F5">
            <w:pPr>
              <w:rPr>
                <w:b/>
                <w:bCs/>
                <w:i/>
                <w:iCs/>
              </w:rPr>
            </w:pPr>
          </w:p>
        </w:tc>
        <w:tc>
          <w:tcPr>
            <w:tcW w:w="401" w:type="pct"/>
            <w:noWrap/>
            <w:vAlign w:val="center"/>
          </w:tcPr>
          <w:p w:rsidR="00AA1AE9" w:rsidRDefault="00AA1AE9" w:rsidP="00F938F5">
            <w:pPr>
              <w:rPr>
                <w:b/>
                <w:bCs/>
                <w:i/>
                <w:iCs/>
              </w:rPr>
            </w:pPr>
            <w:r>
              <w:rPr>
                <w:b/>
                <w:bCs/>
                <w:i/>
                <w:iCs/>
              </w:rPr>
              <w:t>2,21</w:t>
            </w:r>
          </w:p>
          <w:p w:rsidR="00AA1AE9" w:rsidRDefault="00AA1AE9" w:rsidP="00F938F5">
            <w:pPr>
              <w:rPr>
                <w:b/>
                <w:bCs/>
                <w:i/>
                <w:iCs/>
              </w:rPr>
            </w:pPr>
          </w:p>
          <w:p w:rsidR="00AA1AE9" w:rsidRPr="00A81F9F" w:rsidRDefault="00AA1AE9" w:rsidP="00F938F5">
            <w:pPr>
              <w:rPr>
                <w:b/>
                <w:bCs/>
                <w:i/>
                <w:iCs/>
              </w:rPr>
            </w:pPr>
          </w:p>
        </w:tc>
        <w:tc>
          <w:tcPr>
            <w:tcW w:w="442" w:type="pct"/>
            <w:noWrap/>
            <w:vAlign w:val="center"/>
          </w:tcPr>
          <w:p w:rsidR="00AA1AE9" w:rsidRDefault="00AA1AE9" w:rsidP="00F938F5">
            <w:pPr>
              <w:rPr>
                <w:b/>
                <w:bCs/>
                <w:i/>
                <w:iCs/>
                <w:sz w:val="32"/>
                <w:szCs w:val="32"/>
              </w:rPr>
            </w:pPr>
            <w:r w:rsidRPr="00A81F9F">
              <w:rPr>
                <w:b/>
                <w:bCs/>
                <w:i/>
                <w:iCs/>
                <w:sz w:val="32"/>
                <w:szCs w:val="32"/>
              </w:rPr>
              <w:t>2</w:t>
            </w:r>
            <w:r>
              <w:rPr>
                <w:b/>
                <w:bCs/>
                <w:i/>
                <w:iCs/>
                <w:sz w:val="32"/>
                <w:szCs w:val="32"/>
              </w:rPr>
              <w:t>,6</w:t>
            </w:r>
          </w:p>
          <w:p w:rsidR="00AA1AE9" w:rsidRPr="00A81F9F" w:rsidRDefault="00AA1AE9" w:rsidP="00F938F5">
            <w:pPr>
              <w:rPr>
                <w:b/>
                <w:bCs/>
                <w:i/>
                <w:iCs/>
                <w:sz w:val="32"/>
                <w:szCs w:val="32"/>
              </w:rPr>
            </w:pPr>
          </w:p>
        </w:tc>
      </w:tr>
    </w:tbl>
    <w:p w:rsidR="00AA1AE9" w:rsidRDefault="00AA1AE9" w:rsidP="00BA253E">
      <w:pPr>
        <w:ind w:firstLine="709"/>
        <w:jc w:val="both"/>
      </w:pPr>
    </w:p>
    <w:p w:rsidR="009478DB" w:rsidRDefault="009478DB" w:rsidP="00BA253E"/>
    <w:p w:rsidR="009478DB" w:rsidRPr="00A81F9F" w:rsidRDefault="009478DB" w:rsidP="00DD77F2">
      <w:pPr>
        <w:ind w:firstLine="709"/>
        <w:jc w:val="right"/>
      </w:pPr>
      <w:r w:rsidRPr="00A81F9F">
        <w:t xml:space="preserve">Таблица </w:t>
      </w:r>
      <w:r w:rsidR="00AA1AE9">
        <w:t>2</w:t>
      </w:r>
      <w:r>
        <w:t>.</w:t>
      </w:r>
    </w:p>
    <w:p w:rsidR="009478DB" w:rsidRPr="00A81F9F" w:rsidRDefault="009478DB" w:rsidP="00EE1A61">
      <w:pPr>
        <w:ind w:firstLine="709"/>
        <w:jc w:val="center"/>
      </w:pPr>
      <w:r w:rsidRPr="00A81F9F">
        <w:t xml:space="preserve">Прогноз </w:t>
      </w:r>
      <w:r>
        <w:t>электро</w:t>
      </w:r>
      <w:r w:rsidRPr="00A81F9F">
        <w:t xml:space="preserve">потребления (млрд.кВт.ч) на 2012-2018 годы </w:t>
      </w:r>
      <w:r>
        <w:t>(</w:t>
      </w:r>
      <w:r w:rsidRPr="00A81F9F">
        <w:t>Минэнерго 2012г.</w:t>
      </w:r>
      <w:r>
        <w:t>)</w:t>
      </w:r>
    </w:p>
    <w:p w:rsidR="009478DB" w:rsidRPr="00A81F9F" w:rsidRDefault="009478DB" w:rsidP="00EE1A61">
      <w:pPr>
        <w:ind w:firstLine="709"/>
        <w:jc w:val="right"/>
        <w:rPr>
          <w:b/>
        </w:rPr>
      </w:pPr>
    </w:p>
    <w:tbl>
      <w:tblPr>
        <w:tblW w:w="5160" w:type="pct"/>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55"/>
        <w:gridCol w:w="753"/>
        <w:gridCol w:w="830"/>
        <w:gridCol w:w="889"/>
        <w:gridCol w:w="771"/>
        <w:gridCol w:w="741"/>
        <w:gridCol w:w="848"/>
        <w:gridCol w:w="836"/>
        <w:gridCol w:w="836"/>
        <w:gridCol w:w="836"/>
        <w:gridCol w:w="844"/>
        <w:gridCol w:w="907"/>
      </w:tblGrid>
      <w:tr w:rsidR="00A86774" w:rsidRPr="00A81F9F" w:rsidTr="00A86774">
        <w:trPr>
          <w:trHeight w:val="1065"/>
          <w:jc w:val="center"/>
        </w:trPr>
        <w:tc>
          <w:tcPr>
            <w:tcW w:w="520" w:type="pct"/>
            <w:vMerge w:val="restart"/>
            <w:noWrap/>
            <w:vAlign w:val="bottom"/>
          </w:tcPr>
          <w:p w:rsidR="009478DB" w:rsidRPr="00A81F9F" w:rsidRDefault="009478DB" w:rsidP="00EE1A61">
            <w:pPr>
              <w:ind w:firstLine="709"/>
              <w:rPr>
                <w:b/>
                <w:bCs/>
                <w:sz w:val="18"/>
                <w:szCs w:val="18"/>
              </w:rPr>
            </w:pPr>
            <w:r w:rsidRPr="00A81F9F">
              <w:rPr>
                <w:b/>
                <w:bCs/>
                <w:sz w:val="18"/>
                <w:szCs w:val="18"/>
              </w:rPr>
              <w:t> </w:t>
            </w:r>
          </w:p>
        </w:tc>
        <w:tc>
          <w:tcPr>
            <w:tcW w:w="371" w:type="pct"/>
            <w:noWrap/>
            <w:vAlign w:val="center"/>
          </w:tcPr>
          <w:p w:rsidR="009478DB" w:rsidRPr="00A81F9F" w:rsidRDefault="009478DB" w:rsidP="00EE1A61">
            <w:pPr>
              <w:rPr>
                <w:b/>
                <w:bCs/>
                <w:sz w:val="18"/>
                <w:szCs w:val="18"/>
              </w:rPr>
            </w:pPr>
            <w:r w:rsidRPr="00A81F9F">
              <w:rPr>
                <w:b/>
                <w:bCs/>
                <w:sz w:val="18"/>
                <w:szCs w:val="18"/>
              </w:rPr>
              <w:t>Факт</w:t>
            </w:r>
          </w:p>
        </w:tc>
        <w:tc>
          <w:tcPr>
            <w:tcW w:w="409" w:type="pct"/>
            <w:vMerge w:val="restart"/>
            <w:vAlign w:val="center"/>
          </w:tcPr>
          <w:p w:rsidR="009478DB" w:rsidRPr="00A81F9F" w:rsidRDefault="009478DB" w:rsidP="00EE1A61">
            <w:pPr>
              <w:ind w:firstLine="709"/>
              <w:jc w:val="center"/>
              <w:rPr>
                <w:b/>
                <w:bCs/>
                <w:sz w:val="18"/>
                <w:szCs w:val="18"/>
              </w:rPr>
            </w:pPr>
          </w:p>
          <w:p w:rsidR="009478DB" w:rsidRPr="00A81F9F" w:rsidRDefault="009478DB" w:rsidP="00EE1A61">
            <w:pPr>
              <w:rPr>
                <w:b/>
                <w:bCs/>
                <w:sz w:val="18"/>
                <w:szCs w:val="18"/>
              </w:rPr>
            </w:pPr>
            <w:r w:rsidRPr="00A81F9F">
              <w:rPr>
                <w:b/>
                <w:bCs/>
                <w:sz w:val="18"/>
                <w:szCs w:val="18"/>
              </w:rPr>
              <w:t>Ср.год. прирост за 2008 - 2010 годы., %</w:t>
            </w:r>
          </w:p>
        </w:tc>
        <w:tc>
          <w:tcPr>
            <w:tcW w:w="438" w:type="pct"/>
            <w:noWrap/>
            <w:vAlign w:val="center"/>
          </w:tcPr>
          <w:p w:rsidR="009478DB" w:rsidRPr="00A81F9F" w:rsidRDefault="009478DB" w:rsidP="00EE1A61">
            <w:pPr>
              <w:rPr>
                <w:b/>
                <w:bCs/>
                <w:sz w:val="18"/>
                <w:szCs w:val="18"/>
              </w:rPr>
            </w:pPr>
            <w:r w:rsidRPr="00A81F9F">
              <w:rPr>
                <w:b/>
                <w:bCs/>
                <w:sz w:val="18"/>
                <w:szCs w:val="18"/>
              </w:rPr>
              <w:t>Факт</w:t>
            </w:r>
          </w:p>
        </w:tc>
        <w:tc>
          <w:tcPr>
            <w:tcW w:w="2815" w:type="pct"/>
            <w:gridSpan w:val="7"/>
            <w:noWrap/>
            <w:vAlign w:val="center"/>
          </w:tcPr>
          <w:p w:rsidR="009478DB" w:rsidRPr="00A81F9F" w:rsidRDefault="009478DB" w:rsidP="00EE1A61">
            <w:pPr>
              <w:jc w:val="center"/>
              <w:rPr>
                <w:b/>
                <w:bCs/>
                <w:sz w:val="18"/>
                <w:szCs w:val="18"/>
              </w:rPr>
            </w:pPr>
            <w:r w:rsidRPr="00A81F9F">
              <w:rPr>
                <w:b/>
                <w:bCs/>
                <w:sz w:val="18"/>
                <w:szCs w:val="18"/>
              </w:rPr>
              <w:t>Прогноз</w:t>
            </w:r>
          </w:p>
        </w:tc>
        <w:tc>
          <w:tcPr>
            <w:tcW w:w="447" w:type="pct"/>
            <w:vMerge w:val="restart"/>
            <w:vAlign w:val="center"/>
          </w:tcPr>
          <w:p w:rsidR="009478DB" w:rsidRPr="00A81F9F" w:rsidRDefault="009478DB" w:rsidP="00EE1A61">
            <w:pPr>
              <w:rPr>
                <w:b/>
                <w:bCs/>
                <w:sz w:val="18"/>
                <w:szCs w:val="18"/>
              </w:rPr>
            </w:pPr>
            <w:r w:rsidRPr="00A81F9F">
              <w:rPr>
                <w:b/>
                <w:bCs/>
                <w:sz w:val="18"/>
                <w:szCs w:val="18"/>
              </w:rPr>
              <w:t>Ср.год. прирост за 2012 - 2018 годы., %</w:t>
            </w:r>
          </w:p>
        </w:tc>
      </w:tr>
      <w:tr w:rsidR="00A86774" w:rsidRPr="00A81F9F" w:rsidTr="00A86774">
        <w:trPr>
          <w:trHeight w:val="555"/>
          <w:jc w:val="center"/>
        </w:trPr>
        <w:tc>
          <w:tcPr>
            <w:tcW w:w="520" w:type="pct"/>
            <w:vMerge/>
            <w:vAlign w:val="center"/>
          </w:tcPr>
          <w:p w:rsidR="009478DB" w:rsidRPr="00A81F9F" w:rsidRDefault="009478DB" w:rsidP="00EE1A61">
            <w:pPr>
              <w:ind w:firstLine="709"/>
              <w:rPr>
                <w:b/>
                <w:bCs/>
                <w:sz w:val="18"/>
                <w:szCs w:val="18"/>
              </w:rPr>
            </w:pPr>
          </w:p>
        </w:tc>
        <w:tc>
          <w:tcPr>
            <w:tcW w:w="371" w:type="pct"/>
            <w:noWrap/>
            <w:vAlign w:val="center"/>
          </w:tcPr>
          <w:p w:rsidR="009478DB" w:rsidRPr="00A81F9F" w:rsidRDefault="009478DB" w:rsidP="00EE1A61">
            <w:pPr>
              <w:rPr>
                <w:b/>
                <w:bCs/>
                <w:sz w:val="18"/>
                <w:szCs w:val="18"/>
              </w:rPr>
            </w:pPr>
            <w:smartTag w:uri="urn:schemas-microsoft-com:office:smarttags" w:element="metricconverter">
              <w:smartTagPr>
                <w:attr w:name="ProductID" w:val="2010 г"/>
              </w:smartTagPr>
              <w:r w:rsidRPr="00A81F9F">
                <w:rPr>
                  <w:b/>
                  <w:bCs/>
                  <w:sz w:val="18"/>
                  <w:szCs w:val="18"/>
                </w:rPr>
                <w:t>2010 г</w:t>
              </w:r>
            </w:smartTag>
            <w:r w:rsidRPr="00A81F9F">
              <w:rPr>
                <w:b/>
                <w:bCs/>
                <w:sz w:val="18"/>
                <w:szCs w:val="18"/>
              </w:rPr>
              <w:t>.</w:t>
            </w:r>
          </w:p>
        </w:tc>
        <w:tc>
          <w:tcPr>
            <w:tcW w:w="409" w:type="pct"/>
            <w:vMerge/>
            <w:vAlign w:val="center"/>
          </w:tcPr>
          <w:p w:rsidR="009478DB" w:rsidRPr="00A81F9F" w:rsidRDefault="009478DB" w:rsidP="00EE1A61">
            <w:pPr>
              <w:ind w:firstLine="709"/>
              <w:rPr>
                <w:b/>
                <w:bCs/>
                <w:sz w:val="18"/>
                <w:szCs w:val="18"/>
              </w:rPr>
            </w:pPr>
          </w:p>
        </w:tc>
        <w:tc>
          <w:tcPr>
            <w:tcW w:w="438" w:type="pct"/>
            <w:noWrap/>
            <w:vAlign w:val="center"/>
          </w:tcPr>
          <w:p w:rsidR="009478DB" w:rsidRPr="00A81F9F" w:rsidRDefault="009478DB" w:rsidP="00EE1A61">
            <w:pPr>
              <w:rPr>
                <w:b/>
                <w:bCs/>
                <w:sz w:val="18"/>
                <w:szCs w:val="18"/>
              </w:rPr>
            </w:pPr>
            <w:smartTag w:uri="urn:schemas-microsoft-com:office:smarttags" w:element="metricconverter">
              <w:smartTagPr>
                <w:attr w:name="ProductID" w:val="2011 г"/>
              </w:smartTagPr>
              <w:r w:rsidRPr="00A81F9F">
                <w:rPr>
                  <w:b/>
                  <w:bCs/>
                  <w:sz w:val="18"/>
                  <w:szCs w:val="18"/>
                </w:rPr>
                <w:t>2011 г</w:t>
              </w:r>
            </w:smartTag>
            <w:r w:rsidRPr="00A81F9F">
              <w:rPr>
                <w:b/>
                <w:bCs/>
                <w:sz w:val="18"/>
                <w:szCs w:val="18"/>
              </w:rPr>
              <w:t>.</w:t>
            </w:r>
          </w:p>
        </w:tc>
        <w:tc>
          <w:tcPr>
            <w:tcW w:w="380" w:type="pct"/>
            <w:vAlign w:val="center"/>
          </w:tcPr>
          <w:p w:rsidR="009478DB" w:rsidRPr="00A81F9F" w:rsidRDefault="009478DB" w:rsidP="00EE1A61">
            <w:pPr>
              <w:rPr>
                <w:b/>
                <w:bCs/>
                <w:sz w:val="18"/>
                <w:szCs w:val="18"/>
              </w:rPr>
            </w:pPr>
            <w:smartTag w:uri="urn:schemas-microsoft-com:office:smarttags" w:element="metricconverter">
              <w:smartTagPr>
                <w:attr w:name="ProductID" w:val="2012 г"/>
              </w:smartTagPr>
              <w:r w:rsidRPr="00A81F9F">
                <w:rPr>
                  <w:b/>
                  <w:bCs/>
                  <w:sz w:val="18"/>
                  <w:szCs w:val="18"/>
                </w:rPr>
                <w:t>2012 г</w:t>
              </w:r>
            </w:smartTag>
            <w:r w:rsidRPr="00A81F9F">
              <w:rPr>
                <w:b/>
                <w:bCs/>
                <w:sz w:val="18"/>
                <w:szCs w:val="18"/>
              </w:rPr>
              <w:t>.</w:t>
            </w:r>
          </w:p>
        </w:tc>
        <w:tc>
          <w:tcPr>
            <w:tcW w:w="365" w:type="pct"/>
            <w:vAlign w:val="center"/>
          </w:tcPr>
          <w:p w:rsidR="009478DB" w:rsidRPr="00A81F9F" w:rsidRDefault="009478DB" w:rsidP="00EE1A61">
            <w:pPr>
              <w:rPr>
                <w:b/>
                <w:bCs/>
                <w:sz w:val="18"/>
                <w:szCs w:val="18"/>
              </w:rPr>
            </w:pPr>
            <w:smartTag w:uri="urn:schemas-microsoft-com:office:smarttags" w:element="metricconverter">
              <w:smartTagPr>
                <w:attr w:name="ProductID" w:val="2013 г"/>
              </w:smartTagPr>
              <w:r w:rsidRPr="00A81F9F">
                <w:rPr>
                  <w:b/>
                  <w:bCs/>
                  <w:sz w:val="18"/>
                  <w:szCs w:val="18"/>
                </w:rPr>
                <w:t>2013 г</w:t>
              </w:r>
            </w:smartTag>
            <w:r w:rsidRPr="00A81F9F">
              <w:rPr>
                <w:b/>
                <w:bCs/>
                <w:sz w:val="18"/>
                <w:szCs w:val="18"/>
              </w:rPr>
              <w:t>.</w:t>
            </w:r>
          </w:p>
        </w:tc>
        <w:tc>
          <w:tcPr>
            <w:tcW w:w="418" w:type="pct"/>
            <w:vAlign w:val="center"/>
          </w:tcPr>
          <w:p w:rsidR="009478DB" w:rsidRPr="00A81F9F" w:rsidRDefault="009478DB" w:rsidP="00EE1A61">
            <w:pPr>
              <w:rPr>
                <w:b/>
                <w:bCs/>
                <w:sz w:val="18"/>
                <w:szCs w:val="18"/>
              </w:rPr>
            </w:pPr>
            <w:smartTag w:uri="urn:schemas-microsoft-com:office:smarttags" w:element="metricconverter">
              <w:smartTagPr>
                <w:attr w:name="ProductID" w:val="2014 г"/>
              </w:smartTagPr>
              <w:r w:rsidRPr="00A81F9F">
                <w:rPr>
                  <w:b/>
                  <w:bCs/>
                  <w:sz w:val="18"/>
                  <w:szCs w:val="18"/>
                </w:rPr>
                <w:t>2014 г</w:t>
              </w:r>
            </w:smartTag>
            <w:r w:rsidRPr="00A81F9F">
              <w:rPr>
                <w:b/>
                <w:bCs/>
                <w:sz w:val="18"/>
                <w:szCs w:val="18"/>
              </w:rPr>
              <w:t>.</w:t>
            </w:r>
          </w:p>
        </w:tc>
        <w:tc>
          <w:tcPr>
            <w:tcW w:w="412" w:type="pct"/>
            <w:vAlign w:val="center"/>
          </w:tcPr>
          <w:p w:rsidR="009478DB" w:rsidRPr="00A81F9F" w:rsidRDefault="009478DB" w:rsidP="00EE1A61">
            <w:pPr>
              <w:rPr>
                <w:b/>
                <w:bCs/>
                <w:sz w:val="18"/>
                <w:szCs w:val="18"/>
              </w:rPr>
            </w:pPr>
            <w:smartTag w:uri="urn:schemas-microsoft-com:office:smarttags" w:element="metricconverter">
              <w:smartTagPr>
                <w:attr w:name="ProductID" w:val="2015 г"/>
              </w:smartTagPr>
              <w:r w:rsidRPr="00A81F9F">
                <w:rPr>
                  <w:b/>
                  <w:bCs/>
                  <w:sz w:val="18"/>
                  <w:szCs w:val="18"/>
                </w:rPr>
                <w:t>2015 г</w:t>
              </w:r>
            </w:smartTag>
            <w:r w:rsidRPr="00A81F9F">
              <w:rPr>
                <w:b/>
                <w:bCs/>
                <w:sz w:val="18"/>
                <w:szCs w:val="18"/>
              </w:rPr>
              <w:t>.</w:t>
            </w:r>
          </w:p>
        </w:tc>
        <w:tc>
          <w:tcPr>
            <w:tcW w:w="412" w:type="pct"/>
            <w:vAlign w:val="center"/>
          </w:tcPr>
          <w:p w:rsidR="009478DB" w:rsidRPr="00A81F9F" w:rsidRDefault="009478DB" w:rsidP="00EE1A61">
            <w:pPr>
              <w:rPr>
                <w:b/>
                <w:bCs/>
                <w:sz w:val="18"/>
                <w:szCs w:val="18"/>
              </w:rPr>
            </w:pPr>
            <w:smartTag w:uri="urn:schemas-microsoft-com:office:smarttags" w:element="metricconverter">
              <w:smartTagPr>
                <w:attr w:name="ProductID" w:val="2016 г"/>
              </w:smartTagPr>
              <w:r w:rsidRPr="00A81F9F">
                <w:rPr>
                  <w:b/>
                  <w:bCs/>
                  <w:sz w:val="18"/>
                  <w:szCs w:val="18"/>
                </w:rPr>
                <w:t>2016 г</w:t>
              </w:r>
            </w:smartTag>
            <w:r w:rsidRPr="00A81F9F">
              <w:rPr>
                <w:b/>
                <w:bCs/>
                <w:sz w:val="18"/>
                <w:szCs w:val="18"/>
              </w:rPr>
              <w:t>.</w:t>
            </w:r>
          </w:p>
        </w:tc>
        <w:tc>
          <w:tcPr>
            <w:tcW w:w="412" w:type="pct"/>
            <w:vAlign w:val="center"/>
          </w:tcPr>
          <w:p w:rsidR="009478DB" w:rsidRPr="00A81F9F" w:rsidRDefault="009478DB" w:rsidP="00EE1A61">
            <w:pPr>
              <w:rPr>
                <w:b/>
                <w:bCs/>
                <w:sz w:val="18"/>
                <w:szCs w:val="18"/>
              </w:rPr>
            </w:pPr>
            <w:smartTag w:uri="urn:schemas-microsoft-com:office:smarttags" w:element="metricconverter">
              <w:smartTagPr>
                <w:attr w:name="ProductID" w:val="2017 г"/>
              </w:smartTagPr>
              <w:r w:rsidRPr="00A81F9F">
                <w:rPr>
                  <w:b/>
                  <w:bCs/>
                  <w:sz w:val="18"/>
                  <w:szCs w:val="18"/>
                </w:rPr>
                <w:t>2017 г</w:t>
              </w:r>
            </w:smartTag>
            <w:r w:rsidRPr="00A81F9F">
              <w:rPr>
                <w:b/>
                <w:bCs/>
                <w:sz w:val="18"/>
                <w:szCs w:val="18"/>
              </w:rPr>
              <w:t>.</w:t>
            </w:r>
          </w:p>
        </w:tc>
        <w:tc>
          <w:tcPr>
            <w:tcW w:w="414" w:type="pct"/>
            <w:vAlign w:val="center"/>
          </w:tcPr>
          <w:p w:rsidR="009478DB" w:rsidRPr="00A81F9F" w:rsidRDefault="009478DB" w:rsidP="00EE1A61">
            <w:pPr>
              <w:rPr>
                <w:b/>
                <w:bCs/>
                <w:sz w:val="18"/>
                <w:szCs w:val="18"/>
              </w:rPr>
            </w:pPr>
            <w:smartTag w:uri="urn:schemas-microsoft-com:office:smarttags" w:element="metricconverter">
              <w:smartTagPr>
                <w:attr w:name="ProductID" w:val="2018 г"/>
              </w:smartTagPr>
              <w:r w:rsidRPr="00A81F9F">
                <w:rPr>
                  <w:b/>
                  <w:bCs/>
                  <w:sz w:val="18"/>
                  <w:szCs w:val="18"/>
                </w:rPr>
                <w:t>2018 г</w:t>
              </w:r>
            </w:smartTag>
            <w:r w:rsidRPr="00A81F9F">
              <w:rPr>
                <w:b/>
                <w:bCs/>
                <w:sz w:val="18"/>
                <w:szCs w:val="18"/>
              </w:rPr>
              <w:t>.</w:t>
            </w:r>
          </w:p>
        </w:tc>
        <w:tc>
          <w:tcPr>
            <w:tcW w:w="447" w:type="pct"/>
            <w:vMerge/>
            <w:vAlign w:val="center"/>
          </w:tcPr>
          <w:p w:rsidR="009478DB" w:rsidRPr="00A81F9F" w:rsidRDefault="009478DB" w:rsidP="00EE1A61">
            <w:pPr>
              <w:ind w:firstLine="709"/>
              <w:rPr>
                <w:b/>
                <w:bCs/>
                <w:sz w:val="18"/>
                <w:szCs w:val="18"/>
              </w:rPr>
            </w:pPr>
          </w:p>
        </w:tc>
      </w:tr>
      <w:tr w:rsidR="00A86774" w:rsidRPr="00A81F9F" w:rsidTr="00A86774">
        <w:trPr>
          <w:trHeight w:val="420"/>
          <w:jc w:val="center"/>
        </w:trPr>
        <w:tc>
          <w:tcPr>
            <w:tcW w:w="520" w:type="pct"/>
            <w:vAlign w:val="center"/>
          </w:tcPr>
          <w:p w:rsidR="009478DB" w:rsidRPr="00A81F9F" w:rsidRDefault="009478DB" w:rsidP="00EE1A61">
            <w:pPr>
              <w:rPr>
                <w:b/>
                <w:bCs/>
                <w:sz w:val="18"/>
                <w:szCs w:val="18"/>
              </w:rPr>
            </w:pPr>
            <w:r w:rsidRPr="00A81F9F">
              <w:rPr>
                <w:b/>
                <w:bCs/>
                <w:sz w:val="18"/>
                <w:szCs w:val="18"/>
              </w:rPr>
              <w:t xml:space="preserve">ЕЭС России </w:t>
            </w:r>
          </w:p>
        </w:tc>
        <w:tc>
          <w:tcPr>
            <w:tcW w:w="371" w:type="pct"/>
            <w:noWrap/>
            <w:vAlign w:val="center"/>
          </w:tcPr>
          <w:p w:rsidR="009478DB" w:rsidRPr="00A81F9F" w:rsidRDefault="00A86774" w:rsidP="00EE1A61">
            <w:pPr>
              <w:rPr>
                <w:b/>
                <w:bCs/>
                <w:sz w:val="18"/>
                <w:szCs w:val="18"/>
              </w:rPr>
            </w:pPr>
            <w:r>
              <w:rPr>
                <w:b/>
                <w:bCs/>
                <w:sz w:val="18"/>
                <w:szCs w:val="18"/>
              </w:rPr>
              <w:t>989,0</w:t>
            </w:r>
          </w:p>
        </w:tc>
        <w:tc>
          <w:tcPr>
            <w:tcW w:w="409" w:type="pct"/>
            <w:noWrap/>
            <w:vAlign w:val="center"/>
          </w:tcPr>
          <w:p w:rsidR="009478DB" w:rsidRPr="00A81F9F" w:rsidRDefault="009478DB" w:rsidP="00EE1A61">
            <w:pPr>
              <w:rPr>
                <w:b/>
                <w:bCs/>
                <w:sz w:val="18"/>
                <w:szCs w:val="18"/>
              </w:rPr>
            </w:pPr>
            <w:r w:rsidRPr="00A81F9F">
              <w:rPr>
                <w:b/>
                <w:bCs/>
                <w:sz w:val="18"/>
                <w:szCs w:val="18"/>
              </w:rPr>
              <w:t> </w:t>
            </w:r>
          </w:p>
        </w:tc>
        <w:tc>
          <w:tcPr>
            <w:tcW w:w="438" w:type="pct"/>
            <w:noWrap/>
            <w:vAlign w:val="center"/>
          </w:tcPr>
          <w:p w:rsidR="009478DB" w:rsidRPr="00A81F9F" w:rsidRDefault="00A86774" w:rsidP="00EE1A61">
            <w:pPr>
              <w:rPr>
                <w:b/>
                <w:bCs/>
                <w:sz w:val="18"/>
                <w:szCs w:val="18"/>
              </w:rPr>
            </w:pPr>
            <w:r>
              <w:rPr>
                <w:b/>
                <w:bCs/>
                <w:sz w:val="18"/>
                <w:szCs w:val="18"/>
              </w:rPr>
              <w:t>1000,</w:t>
            </w:r>
            <w:r w:rsidR="00937058">
              <w:rPr>
                <w:b/>
                <w:bCs/>
                <w:sz w:val="18"/>
                <w:szCs w:val="18"/>
              </w:rPr>
              <w:t>1</w:t>
            </w:r>
          </w:p>
        </w:tc>
        <w:tc>
          <w:tcPr>
            <w:tcW w:w="380" w:type="pct"/>
            <w:noWrap/>
            <w:vAlign w:val="center"/>
          </w:tcPr>
          <w:p w:rsidR="009478DB" w:rsidRPr="00A81F9F" w:rsidRDefault="00A86774" w:rsidP="00EE1A61">
            <w:pPr>
              <w:rPr>
                <w:b/>
                <w:bCs/>
                <w:sz w:val="18"/>
                <w:szCs w:val="18"/>
              </w:rPr>
            </w:pPr>
            <w:r>
              <w:rPr>
                <w:b/>
                <w:bCs/>
                <w:sz w:val="18"/>
                <w:szCs w:val="18"/>
              </w:rPr>
              <w:t>1021,5</w:t>
            </w:r>
          </w:p>
        </w:tc>
        <w:tc>
          <w:tcPr>
            <w:tcW w:w="365" w:type="pct"/>
            <w:noWrap/>
            <w:vAlign w:val="center"/>
          </w:tcPr>
          <w:p w:rsidR="009478DB" w:rsidRPr="00A81F9F" w:rsidRDefault="00A86774" w:rsidP="00EE1A61">
            <w:pPr>
              <w:rPr>
                <w:b/>
                <w:bCs/>
                <w:sz w:val="18"/>
                <w:szCs w:val="18"/>
              </w:rPr>
            </w:pPr>
            <w:r>
              <w:rPr>
                <w:b/>
                <w:bCs/>
                <w:sz w:val="18"/>
                <w:szCs w:val="18"/>
              </w:rPr>
              <w:t>1045,6</w:t>
            </w:r>
          </w:p>
        </w:tc>
        <w:tc>
          <w:tcPr>
            <w:tcW w:w="418" w:type="pct"/>
            <w:noWrap/>
            <w:vAlign w:val="center"/>
          </w:tcPr>
          <w:p w:rsidR="009478DB" w:rsidRPr="00A81F9F" w:rsidRDefault="00A86774" w:rsidP="00EE1A61">
            <w:pPr>
              <w:rPr>
                <w:b/>
                <w:bCs/>
                <w:sz w:val="18"/>
                <w:szCs w:val="18"/>
              </w:rPr>
            </w:pPr>
            <w:r>
              <w:rPr>
                <w:b/>
                <w:bCs/>
                <w:sz w:val="18"/>
                <w:szCs w:val="18"/>
              </w:rPr>
              <w:t>1076,4</w:t>
            </w:r>
          </w:p>
        </w:tc>
        <w:tc>
          <w:tcPr>
            <w:tcW w:w="412" w:type="pct"/>
            <w:noWrap/>
            <w:vAlign w:val="center"/>
          </w:tcPr>
          <w:p w:rsidR="009478DB" w:rsidRPr="00A81F9F" w:rsidRDefault="00A86774" w:rsidP="00EE1A61">
            <w:pPr>
              <w:rPr>
                <w:b/>
                <w:bCs/>
                <w:sz w:val="18"/>
                <w:szCs w:val="18"/>
              </w:rPr>
            </w:pPr>
            <w:r>
              <w:rPr>
                <w:b/>
                <w:bCs/>
                <w:sz w:val="18"/>
                <w:szCs w:val="18"/>
              </w:rPr>
              <w:t>1103,7</w:t>
            </w:r>
          </w:p>
        </w:tc>
        <w:tc>
          <w:tcPr>
            <w:tcW w:w="412" w:type="pct"/>
            <w:noWrap/>
            <w:vAlign w:val="center"/>
          </w:tcPr>
          <w:p w:rsidR="009478DB" w:rsidRPr="00A81F9F" w:rsidRDefault="00A86774" w:rsidP="00EE1A61">
            <w:pPr>
              <w:rPr>
                <w:b/>
                <w:bCs/>
                <w:sz w:val="18"/>
                <w:szCs w:val="18"/>
              </w:rPr>
            </w:pPr>
            <w:r>
              <w:rPr>
                <w:b/>
                <w:bCs/>
                <w:sz w:val="18"/>
                <w:szCs w:val="18"/>
              </w:rPr>
              <w:t>1129,9</w:t>
            </w:r>
          </w:p>
        </w:tc>
        <w:tc>
          <w:tcPr>
            <w:tcW w:w="412" w:type="pct"/>
            <w:noWrap/>
            <w:vAlign w:val="center"/>
          </w:tcPr>
          <w:p w:rsidR="009478DB" w:rsidRPr="00A81F9F" w:rsidRDefault="00A86774" w:rsidP="00EE1A61">
            <w:pPr>
              <w:rPr>
                <w:b/>
                <w:bCs/>
                <w:sz w:val="18"/>
                <w:szCs w:val="18"/>
              </w:rPr>
            </w:pPr>
            <w:r>
              <w:rPr>
                <w:b/>
                <w:bCs/>
                <w:sz w:val="18"/>
                <w:szCs w:val="18"/>
              </w:rPr>
              <w:t>1154,8</w:t>
            </w:r>
          </w:p>
        </w:tc>
        <w:tc>
          <w:tcPr>
            <w:tcW w:w="414" w:type="pct"/>
            <w:noWrap/>
            <w:vAlign w:val="center"/>
          </w:tcPr>
          <w:p w:rsidR="009478DB" w:rsidRPr="00A81F9F" w:rsidRDefault="00A86774" w:rsidP="00EE1A61">
            <w:pPr>
              <w:rPr>
                <w:b/>
                <w:bCs/>
                <w:sz w:val="18"/>
                <w:szCs w:val="18"/>
              </w:rPr>
            </w:pPr>
            <w:r>
              <w:rPr>
                <w:b/>
                <w:bCs/>
                <w:sz w:val="18"/>
                <w:szCs w:val="18"/>
              </w:rPr>
              <w:t>1175,3</w:t>
            </w:r>
          </w:p>
        </w:tc>
        <w:tc>
          <w:tcPr>
            <w:tcW w:w="447" w:type="pct"/>
            <w:noWrap/>
            <w:vAlign w:val="center"/>
          </w:tcPr>
          <w:p w:rsidR="009478DB" w:rsidRPr="00A81F9F" w:rsidRDefault="009478DB" w:rsidP="00EE1A61">
            <w:pPr>
              <w:rPr>
                <w:i/>
                <w:iCs/>
                <w:sz w:val="18"/>
                <w:szCs w:val="18"/>
              </w:rPr>
            </w:pPr>
            <w:r w:rsidRPr="00A81F9F">
              <w:rPr>
                <w:i/>
                <w:iCs/>
                <w:sz w:val="18"/>
                <w:szCs w:val="18"/>
              </w:rPr>
              <w:t> </w:t>
            </w:r>
          </w:p>
        </w:tc>
      </w:tr>
      <w:tr w:rsidR="00A86774" w:rsidRPr="00A81F9F" w:rsidTr="00A86774">
        <w:trPr>
          <w:trHeight w:val="420"/>
          <w:jc w:val="center"/>
        </w:trPr>
        <w:tc>
          <w:tcPr>
            <w:tcW w:w="520" w:type="pct"/>
            <w:vAlign w:val="center"/>
          </w:tcPr>
          <w:p w:rsidR="009478DB" w:rsidRPr="00A81F9F" w:rsidRDefault="009478DB" w:rsidP="00EE1A61">
            <w:pPr>
              <w:rPr>
                <w:sz w:val="18"/>
                <w:szCs w:val="18"/>
              </w:rPr>
            </w:pPr>
            <w:r w:rsidRPr="00A81F9F">
              <w:rPr>
                <w:sz w:val="18"/>
                <w:szCs w:val="18"/>
              </w:rPr>
              <w:t>Ср.годовой темп прироста, %</w:t>
            </w:r>
          </w:p>
        </w:tc>
        <w:tc>
          <w:tcPr>
            <w:tcW w:w="371" w:type="pct"/>
            <w:noWrap/>
            <w:vAlign w:val="center"/>
          </w:tcPr>
          <w:p w:rsidR="009478DB" w:rsidRPr="00633B28" w:rsidRDefault="009478DB" w:rsidP="00EE1A61">
            <w:pPr>
              <w:rPr>
                <w:b/>
                <w:bCs/>
                <w:i/>
                <w:iCs/>
                <w:color w:val="FF0000"/>
                <w:lang w:val="en-US"/>
              </w:rPr>
            </w:pPr>
          </w:p>
          <w:p w:rsidR="009478DB" w:rsidRPr="00633B28" w:rsidRDefault="009478DB" w:rsidP="00EE1A61">
            <w:pPr>
              <w:rPr>
                <w:b/>
                <w:bCs/>
                <w:i/>
                <w:iCs/>
                <w:color w:val="FF0000"/>
              </w:rPr>
            </w:pPr>
            <w:r w:rsidRPr="00633B28">
              <w:rPr>
                <w:b/>
                <w:bCs/>
                <w:i/>
                <w:iCs/>
                <w:color w:val="FF0000"/>
              </w:rPr>
              <w:t>4,49</w:t>
            </w:r>
          </w:p>
        </w:tc>
        <w:tc>
          <w:tcPr>
            <w:tcW w:w="409" w:type="pct"/>
            <w:noWrap/>
            <w:vAlign w:val="center"/>
          </w:tcPr>
          <w:p w:rsidR="009478DB" w:rsidRPr="00633B28" w:rsidRDefault="009478DB" w:rsidP="00EE1A61">
            <w:pPr>
              <w:rPr>
                <w:b/>
                <w:bCs/>
                <w:i/>
                <w:iCs/>
                <w:color w:val="FF0000"/>
                <w:lang w:val="en-US"/>
              </w:rPr>
            </w:pPr>
          </w:p>
          <w:p w:rsidR="009478DB" w:rsidRPr="00633B28" w:rsidRDefault="009478DB" w:rsidP="00EE1A61">
            <w:pPr>
              <w:rPr>
                <w:b/>
                <w:bCs/>
                <w:i/>
                <w:iCs/>
                <w:color w:val="FF0000"/>
              </w:rPr>
            </w:pPr>
            <w:r w:rsidRPr="00633B28">
              <w:rPr>
                <w:b/>
                <w:bCs/>
                <w:i/>
                <w:iCs/>
                <w:color w:val="FF0000"/>
              </w:rPr>
              <w:t>0,69</w:t>
            </w:r>
          </w:p>
        </w:tc>
        <w:tc>
          <w:tcPr>
            <w:tcW w:w="438" w:type="pct"/>
            <w:noWrap/>
            <w:vAlign w:val="center"/>
          </w:tcPr>
          <w:p w:rsidR="009478DB" w:rsidRPr="00633B28" w:rsidRDefault="009478DB" w:rsidP="00EE1A61">
            <w:pPr>
              <w:rPr>
                <w:b/>
                <w:bCs/>
                <w:i/>
                <w:iCs/>
                <w:color w:val="FF0000"/>
                <w:lang w:val="en-US"/>
              </w:rPr>
            </w:pPr>
          </w:p>
          <w:p w:rsidR="009478DB" w:rsidRPr="00633B28" w:rsidRDefault="009478DB" w:rsidP="00EE1A61">
            <w:pPr>
              <w:rPr>
                <w:b/>
                <w:bCs/>
                <w:i/>
                <w:iCs/>
                <w:color w:val="FF0000"/>
              </w:rPr>
            </w:pPr>
            <w:r w:rsidRPr="00633B28">
              <w:rPr>
                <w:b/>
                <w:bCs/>
                <w:i/>
                <w:iCs/>
                <w:color w:val="FF0000"/>
              </w:rPr>
              <w:t>1,2</w:t>
            </w:r>
          </w:p>
        </w:tc>
        <w:tc>
          <w:tcPr>
            <w:tcW w:w="380" w:type="pct"/>
            <w:noWrap/>
            <w:vAlign w:val="center"/>
          </w:tcPr>
          <w:p w:rsidR="009478DB" w:rsidRDefault="009478DB" w:rsidP="00EE1A61">
            <w:pPr>
              <w:rPr>
                <w:b/>
                <w:bCs/>
                <w:i/>
                <w:iCs/>
                <w:lang w:val="en-US"/>
              </w:rPr>
            </w:pPr>
            <w:r w:rsidRPr="00A81F9F">
              <w:rPr>
                <w:b/>
                <w:bCs/>
                <w:i/>
                <w:iCs/>
              </w:rPr>
              <w:t>2,14</w:t>
            </w:r>
          </w:p>
          <w:p w:rsidR="009478DB" w:rsidRPr="003B037D" w:rsidRDefault="003B037D" w:rsidP="00EE1A61">
            <w:pPr>
              <w:rPr>
                <w:b/>
                <w:bCs/>
                <w:i/>
                <w:iCs/>
                <w:color w:val="FF0000"/>
              </w:rPr>
            </w:pPr>
            <w:r>
              <w:rPr>
                <w:b/>
                <w:bCs/>
                <w:i/>
                <w:iCs/>
                <w:color w:val="FF0000"/>
                <w:lang w:val="en-US"/>
              </w:rPr>
              <w:t>1</w:t>
            </w:r>
            <w:r>
              <w:rPr>
                <w:b/>
                <w:bCs/>
                <w:i/>
                <w:iCs/>
                <w:color w:val="FF0000"/>
              </w:rPr>
              <w:t>,6</w:t>
            </w:r>
          </w:p>
        </w:tc>
        <w:tc>
          <w:tcPr>
            <w:tcW w:w="365" w:type="pct"/>
            <w:noWrap/>
            <w:vAlign w:val="center"/>
          </w:tcPr>
          <w:p w:rsidR="009478DB" w:rsidRDefault="009478DB" w:rsidP="00EE1A61">
            <w:pPr>
              <w:rPr>
                <w:b/>
                <w:bCs/>
                <w:i/>
                <w:iCs/>
                <w:lang w:val="en-US"/>
              </w:rPr>
            </w:pPr>
            <w:r w:rsidRPr="00A81F9F">
              <w:rPr>
                <w:b/>
                <w:bCs/>
                <w:i/>
                <w:iCs/>
              </w:rPr>
              <w:t>2,36</w:t>
            </w:r>
          </w:p>
          <w:p w:rsidR="009478DB" w:rsidRPr="00633B28" w:rsidRDefault="009478DB" w:rsidP="00EE1A61">
            <w:pPr>
              <w:rPr>
                <w:b/>
                <w:bCs/>
                <w:i/>
                <w:iCs/>
                <w:lang w:val="en-US"/>
              </w:rPr>
            </w:pPr>
          </w:p>
        </w:tc>
        <w:tc>
          <w:tcPr>
            <w:tcW w:w="418" w:type="pct"/>
            <w:noWrap/>
            <w:vAlign w:val="center"/>
          </w:tcPr>
          <w:p w:rsidR="009478DB" w:rsidRDefault="009478DB" w:rsidP="00EE1A61">
            <w:pPr>
              <w:rPr>
                <w:b/>
                <w:bCs/>
                <w:i/>
                <w:iCs/>
                <w:lang w:val="en-US"/>
              </w:rPr>
            </w:pPr>
            <w:r w:rsidRPr="00A81F9F">
              <w:rPr>
                <w:b/>
                <w:bCs/>
                <w:i/>
                <w:iCs/>
              </w:rPr>
              <w:t>2,95</w:t>
            </w:r>
          </w:p>
          <w:p w:rsidR="009478DB" w:rsidRPr="00633B28" w:rsidRDefault="009478DB" w:rsidP="00EE1A61">
            <w:pPr>
              <w:rPr>
                <w:b/>
                <w:bCs/>
                <w:i/>
                <w:iCs/>
                <w:lang w:val="en-US"/>
              </w:rPr>
            </w:pPr>
          </w:p>
        </w:tc>
        <w:tc>
          <w:tcPr>
            <w:tcW w:w="412" w:type="pct"/>
            <w:noWrap/>
            <w:vAlign w:val="center"/>
          </w:tcPr>
          <w:p w:rsidR="009478DB" w:rsidRDefault="009478DB" w:rsidP="00EE1A61">
            <w:pPr>
              <w:rPr>
                <w:b/>
                <w:bCs/>
                <w:i/>
                <w:iCs/>
                <w:lang w:val="en-US"/>
              </w:rPr>
            </w:pPr>
            <w:r w:rsidRPr="00A81F9F">
              <w:rPr>
                <w:b/>
                <w:bCs/>
                <w:i/>
                <w:iCs/>
              </w:rPr>
              <w:t>2,53</w:t>
            </w:r>
          </w:p>
          <w:p w:rsidR="009478DB" w:rsidRPr="00633B28" w:rsidRDefault="009478DB" w:rsidP="00EE1A61">
            <w:pPr>
              <w:rPr>
                <w:b/>
                <w:bCs/>
                <w:i/>
                <w:iCs/>
                <w:lang w:val="en-US"/>
              </w:rPr>
            </w:pPr>
          </w:p>
        </w:tc>
        <w:tc>
          <w:tcPr>
            <w:tcW w:w="412" w:type="pct"/>
            <w:noWrap/>
            <w:vAlign w:val="center"/>
          </w:tcPr>
          <w:p w:rsidR="009478DB" w:rsidRDefault="009478DB" w:rsidP="00EE1A61">
            <w:pPr>
              <w:rPr>
                <w:b/>
                <w:bCs/>
                <w:i/>
                <w:iCs/>
                <w:lang w:val="en-US"/>
              </w:rPr>
            </w:pPr>
            <w:r w:rsidRPr="00A81F9F">
              <w:rPr>
                <w:b/>
                <w:bCs/>
                <w:i/>
                <w:iCs/>
              </w:rPr>
              <w:t>2,38</w:t>
            </w:r>
          </w:p>
          <w:p w:rsidR="009478DB" w:rsidRPr="00633B28" w:rsidRDefault="009478DB" w:rsidP="00EE1A61">
            <w:pPr>
              <w:rPr>
                <w:b/>
                <w:bCs/>
                <w:i/>
                <w:iCs/>
                <w:lang w:val="en-US"/>
              </w:rPr>
            </w:pPr>
          </w:p>
        </w:tc>
        <w:tc>
          <w:tcPr>
            <w:tcW w:w="412" w:type="pct"/>
            <w:noWrap/>
            <w:vAlign w:val="center"/>
          </w:tcPr>
          <w:p w:rsidR="009478DB" w:rsidRDefault="009478DB" w:rsidP="00EE1A61">
            <w:pPr>
              <w:rPr>
                <w:b/>
                <w:bCs/>
                <w:i/>
                <w:iCs/>
                <w:lang w:val="en-US"/>
              </w:rPr>
            </w:pPr>
            <w:r w:rsidRPr="00A81F9F">
              <w:rPr>
                <w:b/>
                <w:bCs/>
                <w:i/>
                <w:iCs/>
              </w:rPr>
              <w:t>2,20</w:t>
            </w:r>
          </w:p>
          <w:p w:rsidR="009478DB" w:rsidRPr="00633B28" w:rsidRDefault="009478DB" w:rsidP="00EE1A61">
            <w:pPr>
              <w:rPr>
                <w:b/>
                <w:bCs/>
                <w:i/>
                <w:iCs/>
                <w:lang w:val="en-US"/>
              </w:rPr>
            </w:pPr>
          </w:p>
        </w:tc>
        <w:tc>
          <w:tcPr>
            <w:tcW w:w="414" w:type="pct"/>
            <w:noWrap/>
            <w:vAlign w:val="center"/>
          </w:tcPr>
          <w:p w:rsidR="009478DB" w:rsidRDefault="009478DB" w:rsidP="00EE1A61">
            <w:pPr>
              <w:rPr>
                <w:b/>
                <w:bCs/>
                <w:i/>
                <w:iCs/>
                <w:lang w:val="en-US"/>
              </w:rPr>
            </w:pPr>
            <w:r w:rsidRPr="00A81F9F">
              <w:rPr>
                <w:b/>
                <w:bCs/>
                <w:i/>
                <w:iCs/>
              </w:rPr>
              <w:t>1,77</w:t>
            </w:r>
          </w:p>
          <w:p w:rsidR="009478DB" w:rsidRPr="00633B28" w:rsidRDefault="009478DB" w:rsidP="00EE1A61">
            <w:pPr>
              <w:rPr>
                <w:b/>
                <w:bCs/>
                <w:i/>
                <w:iCs/>
                <w:lang w:val="en-US"/>
              </w:rPr>
            </w:pPr>
          </w:p>
        </w:tc>
        <w:tc>
          <w:tcPr>
            <w:tcW w:w="447" w:type="pct"/>
            <w:noWrap/>
            <w:vAlign w:val="center"/>
          </w:tcPr>
          <w:p w:rsidR="009478DB" w:rsidRDefault="009478DB" w:rsidP="00EE1A61">
            <w:pPr>
              <w:rPr>
                <w:b/>
                <w:bCs/>
                <w:i/>
                <w:iCs/>
                <w:sz w:val="20"/>
                <w:szCs w:val="20"/>
                <w:lang w:val="en-US"/>
              </w:rPr>
            </w:pPr>
            <w:r w:rsidRPr="00A81F9F">
              <w:rPr>
                <w:b/>
                <w:bCs/>
                <w:i/>
                <w:iCs/>
                <w:sz w:val="32"/>
                <w:szCs w:val="32"/>
              </w:rPr>
              <w:t>2,33</w:t>
            </w:r>
          </w:p>
          <w:p w:rsidR="009478DB" w:rsidRPr="00633B28" w:rsidRDefault="009478DB" w:rsidP="00EE1A61">
            <w:pPr>
              <w:rPr>
                <w:b/>
                <w:bCs/>
                <w:i/>
                <w:iCs/>
                <w:sz w:val="20"/>
                <w:szCs w:val="20"/>
                <w:lang w:val="en-US"/>
              </w:rPr>
            </w:pPr>
          </w:p>
        </w:tc>
      </w:tr>
    </w:tbl>
    <w:p w:rsidR="009478DB" w:rsidRDefault="009478DB" w:rsidP="00DB6853">
      <w:pPr>
        <w:jc w:val="both"/>
      </w:pPr>
    </w:p>
    <w:p w:rsidR="009478DB" w:rsidRDefault="009478DB" w:rsidP="00FB732A">
      <w:pPr>
        <w:ind w:firstLine="709"/>
        <w:jc w:val="right"/>
      </w:pPr>
      <w:r>
        <w:t>Таблица 3.</w:t>
      </w:r>
    </w:p>
    <w:p w:rsidR="009478DB" w:rsidRDefault="009478DB" w:rsidP="00FB732A">
      <w:pPr>
        <w:ind w:firstLine="709"/>
        <w:jc w:val="center"/>
      </w:pPr>
      <w:r>
        <w:t xml:space="preserve">Прогноз </w:t>
      </w:r>
      <w:r w:rsidR="001B4DF5">
        <w:t>электро</w:t>
      </w:r>
      <w:r>
        <w:t>потребления (млрд.КВт.ч) на 201</w:t>
      </w:r>
      <w:r w:rsidR="00A86774">
        <w:t>3 – 2019 годы (Минэнерго 2013г.</w:t>
      </w:r>
      <w:r w:rsidR="00DB6853">
        <w:t>)</w:t>
      </w:r>
    </w:p>
    <w:p w:rsidR="00DB6853" w:rsidRDefault="00DB6853" w:rsidP="00FB732A">
      <w:pPr>
        <w:ind w:firstLine="709"/>
        <w:jc w:val="center"/>
      </w:pPr>
    </w:p>
    <w:tbl>
      <w:tblPr>
        <w:tblW w:w="5154" w:type="pct"/>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34"/>
        <w:gridCol w:w="892"/>
        <w:gridCol w:w="882"/>
        <w:gridCol w:w="774"/>
        <w:gridCol w:w="760"/>
        <w:gridCol w:w="829"/>
        <w:gridCol w:w="760"/>
        <w:gridCol w:w="760"/>
        <w:gridCol w:w="760"/>
        <w:gridCol w:w="837"/>
        <w:gridCol w:w="845"/>
        <w:gridCol w:w="801"/>
      </w:tblGrid>
      <w:tr w:rsidR="009478DB" w:rsidRPr="00A81F9F" w:rsidTr="00A86774">
        <w:trPr>
          <w:trHeight w:val="1065"/>
          <w:jc w:val="center"/>
        </w:trPr>
        <w:tc>
          <w:tcPr>
            <w:tcW w:w="609" w:type="pct"/>
            <w:vMerge w:val="restart"/>
            <w:noWrap/>
            <w:vAlign w:val="bottom"/>
          </w:tcPr>
          <w:p w:rsidR="009478DB" w:rsidRPr="00A81F9F" w:rsidRDefault="009478DB" w:rsidP="00433F1B">
            <w:pPr>
              <w:ind w:firstLine="709"/>
              <w:rPr>
                <w:b/>
                <w:bCs/>
                <w:sz w:val="18"/>
                <w:szCs w:val="18"/>
              </w:rPr>
            </w:pPr>
            <w:r w:rsidRPr="00A81F9F">
              <w:rPr>
                <w:b/>
                <w:bCs/>
                <w:sz w:val="18"/>
                <w:szCs w:val="18"/>
              </w:rPr>
              <w:t> </w:t>
            </w:r>
          </w:p>
        </w:tc>
        <w:tc>
          <w:tcPr>
            <w:tcW w:w="440" w:type="pct"/>
            <w:noWrap/>
            <w:vAlign w:val="center"/>
          </w:tcPr>
          <w:p w:rsidR="009478DB" w:rsidRPr="00A81F9F" w:rsidRDefault="009478DB" w:rsidP="00433F1B">
            <w:pPr>
              <w:rPr>
                <w:b/>
                <w:bCs/>
                <w:sz w:val="18"/>
                <w:szCs w:val="18"/>
              </w:rPr>
            </w:pPr>
            <w:r w:rsidRPr="00A81F9F">
              <w:rPr>
                <w:b/>
                <w:bCs/>
                <w:sz w:val="18"/>
                <w:szCs w:val="18"/>
              </w:rPr>
              <w:t>Факт</w:t>
            </w:r>
          </w:p>
        </w:tc>
        <w:tc>
          <w:tcPr>
            <w:tcW w:w="435" w:type="pct"/>
            <w:vMerge w:val="restart"/>
            <w:vAlign w:val="center"/>
          </w:tcPr>
          <w:p w:rsidR="009478DB" w:rsidRPr="00A81F9F" w:rsidRDefault="009478DB" w:rsidP="00433F1B">
            <w:pPr>
              <w:ind w:firstLine="709"/>
              <w:jc w:val="center"/>
              <w:rPr>
                <w:b/>
                <w:bCs/>
                <w:sz w:val="18"/>
                <w:szCs w:val="18"/>
              </w:rPr>
            </w:pPr>
          </w:p>
          <w:p w:rsidR="009478DB" w:rsidRPr="00A81F9F" w:rsidRDefault="009478DB" w:rsidP="00433F1B">
            <w:pPr>
              <w:rPr>
                <w:b/>
                <w:bCs/>
                <w:sz w:val="18"/>
                <w:szCs w:val="18"/>
              </w:rPr>
            </w:pPr>
            <w:r w:rsidRPr="00A81F9F">
              <w:rPr>
                <w:b/>
                <w:bCs/>
                <w:sz w:val="18"/>
                <w:szCs w:val="18"/>
              </w:rPr>
              <w:t>Ср.год. прирост за 20</w:t>
            </w:r>
            <w:r>
              <w:rPr>
                <w:b/>
                <w:bCs/>
                <w:sz w:val="18"/>
                <w:szCs w:val="18"/>
              </w:rPr>
              <w:t>09</w:t>
            </w:r>
            <w:r w:rsidRPr="00A81F9F">
              <w:rPr>
                <w:b/>
                <w:bCs/>
                <w:sz w:val="18"/>
                <w:szCs w:val="18"/>
              </w:rPr>
              <w:t xml:space="preserve"> - 20</w:t>
            </w:r>
            <w:r>
              <w:rPr>
                <w:b/>
                <w:bCs/>
                <w:sz w:val="18"/>
                <w:szCs w:val="18"/>
              </w:rPr>
              <w:t>11</w:t>
            </w:r>
            <w:r w:rsidRPr="00A81F9F">
              <w:rPr>
                <w:b/>
                <w:bCs/>
                <w:sz w:val="18"/>
                <w:szCs w:val="18"/>
              </w:rPr>
              <w:t xml:space="preserve"> годы., %</w:t>
            </w:r>
          </w:p>
        </w:tc>
        <w:tc>
          <w:tcPr>
            <w:tcW w:w="382" w:type="pct"/>
            <w:noWrap/>
            <w:vAlign w:val="center"/>
          </w:tcPr>
          <w:p w:rsidR="009478DB" w:rsidRPr="00A81F9F" w:rsidRDefault="009478DB" w:rsidP="00433F1B">
            <w:pPr>
              <w:rPr>
                <w:b/>
                <w:bCs/>
                <w:sz w:val="18"/>
                <w:szCs w:val="18"/>
              </w:rPr>
            </w:pPr>
            <w:r w:rsidRPr="00A81F9F">
              <w:rPr>
                <w:b/>
                <w:bCs/>
                <w:sz w:val="18"/>
                <w:szCs w:val="18"/>
              </w:rPr>
              <w:t>Факт</w:t>
            </w:r>
          </w:p>
        </w:tc>
        <w:tc>
          <w:tcPr>
            <w:tcW w:w="2737" w:type="pct"/>
            <w:gridSpan w:val="7"/>
            <w:noWrap/>
            <w:vAlign w:val="center"/>
          </w:tcPr>
          <w:p w:rsidR="009478DB" w:rsidRPr="00A81F9F" w:rsidRDefault="009478DB" w:rsidP="00433F1B">
            <w:pPr>
              <w:jc w:val="center"/>
              <w:rPr>
                <w:b/>
                <w:bCs/>
                <w:sz w:val="18"/>
                <w:szCs w:val="18"/>
              </w:rPr>
            </w:pPr>
            <w:r w:rsidRPr="00A81F9F">
              <w:rPr>
                <w:b/>
                <w:bCs/>
                <w:sz w:val="18"/>
                <w:szCs w:val="18"/>
              </w:rPr>
              <w:t>Прогноз</w:t>
            </w:r>
          </w:p>
        </w:tc>
        <w:tc>
          <w:tcPr>
            <w:tcW w:w="397" w:type="pct"/>
            <w:vMerge w:val="restart"/>
            <w:vAlign w:val="center"/>
          </w:tcPr>
          <w:p w:rsidR="009478DB" w:rsidRPr="00A81F9F" w:rsidRDefault="009478DB" w:rsidP="00433F1B">
            <w:pPr>
              <w:rPr>
                <w:b/>
                <w:bCs/>
                <w:sz w:val="18"/>
                <w:szCs w:val="18"/>
              </w:rPr>
            </w:pPr>
            <w:r w:rsidRPr="00A81F9F">
              <w:rPr>
                <w:b/>
                <w:bCs/>
                <w:sz w:val="18"/>
                <w:szCs w:val="18"/>
              </w:rPr>
              <w:t>Ср.год. прирост за 2012 - 2018 годы., %</w:t>
            </w:r>
          </w:p>
        </w:tc>
      </w:tr>
      <w:tr w:rsidR="00A86774" w:rsidRPr="00A81F9F" w:rsidTr="00A86774">
        <w:trPr>
          <w:trHeight w:val="701"/>
          <w:jc w:val="center"/>
        </w:trPr>
        <w:tc>
          <w:tcPr>
            <w:tcW w:w="609" w:type="pct"/>
            <w:vMerge/>
            <w:vAlign w:val="center"/>
          </w:tcPr>
          <w:p w:rsidR="009478DB" w:rsidRPr="00A81F9F" w:rsidRDefault="009478DB" w:rsidP="00433F1B">
            <w:pPr>
              <w:ind w:firstLine="709"/>
              <w:rPr>
                <w:b/>
                <w:bCs/>
                <w:sz w:val="18"/>
                <w:szCs w:val="18"/>
              </w:rPr>
            </w:pPr>
          </w:p>
        </w:tc>
        <w:tc>
          <w:tcPr>
            <w:tcW w:w="440" w:type="pct"/>
            <w:noWrap/>
            <w:vAlign w:val="center"/>
          </w:tcPr>
          <w:p w:rsidR="009478DB" w:rsidRPr="00A81F9F" w:rsidRDefault="009478DB" w:rsidP="00433F1B">
            <w:pPr>
              <w:rPr>
                <w:b/>
                <w:bCs/>
                <w:sz w:val="18"/>
                <w:szCs w:val="18"/>
              </w:rPr>
            </w:pPr>
            <w:smartTag w:uri="urn:schemas-microsoft-com:office:smarttags" w:element="metricconverter">
              <w:smartTagPr>
                <w:attr w:name="ProductID" w:val="2011 г"/>
              </w:smartTagPr>
              <w:r>
                <w:rPr>
                  <w:b/>
                  <w:bCs/>
                  <w:sz w:val="18"/>
                  <w:szCs w:val="18"/>
                </w:rPr>
                <w:t xml:space="preserve">2011 </w:t>
              </w:r>
              <w:r w:rsidRPr="00A81F9F">
                <w:rPr>
                  <w:b/>
                  <w:bCs/>
                  <w:sz w:val="18"/>
                  <w:szCs w:val="18"/>
                </w:rPr>
                <w:t>г</w:t>
              </w:r>
            </w:smartTag>
            <w:r w:rsidRPr="00A81F9F">
              <w:rPr>
                <w:b/>
                <w:bCs/>
                <w:sz w:val="18"/>
                <w:szCs w:val="18"/>
              </w:rPr>
              <w:t>.</w:t>
            </w:r>
          </w:p>
        </w:tc>
        <w:tc>
          <w:tcPr>
            <w:tcW w:w="435" w:type="pct"/>
            <w:vMerge/>
            <w:vAlign w:val="center"/>
          </w:tcPr>
          <w:p w:rsidR="009478DB" w:rsidRPr="00A81F9F" w:rsidRDefault="009478DB" w:rsidP="00433F1B">
            <w:pPr>
              <w:ind w:firstLine="709"/>
              <w:rPr>
                <w:b/>
                <w:bCs/>
                <w:sz w:val="18"/>
                <w:szCs w:val="18"/>
              </w:rPr>
            </w:pPr>
          </w:p>
        </w:tc>
        <w:tc>
          <w:tcPr>
            <w:tcW w:w="382" w:type="pct"/>
            <w:noWrap/>
            <w:vAlign w:val="center"/>
          </w:tcPr>
          <w:p w:rsidR="009478DB" w:rsidRPr="00A81F9F" w:rsidRDefault="009478DB" w:rsidP="00433F1B">
            <w:pPr>
              <w:rPr>
                <w:b/>
                <w:bCs/>
                <w:sz w:val="18"/>
                <w:szCs w:val="18"/>
              </w:rPr>
            </w:pPr>
            <w:smartTag w:uri="urn:schemas-microsoft-com:office:smarttags" w:element="metricconverter">
              <w:smartTagPr>
                <w:attr w:name="ProductID" w:val="2012 г"/>
              </w:smartTagPr>
              <w:r w:rsidRPr="00A81F9F">
                <w:rPr>
                  <w:b/>
                  <w:bCs/>
                  <w:sz w:val="18"/>
                  <w:szCs w:val="18"/>
                </w:rPr>
                <w:t>20</w:t>
              </w:r>
              <w:r>
                <w:rPr>
                  <w:b/>
                  <w:bCs/>
                  <w:sz w:val="18"/>
                  <w:szCs w:val="18"/>
                </w:rPr>
                <w:t>12</w:t>
              </w:r>
              <w:r w:rsidRPr="00A81F9F">
                <w:rPr>
                  <w:b/>
                  <w:bCs/>
                  <w:sz w:val="18"/>
                  <w:szCs w:val="18"/>
                </w:rPr>
                <w:t xml:space="preserve"> г</w:t>
              </w:r>
            </w:smartTag>
            <w:r w:rsidRPr="00A81F9F">
              <w:rPr>
                <w:b/>
                <w:bCs/>
                <w:sz w:val="18"/>
                <w:szCs w:val="18"/>
              </w:rPr>
              <w:t>.</w:t>
            </w:r>
          </w:p>
        </w:tc>
        <w:tc>
          <w:tcPr>
            <w:tcW w:w="375" w:type="pct"/>
            <w:vAlign w:val="center"/>
          </w:tcPr>
          <w:p w:rsidR="009478DB" w:rsidRPr="00A81F9F" w:rsidRDefault="009478DB" w:rsidP="00433F1B">
            <w:pPr>
              <w:rPr>
                <w:b/>
                <w:bCs/>
                <w:sz w:val="18"/>
                <w:szCs w:val="18"/>
              </w:rPr>
            </w:pPr>
            <w:smartTag w:uri="urn:schemas-microsoft-com:office:smarttags" w:element="metricconverter">
              <w:smartTagPr>
                <w:attr w:name="ProductID" w:val="2013 г"/>
              </w:smartTagPr>
              <w:r w:rsidRPr="00A81F9F">
                <w:rPr>
                  <w:b/>
                  <w:bCs/>
                  <w:sz w:val="18"/>
                  <w:szCs w:val="18"/>
                </w:rPr>
                <w:t>201</w:t>
              </w:r>
              <w:r>
                <w:rPr>
                  <w:b/>
                  <w:bCs/>
                  <w:sz w:val="18"/>
                  <w:szCs w:val="18"/>
                </w:rPr>
                <w:t>3</w:t>
              </w:r>
              <w:r w:rsidRPr="00A81F9F">
                <w:rPr>
                  <w:b/>
                  <w:bCs/>
                  <w:sz w:val="18"/>
                  <w:szCs w:val="18"/>
                </w:rPr>
                <w:t xml:space="preserve"> г</w:t>
              </w:r>
            </w:smartTag>
            <w:r w:rsidRPr="00A81F9F">
              <w:rPr>
                <w:b/>
                <w:bCs/>
                <w:sz w:val="18"/>
                <w:szCs w:val="18"/>
              </w:rPr>
              <w:t>.</w:t>
            </w:r>
          </w:p>
        </w:tc>
        <w:tc>
          <w:tcPr>
            <w:tcW w:w="409" w:type="pct"/>
            <w:vAlign w:val="center"/>
          </w:tcPr>
          <w:p w:rsidR="009478DB" w:rsidRPr="00A81F9F" w:rsidRDefault="009478DB" w:rsidP="00433F1B">
            <w:pPr>
              <w:rPr>
                <w:b/>
                <w:bCs/>
                <w:sz w:val="18"/>
                <w:szCs w:val="18"/>
              </w:rPr>
            </w:pPr>
            <w:smartTag w:uri="urn:schemas-microsoft-com:office:smarttags" w:element="metricconverter">
              <w:smartTagPr>
                <w:attr w:name="ProductID" w:val="2014 г"/>
              </w:smartTagPr>
              <w:r w:rsidRPr="00A81F9F">
                <w:rPr>
                  <w:b/>
                  <w:bCs/>
                  <w:sz w:val="18"/>
                  <w:szCs w:val="18"/>
                </w:rPr>
                <w:t>201</w:t>
              </w:r>
              <w:r>
                <w:rPr>
                  <w:b/>
                  <w:bCs/>
                  <w:sz w:val="18"/>
                  <w:szCs w:val="18"/>
                </w:rPr>
                <w:t>4</w:t>
              </w:r>
              <w:r w:rsidRPr="00A81F9F">
                <w:rPr>
                  <w:b/>
                  <w:bCs/>
                  <w:sz w:val="18"/>
                  <w:szCs w:val="18"/>
                </w:rPr>
                <w:t xml:space="preserve"> г</w:t>
              </w:r>
            </w:smartTag>
            <w:r w:rsidRPr="00A81F9F">
              <w:rPr>
                <w:b/>
                <w:bCs/>
                <w:sz w:val="18"/>
                <w:szCs w:val="18"/>
              </w:rPr>
              <w:t>.</w:t>
            </w:r>
          </w:p>
        </w:tc>
        <w:tc>
          <w:tcPr>
            <w:tcW w:w="375" w:type="pct"/>
            <w:vAlign w:val="center"/>
          </w:tcPr>
          <w:p w:rsidR="009478DB" w:rsidRPr="00A81F9F" w:rsidRDefault="009478DB" w:rsidP="00433F1B">
            <w:pPr>
              <w:rPr>
                <w:b/>
                <w:bCs/>
                <w:sz w:val="18"/>
                <w:szCs w:val="18"/>
              </w:rPr>
            </w:pPr>
            <w:smartTag w:uri="urn:schemas-microsoft-com:office:smarttags" w:element="metricconverter">
              <w:smartTagPr>
                <w:attr w:name="ProductID" w:val="2015 г"/>
              </w:smartTagPr>
              <w:r w:rsidRPr="00A81F9F">
                <w:rPr>
                  <w:b/>
                  <w:bCs/>
                  <w:sz w:val="18"/>
                  <w:szCs w:val="18"/>
                </w:rPr>
                <w:t>201</w:t>
              </w:r>
              <w:r>
                <w:rPr>
                  <w:b/>
                  <w:bCs/>
                  <w:sz w:val="18"/>
                  <w:szCs w:val="18"/>
                </w:rPr>
                <w:t>5</w:t>
              </w:r>
              <w:r w:rsidRPr="00A81F9F">
                <w:rPr>
                  <w:b/>
                  <w:bCs/>
                  <w:sz w:val="18"/>
                  <w:szCs w:val="18"/>
                </w:rPr>
                <w:t xml:space="preserve"> г</w:t>
              </w:r>
            </w:smartTag>
            <w:r w:rsidRPr="00A81F9F">
              <w:rPr>
                <w:b/>
                <w:bCs/>
                <w:sz w:val="18"/>
                <w:szCs w:val="18"/>
              </w:rPr>
              <w:t>.</w:t>
            </w:r>
          </w:p>
        </w:tc>
        <w:tc>
          <w:tcPr>
            <w:tcW w:w="375" w:type="pct"/>
            <w:vAlign w:val="center"/>
          </w:tcPr>
          <w:p w:rsidR="009478DB" w:rsidRPr="00A81F9F" w:rsidRDefault="009478DB" w:rsidP="00433F1B">
            <w:pPr>
              <w:rPr>
                <w:b/>
                <w:bCs/>
                <w:sz w:val="18"/>
                <w:szCs w:val="18"/>
              </w:rPr>
            </w:pPr>
            <w:smartTag w:uri="urn:schemas-microsoft-com:office:smarttags" w:element="metricconverter">
              <w:smartTagPr>
                <w:attr w:name="ProductID" w:val="2016 г"/>
              </w:smartTagPr>
              <w:r w:rsidRPr="00A81F9F">
                <w:rPr>
                  <w:b/>
                  <w:bCs/>
                  <w:sz w:val="18"/>
                  <w:szCs w:val="18"/>
                </w:rPr>
                <w:t>201</w:t>
              </w:r>
              <w:r>
                <w:rPr>
                  <w:b/>
                  <w:bCs/>
                  <w:sz w:val="18"/>
                  <w:szCs w:val="18"/>
                </w:rPr>
                <w:t>6</w:t>
              </w:r>
              <w:r w:rsidRPr="00A81F9F">
                <w:rPr>
                  <w:b/>
                  <w:bCs/>
                  <w:sz w:val="18"/>
                  <w:szCs w:val="18"/>
                </w:rPr>
                <w:t xml:space="preserve"> г</w:t>
              </w:r>
            </w:smartTag>
            <w:r w:rsidRPr="00A81F9F">
              <w:rPr>
                <w:b/>
                <w:bCs/>
                <w:sz w:val="18"/>
                <w:szCs w:val="18"/>
              </w:rPr>
              <w:t>.</w:t>
            </w:r>
          </w:p>
        </w:tc>
        <w:tc>
          <w:tcPr>
            <w:tcW w:w="375" w:type="pct"/>
            <w:vAlign w:val="center"/>
          </w:tcPr>
          <w:p w:rsidR="009478DB" w:rsidRPr="00A81F9F" w:rsidRDefault="009478DB" w:rsidP="00433F1B">
            <w:pPr>
              <w:rPr>
                <w:b/>
                <w:bCs/>
                <w:sz w:val="18"/>
                <w:szCs w:val="18"/>
              </w:rPr>
            </w:pPr>
            <w:smartTag w:uri="urn:schemas-microsoft-com:office:smarttags" w:element="metricconverter">
              <w:smartTagPr>
                <w:attr w:name="ProductID" w:val="2017 г"/>
              </w:smartTagPr>
              <w:r w:rsidRPr="00A81F9F">
                <w:rPr>
                  <w:b/>
                  <w:bCs/>
                  <w:sz w:val="18"/>
                  <w:szCs w:val="18"/>
                </w:rPr>
                <w:t>201</w:t>
              </w:r>
              <w:r>
                <w:rPr>
                  <w:b/>
                  <w:bCs/>
                  <w:sz w:val="18"/>
                  <w:szCs w:val="18"/>
                </w:rPr>
                <w:t>7</w:t>
              </w:r>
              <w:r w:rsidRPr="00A81F9F">
                <w:rPr>
                  <w:b/>
                  <w:bCs/>
                  <w:sz w:val="18"/>
                  <w:szCs w:val="18"/>
                </w:rPr>
                <w:t xml:space="preserve"> г</w:t>
              </w:r>
            </w:smartTag>
            <w:r w:rsidRPr="00A81F9F">
              <w:rPr>
                <w:b/>
                <w:bCs/>
                <w:sz w:val="18"/>
                <w:szCs w:val="18"/>
              </w:rPr>
              <w:t>.</w:t>
            </w:r>
          </w:p>
        </w:tc>
        <w:tc>
          <w:tcPr>
            <w:tcW w:w="413" w:type="pct"/>
            <w:vAlign w:val="center"/>
          </w:tcPr>
          <w:p w:rsidR="009478DB" w:rsidRPr="00A81F9F" w:rsidRDefault="009478DB" w:rsidP="00433F1B">
            <w:pPr>
              <w:rPr>
                <w:b/>
                <w:bCs/>
                <w:sz w:val="18"/>
                <w:szCs w:val="18"/>
              </w:rPr>
            </w:pPr>
            <w:smartTag w:uri="urn:schemas-microsoft-com:office:smarttags" w:element="metricconverter">
              <w:smartTagPr>
                <w:attr w:name="ProductID" w:val="2018 г"/>
              </w:smartTagPr>
              <w:r w:rsidRPr="00A81F9F">
                <w:rPr>
                  <w:b/>
                  <w:bCs/>
                  <w:sz w:val="18"/>
                  <w:szCs w:val="18"/>
                </w:rPr>
                <w:t>20</w:t>
              </w:r>
              <w:r>
                <w:rPr>
                  <w:b/>
                  <w:bCs/>
                  <w:sz w:val="18"/>
                  <w:szCs w:val="18"/>
                </w:rPr>
                <w:t>18</w:t>
              </w:r>
              <w:r w:rsidRPr="00A81F9F">
                <w:rPr>
                  <w:b/>
                  <w:bCs/>
                  <w:sz w:val="18"/>
                  <w:szCs w:val="18"/>
                </w:rPr>
                <w:t xml:space="preserve"> г</w:t>
              </w:r>
            </w:smartTag>
            <w:r w:rsidRPr="00A81F9F">
              <w:rPr>
                <w:b/>
                <w:bCs/>
                <w:sz w:val="18"/>
                <w:szCs w:val="18"/>
              </w:rPr>
              <w:t>.</w:t>
            </w:r>
          </w:p>
        </w:tc>
        <w:tc>
          <w:tcPr>
            <w:tcW w:w="417" w:type="pct"/>
            <w:vAlign w:val="center"/>
          </w:tcPr>
          <w:p w:rsidR="009478DB" w:rsidRPr="00A81F9F" w:rsidRDefault="009478DB" w:rsidP="00433F1B">
            <w:pPr>
              <w:rPr>
                <w:b/>
                <w:bCs/>
                <w:sz w:val="18"/>
                <w:szCs w:val="18"/>
              </w:rPr>
            </w:pPr>
            <w:smartTag w:uri="urn:schemas-microsoft-com:office:smarttags" w:element="metricconverter">
              <w:smartTagPr>
                <w:attr w:name="ProductID" w:val="2019 г"/>
              </w:smartTagPr>
              <w:r w:rsidRPr="00A81F9F">
                <w:rPr>
                  <w:b/>
                  <w:bCs/>
                  <w:sz w:val="18"/>
                  <w:szCs w:val="18"/>
                </w:rPr>
                <w:t>201</w:t>
              </w:r>
              <w:r>
                <w:rPr>
                  <w:b/>
                  <w:bCs/>
                  <w:sz w:val="18"/>
                  <w:szCs w:val="18"/>
                </w:rPr>
                <w:t xml:space="preserve">9 </w:t>
              </w:r>
              <w:r w:rsidRPr="00A81F9F">
                <w:rPr>
                  <w:b/>
                  <w:bCs/>
                  <w:sz w:val="18"/>
                  <w:szCs w:val="18"/>
                </w:rPr>
                <w:t>г</w:t>
              </w:r>
            </w:smartTag>
            <w:r w:rsidRPr="00A81F9F">
              <w:rPr>
                <w:b/>
                <w:bCs/>
                <w:sz w:val="18"/>
                <w:szCs w:val="18"/>
              </w:rPr>
              <w:t>.</w:t>
            </w:r>
          </w:p>
        </w:tc>
        <w:tc>
          <w:tcPr>
            <w:tcW w:w="397" w:type="pct"/>
            <w:vMerge/>
            <w:vAlign w:val="center"/>
          </w:tcPr>
          <w:p w:rsidR="009478DB" w:rsidRPr="00A81F9F" w:rsidRDefault="009478DB" w:rsidP="00433F1B">
            <w:pPr>
              <w:ind w:firstLine="709"/>
              <w:rPr>
                <w:b/>
                <w:bCs/>
                <w:sz w:val="18"/>
                <w:szCs w:val="18"/>
              </w:rPr>
            </w:pPr>
          </w:p>
        </w:tc>
      </w:tr>
      <w:tr w:rsidR="00A86774" w:rsidRPr="00A81F9F" w:rsidTr="00A86774">
        <w:trPr>
          <w:trHeight w:val="420"/>
          <w:jc w:val="center"/>
        </w:trPr>
        <w:tc>
          <w:tcPr>
            <w:tcW w:w="609" w:type="pct"/>
            <w:vAlign w:val="center"/>
          </w:tcPr>
          <w:p w:rsidR="009478DB" w:rsidRPr="00A81F9F" w:rsidRDefault="009478DB" w:rsidP="00433F1B">
            <w:pPr>
              <w:rPr>
                <w:b/>
                <w:bCs/>
                <w:sz w:val="18"/>
                <w:szCs w:val="18"/>
              </w:rPr>
            </w:pPr>
            <w:r w:rsidRPr="00A81F9F">
              <w:rPr>
                <w:b/>
                <w:bCs/>
                <w:sz w:val="18"/>
                <w:szCs w:val="18"/>
              </w:rPr>
              <w:t xml:space="preserve">ЕЭС России </w:t>
            </w:r>
          </w:p>
        </w:tc>
        <w:tc>
          <w:tcPr>
            <w:tcW w:w="440" w:type="pct"/>
            <w:noWrap/>
            <w:vAlign w:val="center"/>
          </w:tcPr>
          <w:p w:rsidR="009478DB" w:rsidRPr="00A81F9F" w:rsidRDefault="00937058" w:rsidP="00433F1B">
            <w:pPr>
              <w:rPr>
                <w:b/>
                <w:bCs/>
                <w:sz w:val="18"/>
                <w:szCs w:val="18"/>
              </w:rPr>
            </w:pPr>
            <w:r>
              <w:rPr>
                <w:b/>
                <w:bCs/>
                <w:sz w:val="18"/>
                <w:szCs w:val="18"/>
              </w:rPr>
              <w:t>1000,1</w:t>
            </w:r>
          </w:p>
        </w:tc>
        <w:tc>
          <w:tcPr>
            <w:tcW w:w="435" w:type="pct"/>
            <w:noWrap/>
            <w:vAlign w:val="center"/>
          </w:tcPr>
          <w:p w:rsidR="009478DB" w:rsidRPr="00A81F9F" w:rsidRDefault="009478DB" w:rsidP="00433F1B">
            <w:pPr>
              <w:rPr>
                <w:b/>
                <w:bCs/>
                <w:sz w:val="18"/>
                <w:szCs w:val="18"/>
              </w:rPr>
            </w:pPr>
            <w:r w:rsidRPr="00A81F9F">
              <w:rPr>
                <w:b/>
                <w:bCs/>
                <w:sz w:val="18"/>
                <w:szCs w:val="18"/>
              </w:rPr>
              <w:t> </w:t>
            </w:r>
          </w:p>
        </w:tc>
        <w:tc>
          <w:tcPr>
            <w:tcW w:w="382" w:type="pct"/>
            <w:noWrap/>
            <w:vAlign w:val="center"/>
          </w:tcPr>
          <w:p w:rsidR="009478DB" w:rsidRPr="00A81F9F" w:rsidRDefault="009478DB" w:rsidP="00AA1AE9">
            <w:pPr>
              <w:rPr>
                <w:b/>
                <w:bCs/>
                <w:sz w:val="18"/>
                <w:szCs w:val="18"/>
              </w:rPr>
            </w:pPr>
            <w:r>
              <w:rPr>
                <w:b/>
                <w:bCs/>
                <w:sz w:val="18"/>
                <w:szCs w:val="18"/>
              </w:rPr>
              <w:t>1016,</w:t>
            </w:r>
            <w:r w:rsidR="00AA1AE9">
              <w:rPr>
                <w:b/>
                <w:bCs/>
                <w:sz w:val="18"/>
                <w:szCs w:val="18"/>
              </w:rPr>
              <w:t>5</w:t>
            </w:r>
          </w:p>
        </w:tc>
        <w:tc>
          <w:tcPr>
            <w:tcW w:w="375" w:type="pct"/>
            <w:noWrap/>
            <w:vAlign w:val="center"/>
          </w:tcPr>
          <w:p w:rsidR="009478DB" w:rsidRPr="00A81F9F" w:rsidRDefault="00AA1AE9" w:rsidP="00433F1B">
            <w:pPr>
              <w:rPr>
                <w:b/>
                <w:bCs/>
                <w:sz w:val="18"/>
                <w:szCs w:val="18"/>
              </w:rPr>
            </w:pPr>
            <w:r>
              <w:rPr>
                <w:b/>
                <w:bCs/>
                <w:sz w:val="18"/>
                <w:szCs w:val="18"/>
              </w:rPr>
              <w:t>1033,7</w:t>
            </w:r>
          </w:p>
        </w:tc>
        <w:tc>
          <w:tcPr>
            <w:tcW w:w="409" w:type="pct"/>
            <w:noWrap/>
            <w:vAlign w:val="center"/>
          </w:tcPr>
          <w:p w:rsidR="009478DB" w:rsidRPr="00A81F9F" w:rsidRDefault="00AA1AE9" w:rsidP="00AA1AE9">
            <w:pPr>
              <w:rPr>
                <w:b/>
                <w:bCs/>
                <w:sz w:val="18"/>
                <w:szCs w:val="18"/>
              </w:rPr>
            </w:pPr>
            <w:r>
              <w:rPr>
                <w:b/>
                <w:bCs/>
                <w:sz w:val="18"/>
                <w:szCs w:val="18"/>
              </w:rPr>
              <w:t>1057,1</w:t>
            </w:r>
          </w:p>
        </w:tc>
        <w:tc>
          <w:tcPr>
            <w:tcW w:w="375" w:type="pct"/>
            <w:noWrap/>
            <w:vAlign w:val="center"/>
          </w:tcPr>
          <w:p w:rsidR="009478DB" w:rsidRPr="00A81F9F" w:rsidRDefault="00AA1AE9" w:rsidP="00433F1B">
            <w:pPr>
              <w:rPr>
                <w:b/>
                <w:bCs/>
                <w:sz w:val="18"/>
                <w:szCs w:val="18"/>
              </w:rPr>
            </w:pPr>
            <w:r>
              <w:rPr>
                <w:b/>
                <w:bCs/>
                <w:sz w:val="18"/>
                <w:szCs w:val="18"/>
              </w:rPr>
              <w:t>1080</w:t>
            </w:r>
          </w:p>
        </w:tc>
        <w:tc>
          <w:tcPr>
            <w:tcW w:w="375" w:type="pct"/>
            <w:noWrap/>
            <w:vAlign w:val="center"/>
          </w:tcPr>
          <w:p w:rsidR="009478DB" w:rsidRPr="00A81F9F" w:rsidRDefault="001245B3" w:rsidP="00433F1B">
            <w:pPr>
              <w:rPr>
                <w:b/>
                <w:bCs/>
                <w:sz w:val="18"/>
                <w:szCs w:val="18"/>
              </w:rPr>
            </w:pPr>
            <w:r>
              <w:rPr>
                <w:b/>
                <w:bCs/>
                <w:sz w:val="18"/>
                <w:szCs w:val="18"/>
              </w:rPr>
              <w:t>1103,2</w:t>
            </w:r>
          </w:p>
        </w:tc>
        <w:tc>
          <w:tcPr>
            <w:tcW w:w="375" w:type="pct"/>
            <w:noWrap/>
            <w:vAlign w:val="center"/>
          </w:tcPr>
          <w:p w:rsidR="009478DB" w:rsidRPr="00A81F9F" w:rsidRDefault="001245B3" w:rsidP="00433F1B">
            <w:pPr>
              <w:rPr>
                <w:b/>
                <w:bCs/>
                <w:sz w:val="18"/>
                <w:szCs w:val="18"/>
              </w:rPr>
            </w:pPr>
            <w:r>
              <w:rPr>
                <w:b/>
                <w:bCs/>
                <w:sz w:val="18"/>
                <w:szCs w:val="18"/>
              </w:rPr>
              <w:t>1123,7</w:t>
            </w:r>
          </w:p>
        </w:tc>
        <w:tc>
          <w:tcPr>
            <w:tcW w:w="413" w:type="pct"/>
            <w:noWrap/>
            <w:vAlign w:val="center"/>
          </w:tcPr>
          <w:p w:rsidR="009478DB" w:rsidRPr="00A81F9F" w:rsidRDefault="001245B3" w:rsidP="00433F1B">
            <w:pPr>
              <w:rPr>
                <w:b/>
                <w:bCs/>
                <w:sz w:val="18"/>
                <w:szCs w:val="18"/>
              </w:rPr>
            </w:pPr>
            <w:r>
              <w:rPr>
                <w:b/>
                <w:bCs/>
                <w:sz w:val="18"/>
                <w:szCs w:val="18"/>
              </w:rPr>
              <w:t>1139,8</w:t>
            </w:r>
          </w:p>
        </w:tc>
        <w:tc>
          <w:tcPr>
            <w:tcW w:w="417" w:type="pct"/>
            <w:noWrap/>
            <w:vAlign w:val="center"/>
          </w:tcPr>
          <w:p w:rsidR="009478DB" w:rsidRPr="00A81F9F" w:rsidRDefault="001245B3" w:rsidP="00433F1B">
            <w:pPr>
              <w:rPr>
                <w:b/>
                <w:bCs/>
                <w:sz w:val="18"/>
                <w:szCs w:val="18"/>
              </w:rPr>
            </w:pPr>
            <w:r>
              <w:rPr>
                <w:b/>
                <w:bCs/>
                <w:sz w:val="18"/>
                <w:szCs w:val="18"/>
              </w:rPr>
              <w:t>1153,6</w:t>
            </w:r>
          </w:p>
        </w:tc>
        <w:tc>
          <w:tcPr>
            <w:tcW w:w="397" w:type="pct"/>
            <w:noWrap/>
            <w:vAlign w:val="center"/>
          </w:tcPr>
          <w:p w:rsidR="009478DB" w:rsidRPr="00A81F9F" w:rsidRDefault="009478DB" w:rsidP="00433F1B">
            <w:pPr>
              <w:rPr>
                <w:i/>
                <w:iCs/>
                <w:sz w:val="18"/>
                <w:szCs w:val="18"/>
              </w:rPr>
            </w:pPr>
            <w:r w:rsidRPr="00A81F9F">
              <w:rPr>
                <w:i/>
                <w:iCs/>
                <w:sz w:val="18"/>
                <w:szCs w:val="18"/>
              </w:rPr>
              <w:t> </w:t>
            </w:r>
          </w:p>
        </w:tc>
      </w:tr>
      <w:tr w:rsidR="00A86774" w:rsidRPr="00A81F9F" w:rsidTr="00A86774">
        <w:trPr>
          <w:trHeight w:val="420"/>
          <w:jc w:val="center"/>
        </w:trPr>
        <w:tc>
          <w:tcPr>
            <w:tcW w:w="609" w:type="pct"/>
            <w:vAlign w:val="center"/>
          </w:tcPr>
          <w:p w:rsidR="009478DB" w:rsidRPr="00A81F9F" w:rsidRDefault="009478DB" w:rsidP="00433F1B">
            <w:pPr>
              <w:rPr>
                <w:sz w:val="18"/>
                <w:szCs w:val="18"/>
              </w:rPr>
            </w:pPr>
            <w:r w:rsidRPr="00A81F9F">
              <w:rPr>
                <w:sz w:val="18"/>
                <w:szCs w:val="18"/>
              </w:rPr>
              <w:t>Ср.годовой темп прироста, %</w:t>
            </w:r>
          </w:p>
        </w:tc>
        <w:tc>
          <w:tcPr>
            <w:tcW w:w="440" w:type="pct"/>
            <w:noWrap/>
            <w:vAlign w:val="center"/>
          </w:tcPr>
          <w:p w:rsidR="009478DB" w:rsidRPr="00633B28" w:rsidRDefault="009478DB" w:rsidP="00433F1B">
            <w:pPr>
              <w:rPr>
                <w:b/>
                <w:bCs/>
                <w:i/>
                <w:iCs/>
                <w:color w:val="FF0000"/>
              </w:rPr>
            </w:pPr>
          </w:p>
          <w:p w:rsidR="009478DB" w:rsidRPr="00633B28" w:rsidRDefault="009478DB" w:rsidP="00433F1B">
            <w:pPr>
              <w:rPr>
                <w:b/>
                <w:bCs/>
                <w:i/>
                <w:iCs/>
                <w:color w:val="FF0000"/>
              </w:rPr>
            </w:pPr>
            <w:r w:rsidRPr="00633B28">
              <w:rPr>
                <w:b/>
                <w:bCs/>
                <w:i/>
                <w:iCs/>
                <w:color w:val="FF0000"/>
              </w:rPr>
              <w:t>1,2</w:t>
            </w:r>
          </w:p>
        </w:tc>
        <w:tc>
          <w:tcPr>
            <w:tcW w:w="435" w:type="pct"/>
            <w:noWrap/>
            <w:vAlign w:val="center"/>
          </w:tcPr>
          <w:p w:rsidR="009478DB" w:rsidRPr="00633B28" w:rsidRDefault="009478DB" w:rsidP="00433F1B">
            <w:pPr>
              <w:rPr>
                <w:b/>
                <w:bCs/>
                <w:i/>
                <w:iCs/>
                <w:color w:val="FF0000"/>
              </w:rPr>
            </w:pPr>
          </w:p>
          <w:p w:rsidR="009478DB" w:rsidRPr="00633B28" w:rsidRDefault="009478DB" w:rsidP="00433F1B">
            <w:pPr>
              <w:rPr>
                <w:b/>
                <w:bCs/>
                <w:i/>
                <w:iCs/>
                <w:color w:val="FF0000"/>
              </w:rPr>
            </w:pPr>
            <w:r w:rsidRPr="00633B28">
              <w:rPr>
                <w:b/>
                <w:bCs/>
                <w:i/>
                <w:iCs/>
                <w:color w:val="FF0000"/>
              </w:rPr>
              <w:t>0,41</w:t>
            </w:r>
          </w:p>
        </w:tc>
        <w:tc>
          <w:tcPr>
            <w:tcW w:w="382" w:type="pct"/>
            <w:noWrap/>
            <w:vAlign w:val="center"/>
          </w:tcPr>
          <w:p w:rsidR="009478DB" w:rsidRPr="00633B28" w:rsidRDefault="009478DB" w:rsidP="00433F1B">
            <w:pPr>
              <w:rPr>
                <w:b/>
                <w:bCs/>
                <w:i/>
                <w:iCs/>
                <w:color w:val="FF0000"/>
              </w:rPr>
            </w:pPr>
          </w:p>
          <w:p w:rsidR="009478DB" w:rsidRPr="00633B28" w:rsidRDefault="009478DB" w:rsidP="00433F1B">
            <w:pPr>
              <w:rPr>
                <w:b/>
                <w:bCs/>
                <w:i/>
                <w:iCs/>
                <w:color w:val="FF0000"/>
              </w:rPr>
            </w:pPr>
            <w:r w:rsidRPr="00633B28">
              <w:rPr>
                <w:b/>
                <w:bCs/>
                <w:i/>
                <w:iCs/>
                <w:color w:val="FF0000"/>
              </w:rPr>
              <w:t>1,6</w:t>
            </w:r>
            <w:r w:rsidR="00AA1AE9">
              <w:rPr>
                <w:b/>
                <w:bCs/>
                <w:i/>
                <w:iCs/>
                <w:color w:val="FF0000"/>
              </w:rPr>
              <w:t>4</w:t>
            </w:r>
          </w:p>
        </w:tc>
        <w:tc>
          <w:tcPr>
            <w:tcW w:w="375" w:type="pct"/>
            <w:noWrap/>
            <w:vAlign w:val="center"/>
          </w:tcPr>
          <w:p w:rsidR="009478DB" w:rsidRPr="00633B28" w:rsidRDefault="00AA1AE9" w:rsidP="00433F1B">
            <w:pPr>
              <w:rPr>
                <w:b/>
                <w:bCs/>
                <w:i/>
                <w:iCs/>
                <w:color w:val="FF0000"/>
              </w:rPr>
            </w:pPr>
            <w:r>
              <w:rPr>
                <w:b/>
                <w:bCs/>
                <w:i/>
                <w:iCs/>
              </w:rPr>
              <w:t>1,69</w:t>
            </w:r>
          </w:p>
        </w:tc>
        <w:tc>
          <w:tcPr>
            <w:tcW w:w="409" w:type="pct"/>
            <w:noWrap/>
            <w:vAlign w:val="center"/>
          </w:tcPr>
          <w:p w:rsidR="009478DB" w:rsidRDefault="009478DB" w:rsidP="00433F1B">
            <w:pPr>
              <w:rPr>
                <w:b/>
                <w:bCs/>
                <w:i/>
                <w:iCs/>
              </w:rPr>
            </w:pPr>
            <w:r>
              <w:rPr>
                <w:b/>
                <w:bCs/>
                <w:i/>
                <w:iCs/>
              </w:rPr>
              <w:t>2,</w:t>
            </w:r>
            <w:r w:rsidR="00AA1AE9">
              <w:rPr>
                <w:b/>
                <w:bCs/>
                <w:i/>
                <w:iCs/>
              </w:rPr>
              <w:t>27</w:t>
            </w:r>
          </w:p>
          <w:p w:rsidR="009478DB" w:rsidRPr="00A81F9F" w:rsidRDefault="009478DB" w:rsidP="00433F1B">
            <w:pPr>
              <w:rPr>
                <w:b/>
                <w:bCs/>
                <w:i/>
                <w:iCs/>
              </w:rPr>
            </w:pPr>
          </w:p>
        </w:tc>
        <w:tc>
          <w:tcPr>
            <w:tcW w:w="375" w:type="pct"/>
            <w:noWrap/>
            <w:vAlign w:val="center"/>
          </w:tcPr>
          <w:p w:rsidR="009478DB" w:rsidRDefault="00AA1AE9" w:rsidP="00433F1B">
            <w:pPr>
              <w:rPr>
                <w:b/>
                <w:bCs/>
                <w:i/>
                <w:iCs/>
              </w:rPr>
            </w:pPr>
            <w:r>
              <w:rPr>
                <w:b/>
                <w:bCs/>
                <w:i/>
                <w:iCs/>
              </w:rPr>
              <w:t>2,17</w:t>
            </w:r>
          </w:p>
          <w:p w:rsidR="009478DB" w:rsidRPr="00A81F9F" w:rsidRDefault="009478DB" w:rsidP="00433F1B">
            <w:pPr>
              <w:rPr>
                <w:b/>
                <w:bCs/>
                <w:i/>
                <w:iCs/>
              </w:rPr>
            </w:pPr>
          </w:p>
        </w:tc>
        <w:tc>
          <w:tcPr>
            <w:tcW w:w="375" w:type="pct"/>
            <w:noWrap/>
            <w:vAlign w:val="center"/>
          </w:tcPr>
          <w:p w:rsidR="009478DB" w:rsidRDefault="009478DB" w:rsidP="00433F1B">
            <w:pPr>
              <w:rPr>
                <w:b/>
                <w:bCs/>
                <w:i/>
                <w:iCs/>
              </w:rPr>
            </w:pPr>
            <w:r>
              <w:rPr>
                <w:b/>
                <w:bCs/>
                <w:i/>
                <w:iCs/>
              </w:rPr>
              <w:t>2,</w:t>
            </w:r>
            <w:r w:rsidR="001245B3">
              <w:rPr>
                <w:b/>
                <w:bCs/>
                <w:i/>
                <w:iCs/>
              </w:rPr>
              <w:t>14</w:t>
            </w:r>
          </w:p>
          <w:p w:rsidR="009478DB" w:rsidRPr="00A81F9F" w:rsidRDefault="009478DB" w:rsidP="00433F1B">
            <w:pPr>
              <w:rPr>
                <w:b/>
                <w:bCs/>
                <w:i/>
                <w:iCs/>
              </w:rPr>
            </w:pPr>
          </w:p>
        </w:tc>
        <w:tc>
          <w:tcPr>
            <w:tcW w:w="375" w:type="pct"/>
            <w:noWrap/>
            <w:vAlign w:val="center"/>
          </w:tcPr>
          <w:p w:rsidR="009478DB" w:rsidRDefault="001245B3" w:rsidP="00433F1B">
            <w:pPr>
              <w:rPr>
                <w:b/>
                <w:bCs/>
                <w:i/>
                <w:iCs/>
              </w:rPr>
            </w:pPr>
            <w:r>
              <w:rPr>
                <w:b/>
                <w:bCs/>
                <w:i/>
                <w:iCs/>
              </w:rPr>
              <w:t>1,86</w:t>
            </w:r>
          </w:p>
          <w:p w:rsidR="009478DB" w:rsidRPr="00A81F9F" w:rsidRDefault="009478DB" w:rsidP="00433F1B">
            <w:pPr>
              <w:rPr>
                <w:b/>
                <w:bCs/>
                <w:i/>
                <w:iCs/>
              </w:rPr>
            </w:pPr>
          </w:p>
        </w:tc>
        <w:tc>
          <w:tcPr>
            <w:tcW w:w="413" w:type="pct"/>
            <w:noWrap/>
            <w:vAlign w:val="center"/>
          </w:tcPr>
          <w:p w:rsidR="009478DB" w:rsidRDefault="001245B3" w:rsidP="00433F1B">
            <w:pPr>
              <w:rPr>
                <w:b/>
                <w:bCs/>
                <w:i/>
                <w:iCs/>
              </w:rPr>
            </w:pPr>
            <w:r>
              <w:rPr>
                <w:b/>
                <w:bCs/>
                <w:i/>
                <w:iCs/>
              </w:rPr>
              <w:t>1,44</w:t>
            </w:r>
          </w:p>
          <w:p w:rsidR="009478DB" w:rsidRPr="00A81F9F" w:rsidRDefault="009478DB" w:rsidP="00433F1B">
            <w:pPr>
              <w:rPr>
                <w:b/>
                <w:bCs/>
                <w:i/>
                <w:iCs/>
              </w:rPr>
            </w:pPr>
          </w:p>
        </w:tc>
        <w:tc>
          <w:tcPr>
            <w:tcW w:w="417" w:type="pct"/>
            <w:noWrap/>
            <w:vAlign w:val="center"/>
          </w:tcPr>
          <w:p w:rsidR="009478DB" w:rsidRDefault="001245B3" w:rsidP="00433F1B">
            <w:pPr>
              <w:rPr>
                <w:b/>
                <w:bCs/>
                <w:i/>
                <w:iCs/>
              </w:rPr>
            </w:pPr>
            <w:r>
              <w:rPr>
                <w:b/>
                <w:bCs/>
                <w:i/>
                <w:iCs/>
              </w:rPr>
              <w:t>1,21</w:t>
            </w:r>
          </w:p>
          <w:p w:rsidR="009478DB" w:rsidRPr="00A81F9F" w:rsidRDefault="009478DB" w:rsidP="00433F1B">
            <w:pPr>
              <w:rPr>
                <w:b/>
                <w:bCs/>
                <w:i/>
                <w:iCs/>
              </w:rPr>
            </w:pPr>
          </w:p>
        </w:tc>
        <w:tc>
          <w:tcPr>
            <w:tcW w:w="397" w:type="pct"/>
            <w:noWrap/>
            <w:vAlign w:val="center"/>
          </w:tcPr>
          <w:p w:rsidR="009478DB" w:rsidRDefault="009478DB" w:rsidP="00433F1B">
            <w:pPr>
              <w:rPr>
                <w:b/>
                <w:bCs/>
                <w:i/>
                <w:iCs/>
                <w:sz w:val="32"/>
                <w:szCs w:val="32"/>
              </w:rPr>
            </w:pPr>
            <w:r>
              <w:rPr>
                <w:b/>
                <w:bCs/>
                <w:i/>
                <w:iCs/>
                <w:sz w:val="32"/>
                <w:szCs w:val="32"/>
              </w:rPr>
              <w:t>1,8</w:t>
            </w:r>
            <w:r w:rsidR="001245B3">
              <w:rPr>
                <w:b/>
                <w:bCs/>
                <w:i/>
                <w:iCs/>
                <w:sz w:val="32"/>
                <w:szCs w:val="32"/>
              </w:rPr>
              <w:t>2</w:t>
            </w:r>
          </w:p>
          <w:p w:rsidR="009478DB" w:rsidRPr="00A81F9F" w:rsidRDefault="009478DB" w:rsidP="00433F1B">
            <w:pPr>
              <w:rPr>
                <w:b/>
                <w:bCs/>
                <w:i/>
                <w:iCs/>
                <w:sz w:val="32"/>
                <w:szCs w:val="32"/>
              </w:rPr>
            </w:pPr>
          </w:p>
        </w:tc>
      </w:tr>
    </w:tbl>
    <w:p w:rsidR="001B4DF5" w:rsidRDefault="001B4DF5" w:rsidP="001B4DF5">
      <w:pPr>
        <w:ind w:firstLine="709"/>
        <w:jc w:val="both"/>
      </w:pPr>
      <w:r>
        <w:t xml:space="preserve">В таблице 4 представлены прогнозы электропотребления Института энергетических исследований РАН (А. Макаров, С. Филиппов, Ф. Веселов, В. Малахов «Предложения по развитию методики формирования среднесрочного прогноза спроса на электроэнергию с учетом динамики развития экономики страны и регионов России», </w:t>
      </w:r>
      <w:r w:rsidR="007E1C30">
        <w:t>журнал «ЭнергоРынок», № 5</w:t>
      </w:r>
      <w:r w:rsidR="00C25A97">
        <w:t>,</w:t>
      </w:r>
      <w:r w:rsidR="007E1C30">
        <w:t xml:space="preserve"> 2013г.).</w:t>
      </w:r>
    </w:p>
    <w:p w:rsidR="007E1C30" w:rsidRDefault="007E1C30" w:rsidP="001B4DF5">
      <w:pPr>
        <w:ind w:firstLine="709"/>
        <w:jc w:val="both"/>
      </w:pPr>
    </w:p>
    <w:p w:rsidR="007E1C30" w:rsidRDefault="007E1C30" w:rsidP="007E1C30">
      <w:pPr>
        <w:ind w:firstLine="709"/>
        <w:jc w:val="right"/>
      </w:pPr>
      <w:r>
        <w:t>Таблица 4.</w:t>
      </w:r>
    </w:p>
    <w:p w:rsidR="007E1C30" w:rsidRDefault="00442A78" w:rsidP="007E1C30">
      <w:pPr>
        <w:ind w:firstLine="709"/>
        <w:jc w:val="right"/>
      </w:pPr>
      <w:r>
        <w:t>П</w:t>
      </w:r>
      <w:r w:rsidR="007E1C30">
        <w:t>рогноз</w:t>
      </w:r>
      <w:r>
        <w:t>ы</w:t>
      </w:r>
      <w:r w:rsidR="007E1C30">
        <w:t xml:space="preserve"> электропотребления</w:t>
      </w:r>
      <w:r w:rsidR="00C25A97">
        <w:t xml:space="preserve"> ИНЭИ РАН</w:t>
      </w:r>
      <w:r w:rsidR="007E1C30">
        <w:t xml:space="preserve"> </w:t>
      </w:r>
      <w:r>
        <w:t>(традиционный и инновационный) в ЕЭС России</w:t>
      </w:r>
      <w:r w:rsidR="007E1C30">
        <w:t>, млрд. кВт.ч</w:t>
      </w:r>
    </w:p>
    <w:p w:rsidR="00442A78" w:rsidRDefault="00442A78" w:rsidP="007E1C30">
      <w:pPr>
        <w:ind w:firstLine="709"/>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25"/>
        <w:gridCol w:w="864"/>
        <w:gridCol w:w="864"/>
        <w:gridCol w:w="867"/>
        <w:gridCol w:w="867"/>
        <w:gridCol w:w="867"/>
        <w:gridCol w:w="867"/>
        <w:gridCol w:w="867"/>
        <w:gridCol w:w="867"/>
        <w:gridCol w:w="876"/>
      </w:tblGrid>
      <w:tr w:rsidR="009A3D09" w:rsidTr="00F86585">
        <w:tc>
          <w:tcPr>
            <w:tcW w:w="2025" w:type="dxa"/>
          </w:tcPr>
          <w:p w:rsidR="004F261D" w:rsidRDefault="004F261D" w:rsidP="00F86585">
            <w:pPr>
              <w:jc w:val="right"/>
            </w:pPr>
          </w:p>
        </w:tc>
        <w:tc>
          <w:tcPr>
            <w:tcW w:w="883" w:type="dxa"/>
          </w:tcPr>
          <w:p w:rsidR="004F261D" w:rsidRDefault="004F261D" w:rsidP="00F86585">
            <w:pPr>
              <w:jc w:val="right"/>
            </w:pPr>
            <w:r>
              <w:t>2012</w:t>
            </w:r>
          </w:p>
        </w:tc>
        <w:tc>
          <w:tcPr>
            <w:tcW w:w="883" w:type="dxa"/>
          </w:tcPr>
          <w:p w:rsidR="004F261D" w:rsidRDefault="004F261D" w:rsidP="00F86585">
            <w:pPr>
              <w:jc w:val="right"/>
            </w:pPr>
            <w:r>
              <w:t>2013</w:t>
            </w:r>
          </w:p>
        </w:tc>
        <w:tc>
          <w:tcPr>
            <w:tcW w:w="885" w:type="dxa"/>
          </w:tcPr>
          <w:p w:rsidR="004F261D" w:rsidRDefault="004F261D" w:rsidP="00F86585">
            <w:pPr>
              <w:jc w:val="right"/>
            </w:pPr>
            <w:r>
              <w:t>2014</w:t>
            </w:r>
          </w:p>
        </w:tc>
        <w:tc>
          <w:tcPr>
            <w:tcW w:w="885" w:type="dxa"/>
          </w:tcPr>
          <w:p w:rsidR="004F261D" w:rsidRDefault="004F261D" w:rsidP="00F86585">
            <w:pPr>
              <w:jc w:val="right"/>
            </w:pPr>
            <w:r>
              <w:t>2015</w:t>
            </w:r>
          </w:p>
        </w:tc>
        <w:tc>
          <w:tcPr>
            <w:tcW w:w="885" w:type="dxa"/>
          </w:tcPr>
          <w:p w:rsidR="004F261D" w:rsidRDefault="004F261D" w:rsidP="00F86585">
            <w:pPr>
              <w:jc w:val="right"/>
            </w:pPr>
            <w:r>
              <w:t>2016</w:t>
            </w:r>
          </w:p>
        </w:tc>
        <w:tc>
          <w:tcPr>
            <w:tcW w:w="885" w:type="dxa"/>
          </w:tcPr>
          <w:p w:rsidR="004F261D" w:rsidRDefault="004F261D" w:rsidP="00F86585">
            <w:pPr>
              <w:jc w:val="right"/>
            </w:pPr>
            <w:r>
              <w:t>2017</w:t>
            </w:r>
          </w:p>
        </w:tc>
        <w:tc>
          <w:tcPr>
            <w:tcW w:w="885" w:type="dxa"/>
          </w:tcPr>
          <w:p w:rsidR="004F261D" w:rsidRDefault="004F261D" w:rsidP="00F86585">
            <w:pPr>
              <w:jc w:val="right"/>
            </w:pPr>
            <w:r>
              <w:t>2018</w:t>
            </w:r>
          </w:p>
        </w:tc>
        <w:tc>
          <w:tcPr>
            <w:tcW w:w="885" w:type="dxa"/>
          </w:tcPr>
          <w:p w:rsidR="004F261D" w:rsidRDefault="004F261D" w:rsidP="00F86585">
            <w:pPr>
              <w:jc w:val="right"/>
            </w:pPr>
            <w:r>
              <w:t>2019</w:t>
            </w:r>
          </w:p>
        </w:tc>
        <w:tc>
          <w:tcPr>
            <w:tcW w:w="730" w:type="dxa"/>
          </w:tcPr>
          <w:p w:rsidR="004F261D" w:rsidRDefault="009A3D09" w:rsidP="00F86585">
            <w:pPr>
              <w:jc w:val="right"/>
            </w:pPr>
            <w:r>
              <w:t>Ср.-</w:t>
            </w:r>
          </w:p>
          <w:p w:rsidR="009A3D09" w:rsidRDefault="009A3D09" w:rsidP="00F86585">
            <w:pPr>
              <w:jc w:val="right"/>
            </w:pPr>
            <w:r>
              <w:t xml:space="preserve">год. </w:t>
            </w:r>
          </w:p>
          <w:p w:rsidR="009A3D09" w:rsidRDefault="009A3D09" w:rsidP="00F86585">
            <w:pPr>
              <w:jc w:val="right"/>
            </w:pPr>
            <w:r>
              <w:t>при-</w:t>
            </w:r>
          </w:p>
          <w:p w:rsidR="009A3D09" w:rsidRDefault="009A3D09" w:rsidP="00F86585">
            <w:pPr>
              <w:jc w:val="right"/>
            </w:pPr>
            <w:r>
              <w:t>рост,</w:t>
            </w:r>
          </w:p>
          <w:p w:rsidR="009A3D09" w:rsidRDefault="009A3D09" w:rsidP="00F86585">
            <w:pPr>
              <w:jc w:val="right"/>
            </w:pPr>
            <w:r>
              <w:t>%</w:t>
            </w:r>
          </w:p>
        </w:tc>
      </w:tr>
      <w:tr w:rsidR="009A3D09" w:rsidRPr="00F86585" w:rsidTr="00F86585">
        <w:tc>
          <w:tcPr>
            <w:tcW w:w="2025" w:type="dxa"/>
          </w:tcPr>
          <w:p w:rsidR="004F261D" w:rsidRDefault="004F261D" w:rsidP="00F86585">
            <w:pPr>
              <w:jc w:val="right"/>
            </w:pPr>
            <w:r>
              <w:t>ИНЭИ (традиционный)</w:t>
            </w:r>
          </w:p>
        </w:tc>
        <w:tc>
          <w:tcPr>
            <w:tcW w:w="883" w:type="dxa"/>
          </w:tcPr>
          <w:p w:rsidR="004F261D" w:rsidRDefault="004F261D" w:rsidP="00F86585">
            <w:pPr>
              <w:jc w:val="right"/>
            </w:pPr>
            <w:r>
              <w:t>1013</w:t>
            </w:r>
          </w:p>
        </w:tc>
        <w:tc>
          <w:tcPr>
            <w:tcW w:w="883" w:type="dxa"/>
          </w:tcPr>
          <w:p w:rsidR="004F261D" w:rsidRDefault="004F261D" w:rsidP="00F86585">
            <w:pPr>
              <w:jc w:val="right"/>
            </w:pPr>
            <w:r>
              <w:t>1031</w:t>
            </w:r>
          </w:p>
        </w:tc>
        <w:tc>
          <w:tcPr>
            <w:tcW w:w="885" w:type="dxa"/>
          </w:tcPr>
          <w:p w:rsidR="004F261D" w:rsidRDefault="004F261D" w:rsidP="00F86585">
            <w:pPr>
              <w:jc w:val="right"/>
            </w:pPr>
            <w:r>
              <w:t>1049</w:t>
            </w:r>
          </w:p>
        </w:tc>
        <w:tc>
          <w:tcPr>
            <w:tcW w:w="885" w:type="dxa"/>
          </w:tcPr>
          <w:p w:rsidR="004F261D" w:rsidRDefault="004F261D" w:rsidP="00F86585">
            <w:pPr>
              <w:jc w:val="right"/>
            </w:pPr>
            <w:r>
              <w:t>1069</w:t>
            </w:r>
          </w:p>
        </w:tc>
        <w:tc>
          <w:tcPr>
            <w:tcW w:w="885" w:type="dxa"/>
          </w:tcPr>
          <w:p w:rsidR="004F261D" w:rsidRDefault="004F261D" w:rsidP="00F86585">
            <w:pPr>
              <w:jc w:val="right"/>
            </w:pPr>
            <w:r>
              <w:t>1089</w:t>
            </w:r>
          </w:p>
        </w:tc>
        <w:tc>
          <w:tcPr>
            <w:tcW w:w="885" w:type="dxa"/>
          </w:tcPr>
          <w:p w:rsidR="004F261D" w:rsidRDefault="004F261D" w:rsidP="00F86585">
            <w:pPr>
              <w:jc w:val="right"/>
            </w:pPr>
            <w:r>
              <w:t>1109</w:t>
            </w:r>
          </w:p>
        </w:tc>
        <w:tc>
          <w:tcPr>
            <w:tcW w:w="885" w:type="dxa"/>
          </w:tcPr>
          <w:p w:rsidR="004F261D" w:rsidRDefault="004F261D" w:rsidP="00F86585">
            <w:pPr>
              <w:jc w:val="right"/>
            </w:pPr>
            <w:r>
              <w:t>1130</w:t>
            </w:r>
          </w:p>
        </w:tc>
        <w:tc>
          <w:tcPr>
            <w:tcW w:w="885" w:type="dxa"/>
          </w:tcPr>
          <w:p w:rsidR="004F261D" w:rsidRDefault="004F261D" w:rsidP="00F86585">
            <w:pPr>
              <w:jc w:val="right"/>
            </w:pPr>
            <w:r>
              <w:t>1149</w:t>
            </w:r>
          </w:p>
        </w:tc>
        <w:tc>
          <w:tcPr>
            <w:tcW w:w="730" w:type="dxa"/>
          </w:tcPr>
          <w:p w:rsidR="004F261D" w:rsidRPr="00F86585" w:rsidRDefault="00BA5715" w:rsidP="00F86585">
            <w:pPr>
              <w:jc w:val="right"/>
              <w:rPr>
                <w:b/>
              </w:rPr>
            </w:pPr>
            <w:r w:rsidRPr="00F86585">
              <w:rPr>
                <w:b/>
              </w:rPr>
              <w:t>1,82%</w:t>
            </w:r>
          </w:p>
        </w:tc>
      </w:tr>
      <w:tr w:rsidR="009A3D09" w:rsidTr="00F86585">
        <w:tc>
          <w:tcPr>
            <w:tcW w:w="2025" w:type="dxa"/>
          </w:tcPr>
          <w:p w:rsidR="004F261D" w:rsidRDefault="004F261D" w:rsidP="00F86585">
            <w:pPr>
              <w:jc w:val="right"/>
            </w:pPr>
            <w:r>
              <w:t>ИНЭИ (инновационный)</w:t>
            </w:r>
          </w:p>
        </w:tc>
        <w:tc>
          <w:tcPr>
            <w:tcW w:w="883" w:type="dxa"/>
          </w:tcPr>
          <w:p w:rsidR="004F261D" w:rsidRDefault="004F261D" w:rsidP="00F86585">
            <w:pPr>
              <w:jc w:val="right"/>
            </w:pPr>
            <w:r>
              <w:t>1013</w:t>
            </w:r>
          </w:p>
        </w:tc>
        <w:tc>
          <w:tcPr>
            <w:tcW w:w="883" w:type="dxa"/>
          </w:tcPr>
          <w:p w:rsidR="004F261D" w:rsidRDefault="004F261D" w:rsidP="00F86585">
            <w:pPr>
              <w:jc w:val="right"/>
            </w:pPr>
            <w:r>
              <w:t>1031</w:t>
            </w:r>
          </w:p>
        </w:tc>
        <w:tc>
          <w:tcPr>
            <w:tcW w:w="885" w:type="dxa"/>
          </w:tcPr>
          <w:p w:rsidR="004F261D" w:rsidRDefault="004F261D" w:rsidP="00F86585">
            <w:pPr>
              <w:jc w:val="right"/>
            </w:pPr>
            <w:r>
              <w:t>1051</w:t>
            </w:r>
          </w:p>
        </w:tc>
        <w:tc>
          <w:tcPr>
            <w:tcW w:w="885" w:type="dxa"/>
          </w:tcPr>
          <w:p w:rsidR="004F261D" w:rsidRDefault="004F261D" w:rsidP="00F86585">
            <w:pPr>
              <w:jc w:val="right"/>
            </w:pPr>
            <w:r>
              <w:t>1074</w:t>
            </w:r>
          </w:p>
        </w:tc>
        <w:tc>
          <w:tcPr>
            <w:tcW w:w="885" w:type="dxa"/>
          </w:tcPr>
          <w:p w:rsidR="004F261D" w:rsidRDefault="004F261D" w:rsidP="00F86585">
            <w:pPr>
              <w:jc w:val="right"/>
            </w:pPr>
            <w:r>
              <w:t>1099</w:t>
            </w:r>
          </w:p>
        </w:tc>
        <w:tc>
          <w:tcPr>
            <w:tcW w:w="885" w:type="dxa"/>
          </w:tcPr>
          <w:p w:rsidR="004F261D" w:rsidRDefault="004F261D" w:rsidP="00F86585">
            <w:pPr>
              <w:jc w:val="right"/>
            </w:pPr>
            <w:r>
              <w:t>1123</w:t>
            </w:r>
          </w:p>
        </w:tc>
        <w:tc>
          <w:tcPr>
            <w:tcW w:w="885" w:type="dxa"/>
          </w:tcPr>
          <w:p w:rsidR="004F261D" w:rsidRDefault="004F261D" w:rsidP="00F86585">
            <w:pPr>
              <w:jc w:val="right"/>
            </w:pPr>
            <w:r>
              <w:t>1148</w:t>
            </w:r>
          </w:p>
        </w:tc>
        <w:tc>
          <w:tcPr>
            <w:tcW w:w="885" w:type="dxa"/>
          </w:tcPr>
          <w:p w:rsidR="004F261D" w:rsidRDefault="004F261D" w:rsidP="00F86585">
            <w:pPr>
              <w:jc w:val="right"/>
            </w:pPr>
            <w:r>
              <w:t>1173</w:t>
            </w:r>
          </w:p>
        </w:tc>
        <w:tc>
          <w:tcPr>
            <w:tcW w:w="730" w:type="dxa"/>
          </w:tcPr>
          <w:p w:rsidR="004F261D" w:rsidRPr="00F86585" w:rsidRDefault="007505BD" w:rsidP="00F86585">
            <w:pPr>
              <w:jc w:val="right"/>
              <w:rPr>
                <w:b/>
              </w:rPr>
            </w:pPr>
            <w:r w:rsidRPr="00F86585">
              <w:rPr>
                <w:b/>
              </w:rPr>
              <w:t>2,12%</w:t>
            </w:r>
          </w:p>
        </w:tc>
      </w:tr>
    </w:tbl>
    <w:p w:rsidR="007E1C30" w:rsidRDefault="007E1C30" w:rsidP="007E1C30">
      <w:pPr>
        <w:ind w:firstLine="709"/>
        <w:jc w:val="right"/>
      </w:pPr>
    </w:p>
    <w:p w:rsidR="00803250" w:rsidRDefault="00803250" w:rsidP="00803250">
      <w:pPr>
        <w:ind w:firstLine="709"/>
      </w:pPr>
    </w:p>
    <w:p w:rsidR="007E1C30" w:rsidRDefault="007E1C30" w:rsidP="001B4DF5">
      <w:pPr>
        <w:ind w:firstLine="709"/>
        <w:jc w:val="both"/>
      </w:pPr>
    </w:p>
    <w:p w:rsidR="009127E8" w:rsidRDefault="00F41744" w:rsidP="00EE1A61">
      <w:pPr>
        <w:ind w:firstLine="709"/>
        <w:jc w:val="both"/>
      </w:pPr>
      <w:r>
        <w:t>На рис. 2</w:t>
      </w:r>
      <w:r w:rsidR="00CC7B30">
        <w:t>5</w:t>
      </w:r>
      <w:r w:rsidR="009127E8">
        <w:t>а</w:t>
      </w:r>
      <w:r>
        <w:t xml:space="preserve"> представлены прогнозы</w:t>
      </w:r>
      <w:r w:rsidR="009127E8">
        <w:t xml:space="preserve"> электропотребления в ЕЭС России по</w:t>
      </w:r>
      <w:r>
        <w:t xml:space="preserve"> Минэнерго - 2011, 2012, 2013 г., а также прогнозы СПЭ – 2011 г., оптимистический среднегодовой темп </w:t>
      </w:r>
      <w:r w:rsidRPr="001C6271">
        <w:rPr>
          <w:b/>
        </w:rPr>
        <w:t>+1,44%</w:t>
      </w:r>
      <w:r>
        <w:t xml:space="preserve"> и пессимистический сценарий</w:t>
      </w:r>
      <w:r w:rsidR="00F75630">
        <w:t xml:space="preserve"> - </w:t>
      </w:r>
      <w:r w:rsidR="00F75630" w:rsidRPr="001C6271">
        <w:rPr>
          <w:b/>
        </w:rPr>
        <w:t>+1,0%.</w:t>
      </w:r>
      <w:r w:rsidR="00354E45">
        <w:t xml:space="preserve"> Там же показаны фактически</w:t>
      </w:r>
      <w:r w:rsidR="009127E8">
        <w:t xml:space="preserve">е данные по электропотреблению </w:t>
      </w:r>
      <w:r w:rsidR="00354E45">
        <w:t>в 2010-2013 гг.</w:t>
      </w:r>
      <w:r w:rsidR="009127E8">
        <w:t xml:space="preserve"> </w:t>
      </w:r>
    </w:p>
    <w:p w:rsidR="00DA3B51" w:rsidRDefault="009127E8" w:rsidP="00EE1A61">
      <w:pPr>
        <w:ind w:firstLine="709"/>
        <w:jc w:val="both"/>
      </w:pPr>
      <w:r>
        <w:t>А на рис. 2</w:t>
      </w:r>
      <w:r w:rsidR="00CC7B30">
        <w:t>5</w:t>
      </w:r>
      <w:r>
        <w:t>б представлены прогнозы электропотребления в ЕЭС России по Минэнерго 201</w:t>
      </w:r>
      <w:r w:rsidR="001D0892">
        <w:t>3, СПЭ 2013, 2014 – оптимистический</w:t>
      </w:r>
      <w:r w:rsidR="001C6271">
        <w:t xml:space="preserve"> </w:t>
      </w:r>
      <w:r w:rsidR="001C6271" w:rsidRPr="001C6271">
        <w:rPr>
          <w:b/>
        </w:rPr>
        <w:t>(+1%)</w:t>
      </w:r>
      <w:r w:rsidR="001D0892">
        <w:t xml:space="preserve"> и пессимистический</w:t>
      </w:r>
      <w:r w:rsidR="001C6271">
        <w:t xml:space="preserve"> </w:t>
      </w:r>
      <w:r w:rsidR="001C6271" w:rsidRPr="001C6271">
        <w:rPr>
          <w:b/>
        </w:rPr>
        <w:t>(-0,3%)</w:t>
      </w:r>
      <w:r w:rsidR="001D0892">
        <w:t xml:space="preserve">, </w:t>
      </w:r>
      <w:r w:rsidR="001C6271">
        <w:t>и</w:t>
      </w:r>
      <w:r w:rsidR="001D0892">
        <w:t xml:space="preserve"> также</w:t>
      </w:r>
      <w:r w:rsidR="001C6271">
        <w:t xml:space="preserve"> представлены</w:t>
      </w:r>
      <w:r w:rsidR="001D0892">
        <w:t xml:space="preserve"> фактические данные в 2010-2013гг. </w:t>
      </w:r>
    </w:p>
    <w:p w:rsidR="00F41744" w:rsidRDefault="00F41744" w:rsidP="00EE1A61">
      <w:pPr>
        <w:ind w:firstLine="709"/>
        <w:jc w:val="both"/>
      </w:pPr>
    </w:p>
    <w:p w:rsidR="00DA3B51" w:rsidRDefault="00DA3B51" w:rsidP="009127E8">
      <w:pPr>
        <w:jc w:val="both"/>
      </w:pPr>
    </w:p>
    <w:p w:rsidR="00427401" w:rsidRDefault="00427401" w:rsidP="001D0892">
      <w:pPr>
        <w:jc w:val="both"/>
      </w:pPr>
    </w:p>
    <w:p w:rsidR="00427401" w:rsidRDefault="007C1ADE" w:rsidP="00427401">
      <w:pPr>
        <w:ind w:hanging="284"/>
        <w:jc w:val="both"/>
      </w:pPr>
      <w:r>
        <w:rPr>
          <w:noProof/>
        </w:rPr>
        <w:drawing>
          <wp:inline distT="0" distB="0" distL="0" distR="0">
            <wp:extent cx="6448425" cy="3638550"/>
            <wp:effectExtent l="19050" t="0" r="9525" b="0"/>
            <wp:docPr id="71" name="Рисунок 30"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Презентация1"/>
                    <pic:cNvPicPr>
                      <a:picLocks noChangeAspect="1" noChangeArrowheads="1"/>
                    </pic:cNvPicPr>
                  </pic:nvPicPr>
                  <pic:blipFill>
                    <a:blip r:embed="rId40" cstate="print"/>
                    <a:srcRect/>
                    <a:stretch>
                      <a:fillRect/>
                    </a:stretch>
                  </pic:blipFill>
                  <pic:spPr bwMode="auto">
                    <a:xfrm>
                      <a:off x="0" y="0"/>
                      <a:ext cx="6448425" cy="3638550"/>
                    </a:xfrm>
                    <a:prstGeom prst="rect">
                      <a:avLst/>
                    </a:prstGeom>
                    <a:noFill/>
                    <a:ln w="9525">
                      <a:noFill/>
                      <a:miter lim="800000"/>
                      <a:headEnd/>
                      <a:tailEnd/>
                    </a:ln>
                  </pic:spPr>
                </pic:pic>
              </a:graphicData>
            </a:graphic>
          </wp:inline>
        </w:drawing>
      </w:r>
    </w:p>
    <w:p w:rsidR="00427401" w:rsidRDefault="00427401" w:rsidP="00EE1A61">
      <w:pPr>
        <w:ind w:firstLine="709"/>
        <w:jc w:val="both"/>
      </w:pPr>
    </w:p>
    <w:p w:rsidR="00427401" w:rsidRDefault="00427401" w:rsidP="00427401">
      <w:pPr>
        <w:ind w:hanging="567"/>
        <w:jc w:val="center"/>
      </w:pPr>
      <w:r>
        <w:t xml:space="preserve">Рис.25. Прогнозы внутреннего электропотребления в ЕЭС России в млрд. кВтч. </w:t>
      </w:r>
    </w:p>
    <w:p w:rsidR="00427401" w:rsidRDefault="008C2556" w:rsidP="008C2556">
      <w:r>
        <w:t xml:space="preserve">                   </w:t>
      </w:r>
      <w:r w:rsidR="00427401">
        <w:t>а) по Минэнерго 2011 г., 2012 г. и СПЭ 2012 г.;</w:t>
      </w:r>
    </w:p>
    <w:p w:rsidR="008C2556" w:rsidRDefault="008C2556" w:rsidP="008C2556">
      <w:r>
        <w:t xml:space="preserve">                   </w:t>
      </w:r>
      <w:r w:rsidR="00427401">
        <w:t>б) по Минэнерго 2013 г.</w:t>
      </w:r>
      <w:r w:rsidR="001B5526">
        <w:t xml:space="preserve">, ИНЭИ РАН 2013 (традиционный и </w:t>
      </w:r>
      <w:r>
        <w:t xml:space="preserve">     </w:t>
      </w:r>
    </w:p>
    <w:p w:rsidR="00427401" w:rsidRPr="000F1ED4" w:rsidRDefault="008C2556" w:rsidP="008C2556">
      <w:r>
        <w:t xml:space="preserve">                   </w:t>
      </w:r>
      <w:r w:rsidR="001B5526">
        <w:t>инновационный)</w:t>
      </w:r>
      <w:r w:rsidR="00427401">
        <w:t xml:space="preserve">  и СПЭ 2013 г.</w:t>
      </w:r>
      <w:r w:rsidR="001B5526">
        <w:t xml:space="preserve"> (оптимистичный и пессимистичный)</w:t>
      </w:r>
      <w:r w:rsidR="00427401">
        <w:t>;</w:t>
      </w:r>
    </w:p>
    <w:p w:rsidR="00427401" w:rsidRDefault="00427401" w:rsidP="00EE1A61">
      <w:pPr>
        <w:ind w:firstLine="709"/>
        <w:jc w:val="both"/>
      </w:pPr>
    </w:p>
    <w:p w:rsidR="00C25A97" w:rsidRDefault="00C25A97" w:rsidP="00EE1A61">
      <w:pPr>
        <w:ind w:firstLine="709"/>
        <w:jc w:val="both"/>
      </w:pPr>
    </w:p>
    <w:p w:rsidR="00830B1C" w:rsidRDefault="00830B1C" w:rsidP="00830B1C">
      <w:pPr>
        <w:ind w:firstLine="709"/>
        <w:jc w:val="both"/>
      </w:pPr>
      <w:r w:rsidRPr="00A81F9F">
        <w:t>Видно</w:t>
      </w:r>
      <w:r>
        <w:t xml:space="preserve">, что </w:t>
      </w:r>
      <w:r w:rsidR="002D4DBF">
        <w:t>в</w:t>
      </w:r>
      <w:r>
        <w:t xml:space="preserve"> 2018г. </w:t>
      </w:r>
      <w:r w:rsidRPr="00A81F9F">
        <w:t>электропотребление</w:t>
      </w:r>
      <w:r>
        <w:t xml:space="preserve"> в</w:t>
      </w:r>
      <w:r w:rsidR="001C6271">
        <w:t xml:space="preserve"> ЕЭС России</w:t>
      </w:r>
      <w:r w:rsidR="002D4DBF">
        <w:t xml:space="preserve"> по прогнозам Минэнерго 2012г</w:t>
      </w:r>
      <w:r w:rsidR="002D4DBF" w:rsidRPr="00A81F9F">
        <w:t xml:space="preserve">. </w:t>
      </w:r>
      <w:r w:rsidR="002D4DBF">
        <w:t>и 2013г.</w:t>
      </w:r>
      <w:r>
        <w:t xml:space="preserve"> </w:t>
      </w:r>
      <w:r w:rsidR="00466BC1">
        <w:t xml:space="preserve">должно </w:t>
      </w:r>
      <w:r w:rsidRPr="00A81F9F">
        <w:t>дости</w:t>
      </w:r>
      <w:r w:rsidR="00466BC1">
        <w:t>чь</w:t>
      </w:r>
      <w:r>
        <w:t>, соответственно,</w:t>
      </w:r>
      <w:r w:rsidRPr="00A81F9F">
        <w:t xml:space="preserve"> </w:t>
      </w:r>
      <w:r w:rsidR="00F368E9">
        <w:rPr>
          <w:rStyle w:val="af5"/>
          <w:rFonts w:eastAsia="Calibri"/>
          <w:b w:val="0"/>
          <w:sz w:val="24"/>
          <w:szCs w:val="24"/>
        </w:rPr>
        <w:t>1175</w:t>
      </w:r>
      <w:r w:rsidRPr="004D2E42">
        <w:rPr>
          <w:rStyle w:val="af5"/>
          <w:rFonts w:eastAsia="Calibri"/>
          <w:b w:val="0"/>
          <w:sz w:val="24"/>
          <w:szCs w:val="24"/>
        </w:rPr>
        <w:t xml:space="preserve"> млрд. кВт.ч и </w:t>
      </w:r>
      <w:r w:rsidR="00F368E9">
        <w:rPr>
          <w:rStyle w:val="af5"/>
          <w:rFonts w:eastAsia="Calibri"/>
          <w:b w:val="0"/>
          <w:sz w:val="24"/>
          <w:szCs w:val="24"/>
        </w:rPr>
        <w:t>1140</w:t>
      </w:r>
      <w:r w:rsidRPr="004D2E42">
        <w:rPr>
          <w:b/>
        </w:rPr>
        <w:t>,</w:t>
      </w:r>
      <w:r>
        <w:t xml:space="preserve"> т.е. разница между этими прогнозами составляет </w:t>
      </w:r>
      <w:r w:rsidR="00F368E9">
        <w:rPr>
          <w:b/>
        </w:rPr>
        <w:t>35</w:t>
      </w:r>
      <w:r w:rsidRPr="004D2E42">
        <w:rPr>
          <w:b/>
        </w:rPr>
        <w:t xml:space="preserve"> млрд. кВт.ч</w:t>
      </w:r>
      <w:r>
        <w:t xml:space="preserve">. </w:t>
      </w:r>
      <w:r w:rsidR="00821114">
        <w:t xml:space="preserve">А разница между прогнозами Минэнерго 2012г. и СПЭ 2012г. (оптимистический) – </w:t>
      </w:r>
      <w:r w:rsidR="00FF58A3">
        <w:t>почти в два раза</w:t>
      </w:r>
      <w:r w:rsidR="00821114">
        <w:t xml:space="preserve"> </w:t>
      </w:r>
      <w:r w:rsidR="00FF58A3">
        <w:t xml:space="preserve">больше, </w:t>
      </w:r>
      <w:r w:rsidR="00FF58A3" w:rsidRPr="00FF58A3">
        <w:rPr>
          <w:b/>
        </w:rPr>
        <w:t>66 млрд. кВт.ч</w:t>
      </w:r>
      <w:r w:rsidR="00FF58A3">
        <w:t xml:space="preserve">. </w:t>
      </w:r>
    </w:p>
    <w:p w:rsidR="00830B1C" w:rsidRDefault="00830B1C" w:rsidP="00830B1C">
      <w:pPr>
        <w:ind w:firstLine="709"/>
        <w:jc w:val="both"/>
      </w:pPr>
      <w:r>
        <w:t>Теперь сопоставим электропотреблени</w:t>
      </w:r>
      <w:r w:rsidR="00821114">
        <w:t>е</w:t>
      </w:r>
      <w:r>
        <w:t xml:space="preserve"> в</w:t>
      </w:r>
      <w:r w:rsidR="00821114">
        <w:t xml:space="preserve"> ЕЭС России в </w:t>
      </w:r>
      <w:r>
        <w:t>2019г. по</w:t>
      </w:r>
      <w:r w:rsidR="00821114">
        <w:t xml:space="preserve"> прогнозам</w:t>
      </w:r>
      <w:r>
        <w:t xml:space="preserve"> Минэнерго 2013 и по СПЭ 2013г.</w:t>
      </w:r>
      <w:r w:rsidR="00F368E9">
        <w:t xml:space="preserve"> </w:t>
      </w:r>
      <w:r>
        <w:t xml:space="preserve">(оптимистический сценарий), которые, соответственно, равны </w:t>
      </w:r>
      <w:r w:rsidR="00C50E54">
        <w:t>1153,6</w:t>
      </w:r>
      <w:r>
        <w:t xml:space="preserve"> кВт.ч и </w:t>
      </w:r>
      <w:r w:rsidR="00C50E54">
        <w:t>1089,8</w:t>
      </w:r>
      <w:r>
        <w:t xml:space="preserve"> кВт.ч. Разница между ними </w:t>
      </w:r>
      <w:r w:rsidR="00597CDB">
        <w:t xml:space="preserve">продолжает оставаться </w:t>
      </w:r>
      <w:r>
        <w:t>огромн</w:t>
      </w:r>
      <w:r w:rsidR="00597CDB">
        <w:t>ой</w:t>
      </w:r>
      <w:r>
        <w:t xml:space="preserve"> </w:t>
      </w:r>
      <w:r w:rsidR="00597CDB">
        <w:t xml:space="preserve">– </w:t>
      </w:r>
      <w:r w:rsidR="00C50E54">
        <w:rPr>
          <w:b/>
        </w:rPr>
        <w:t>63,8</w:t>
      </w:r>
      <w:r w:rsidRPr="004D2E42">
        <w:rPr>
          <w:b/>
        </w:rPr>
        <w:t xml:space="preserve"> млрд. кВт.ч</w:t>
      </w:r>
      <w:r w:rsidR="00FF58A3">
        <w:rPr>
          <w:b/>
        </w:rPr>
        <w:t xml:space="preserve">. </w:t>
      </w:r>
      <w:r>
        <w:t xml:space="preserve">Это показывает, как важно иметь обоснованные прогнозы электропотребления в стране хотя бы на горизонте времени 7 лет. </w:t>
      </w:r>
    </w:p>
    <w:p w:rsidR="00427401" w:rsidRDefault="00427401" w:rsidP="00EE1A61">
      <w:pPr>
        <w:ind w:firstLine="709"/>
        <w:jc w:val="both"/>
      </w:pPr>
      <w:r>
        <w:t>Видно, что прогнозы Минэнерго 2011, 2012 и 2013 г.</w:t>
      </w:r>
      <w:r w:rsidR="001B5526">
        <w:t xml:space="preserve"> и ИНЭИ РАН</w:t>
      </w:r>
      <w:r>
        <w:t xml:space="preserve"> </w:t>
      </w:r>
      <w:r w:rsidRPr="00D9321A">
        <w:rPr>
          <w:b/>
          <w:sz w:val="30"/>
          <w:szCs w:val="30"/>
        </w:rPr>
        <w:t>существенно завышены</w:t>
      </w:r>
      <w:r>
        <w:t xml:space="preserve"> по отношению к ф</w:t>
      </w:r>
      <w:r w:rsidR="004E381C">
        <w:t>актическим данным 2010-2013 гг.</w:t>
      </w:r>
      <w:r>
        <w:t xml:space="preserve"> </w:t>
      </w:r>
      <w:r w:rsidR="004E381C">
        <w:t>В</w:t>
      </w:r>
      <w:r w:rsidR="001D0892">
        <w:t xml:space="preserve"> то же время п</w:t>
      </w:r>
      <w:r>
        <w:t xml:space="preserve">рогнозы СПЭ – </w:t>
      </w:r>
      <w:r w:rsidR="001D0892" w:rsidRPr="00D9321A">
        <w:rPr>
          <w:b/>
          <w:sz w:val="30"/>
          <w:szCs w:val="30"/>
        </w:rPr>
        <w:t xml:space="preserve">близки или </w:t>
      </w:r>
      <w:r w:rsidRPr="00D9321A">
        <w:rPr>
          <w:b/>
          <w:sz w:val="30"/>
          <w:szCs w:val="30"/>
        </w:rPr>
        <w:t>соответствуют</w:t>
      </w:r>
      <w:r>
        <w:t xml:space="preserve"> фактическим данным.</w:t>
      </w:r>
      <w:r w:rsidR="00D9321A">
        <w:t xml:space="preserve"> </w:t>
      </w:r>
    </w:p>
    <w:p w:rsidR="009478DB" w:rsidRPr="00A81F9F" w:rsidRDefault="00D9321A" w:rsidP="00EE1A61">
      <w:pPr>
        <w:ind w:firstLine="709"/>
        <w:jc w:val="both"/>
      </w:pPr>
      <w:r>
        <w:t>Отсюда</w:t>
      </w:r>
      <w:r w:rsidR="009478DB" w:rsidRPr="00A81F9F">
        <w:t xml:space="preserve"> следует, что все основные показатели, принятые в прогноз</w:t>
      </w:r>
      <w:r>
        <w:t>ах</w:t>
      </w:r>
      <w:r w:rsidR="009478DB" w:rsidRPr="00A81F9F">
        <w:t xml:space="preserve"> Минэнерго 201</w:t>
      </w:r>
      <w:r>
        <w:t>1</w:t>
      </w:r>
      <w:r w:rsidR="009478DB" w:rsidRPr="00A81F9F">
        <w:t>г.</w:t>
      </w:r>
      <w:r>
        <w:t>, 2012г., а также</w:t>
      </w:r>
      <w:r w:rsidR="004C543F">
        <w:t xml:space="preserve"> в</w:t>
      </w:r>
      <w:r w:rsidR="009478DB">
        <w:t xml:space="preserve"> Минэнерго 2013г.</w:t>
      </w:r>
      <w:r w:rsidR="009478DB" w:rsidRPr="00A81F9F">
        <w:t xml:space="preserve">, </w:t>
      </w:r>
      <w:r w:rsidR="009478DB" w:rsidRPr="00A81F9F">
        <w:rPr>
          <w:rStyle w:val="af5"/>
          <w:rFonts w:eastAsia="Calibri"/>
          <w:sz w:val="30"/>
        </w:rPr>
        <w:t>существенно завышены</w:t>
      </w:r>
      <w:r w:rsidR="001923A4">
        <w:t xml:space="preserve">. К </w:t>
      </w:r>
      <w:r w:rsidR="00F30C85">
        <w:t>этим показателям</w:t>
      </w:r>
      <w:r w:rsidR="001923A4">
        <w:t xml:space="preserve">, кроме </w:t>
      </w:r>
      <w:r w:rsidR="001923A4" w:rsidRPr="001923A4">
        <w:rPr>
          <w:b/>
          <w:sz w:val="30"/>
          <w:szCs w:val="30"/>
        </w:rPr>
        <w:t>электропотребления</w:t>
      </w:r>
      <w:r w:rsidR="001923A4">
        <w:t xml:space="preserve">, </w:t>
      </w:r>
      <w:r w:rsidR="009478DB" w:rsidRPr="00A81F9F">
        <w:t xml:space="preserve">относятся: </w:t>
      </w:r>
      <w:r w:rsidR="009478DB" w:rsidRPr="00A81F9F">
        <w:rPr>
          <w:rStyle w:val="af5"/>
          <w:rFonts w:eastAsia="Calibri"/>
          <w:sz w:val="30"/>
        </w:rPr>
        <w:t xml:space="preserve">максимум электрической нагрузки, объем </w:t>
      </w:r>
      <w:r w:rsidR="004E381C">
        <w:rPr>
          <w:rStyle w:val="af5"/>
          <w:rFonts w:eastAsia="Calibri"/>
          <w:sz w:val="30"/>
        </w:rPr>
        <w:t xml:space="preserve">необходимого </w:t>
      </w:r>
      <w:r w:rsidR="009478DB" w:rsidRPr="00A81F9F">
        <w:rPr>
          <w:rStyle w:val="af5"/>
          <w:rFonts w:eastAsia="Calibri"/>
          <w:sz w:val="30"/>
        </w:rPr>
        <w:t>ввода новых генерирующих мощностей, высоковольтных линий</w:t>
      </w:r>
      <w:r w:rsidR="004C543F">
        <w:rPr>
          <w:rStyle w:val="af5"/>
          <w:rFonts w:eastAsia="Calibri"/>
          <w:sz w:val="30"/>
        </w:rPr>
        <w:t xml:space="preserve"> электропередач</w:t>
      </w:r>
      <w:r w:rsidR="009478DB" w:rsidRPr="00A81F9F">
        <w:rPr>
          <w:rStyle w:val="af5"/>
          <w:rFonts w:eastAsia="Calibri"/>
          <w:sz w:val="30"/>
        </w:rPr>
        <w:t xml:space="preserve"> и трансформаторных мощностей</w:t>
      </w:r>
      <w:r w:rsidR="004E381C">
        <w:rPr>
          <w:rStyle w:val="af5"/>
          <w:rFonts w:eastAsia="Calibri"/>
          <w:sz w:val="30"/>
        </w:rPr>
        <w:t xml:space="preserve"> в</w:t>
      </w:r>
      <w:r w:rsidR="009478DB" w:rsidRPr="00A81F9F">
        <w:rPr>
          <w:rStyle w:val="af5"/>
          <w:rFonts w:eastAsia="Calibri"/>
          <w:sz w:val="30"/>
        </w:rPr>
        <w:t xml:space="preserve"> ЕЭС  России</w:t>
      </w:r>
      <w:r w:rsidR="009478DB" w:rsidRPr="00A81F9F">
        <w:t xml:space="preserve">.  </w:t>
      </w:r>
    </w:p>
    <w:p w:rsidR="009478DB" w:rsidRPr="00A81F9F" w:rsidRDefault="009478DB" w:rsidP="00801933">
      <w:pPr>
        <w:pStyle w:val="3"/>
      </w:pPr>
    </w:p>
    <w:p w:rsidR="009478DB" w:rsidRPr="00A81F9F" w:rsidRDefault="009478DB" w:rsidP="00EE1A61">
      <w:pPr>
        <w:jc w:val="both"/>
      </w:pPr>
    </w:p>
    <w:p w:rsidR="009478DB" w:rsidRPr="00F77A79" w:rsidRDefault="00801933" w:rsidP="00212929">
      <w:pPr>
        <w:pStyle w:val="2"/>
      </w:pPr>
      <w:r>
        <w:br w:type="page"/>
      </w:r>
      <w:bookmarkStart w:id="54" w:name="_Toc370759782"/>
      <w:bookmarkStart w:id="55" w:name="_Toc374557789"/>
      <w:r w:rsidR="009478DB" w:rsidRPr="00F77A79">
        <w:t xml:space="preserve">По Разделу 3. Прогноз максимальных электрических нагрузок </w:t>
      </w:r>
      <w:r w:rsidR="003D3DD0" w:rsidRPr="00F77A79">
        <w:t>ЕЭС  России на период 2013 – 2019</w:t>
      </w:r>
      <w:r w:rsidR="009478DB" w:rsidRPr="00F77A79">
        <w:t xml:space="preserve"> гг.</w:t>
      </w:r>
      <w:bookmarkEnd w:id="54"/>
      <w:bookmarkEnd w:id="55"/>
    </w:p>
    <w:p w:rsidR="009478DB" w:rsidRPr="00BD7131" w:rsidRDefault="009478DB" w:rsidP="001B47F2">
      <w:pPr>
        <w:pStyle w:val="3"/>
        <w:rPr>
          <w:shd w:val="clear" w:color="auto" w:fill="FFFFFF"/>
        </w:rPr>
      </w:pPr>
      <w:bookmarkStart w:id="56" w:name="_Toc344496544"/>
      <w:bookmarkStart w:id="57" w:name="_Toc370759783"/>
      <w:bookmarkStart w:id="58" w:name="_Toc374557790"/>
      <w:r w:rsidRPr="00BD7131">
        <w:rPr>
          <w:shd w:val="clear" w:color="auto" w:fill="FFFFFF"/>
        </w:rPr>
        <w:t>3.1. Динамика электропотребления в РФ и максимальной электрической нагрузки в ЕЭС в период с 1990</w:t>
      </w:r>
      <w:r w:rsidR="007211A0" w:rsidRPr="00BD7131">
        <w:rPr>
          <w:shd w:val="clear" w:color="auto" w:fill="FFFFFF"/>
        </w:rPr>
        <w:t xml:space="preserve"> по 2012гг., с прогнозом до 2019</w:t>
      </w:r>
      <w:r w:rsidRPr="00BD7131">
        <w:rPr>
          <w:shd w:val="clear" w:color="auto" w:fill="FFFFFF"/>
        </w:rPr>
        <w:t>г.</w:t>
      </w:r>
      <w:bookmarkEnd w:id="56"/>
      <w:bookmarkEnd w:id="57"/>
      <w:bookmarkEnd w:id="58"/>
      <w:r w:rsidRPr="00BD7131">
        <w:rPr>
          <w:shd w:val="clear" w:color="auto" w:fill="FFFFFF"/>
        </w:rPr>
        <w:t xml:space="preserve"> </w:t>
      </w:r>
    </w:p>
    <w:p w:rsidR="009478DB" w:rsidRPr="00A81F9F" w:rsidRDefault="009478DB" w:rsidP="00726B9F"/>
    <w:p w:rsidR="009478DB" w:rsidRPr="00554EF0" w:rsidRDefault="007C1ADE" w:rsidP="00E82379">
      <w:pPr>
        <w:jc w:val="center"/>
        <w:rPr>
          <w:shd w:val="clear" w:color="auto" w:fill="FFFFFF"/>
        </w:rPr>
      </w:pPr>
      <w:r>
        <w:rPr>
          <w:noProof/>
          <w:shd w:val="clear" w:color="auto" w:fill="FFFFFF"/>
        </w:rPr>
        <w:drawing>
          <wp:inline distT="0" distB="0" distL="0" distR="0">
            <wp:extent cx="6153150" cy="3676650"/>
            <wp:effectExtent l="0" t="0" r="0" b="0"/>
            <wp:docPr id="70"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478DB" w:rsidRPr="00A81F9F" w:rsidRDefault="009478DB" w:rsidP="00FE05EE">
      <w:pPr>
        <w:ind w:hanging="540"/>
        <w:jc w:val="both"/>
      </w:pPr>
    </w:p>
    <w:p w:rsidR="009478DB" w:rsidRPr="00A81F9F" w:rsidRDefault="009478DB" w:rsidP="0071136C">
      <w:pPr>
        <w:ind w:firstLine="851"/>
        <w:jc w:val="both"/>
      </w:pPr>
      <w:r w:rsidRPr="00A81F9F">
        <w:t>Рис.2</w:t>
      </w:r>
      <w:r w:rsidR="00B17915">
        <w:t>6</w:t>
      </w:r>
      <w:r w:rsidRPr="00A81F9F">
        <w:t>. Динамика электропотребления в РФ и максимальной электрич</w:t>
      </w:r>
      <w:r w:rsidR="00FC3380">
        <w:t xml:space="preserve">еской нагрузки в ЕЭС в период </w:t>
      </w:r>
      <w:r w:rsidRPr="00A81F9F">
        <w:t>1990</w:t>
      </w:r>
      <w:r w:rsidR="00FC3380">
        <w:t>-</w:t>
      </w:r>
      <w:r w:rsidR="0071722E">
        <w:t>2012гг., с прогнозами до 2019г. (по данным Росстата 2013</w:t>
      </w:r>
      <w:r w:rsidRPr="00A81F9F">
        <w:t xml:space="preserve"> г.)</w:t>
      </w:r>
    </w:p>
    <w:p w:rsidR="009478DB" w:rsidRPr="00A81F9F" w:rsidRDefault="009478DB" w:rsidP="00FE05EE">
      <w:pPr>
        <w:ind w:firstLine="709"/>
        <w:jc w:val="both"/>
      </w:pPr>
    </w:p>
    <w:p w:rsidR="00770491" w:rsidRPr="00A81F9F" w:rsidRDefault="00770491" w:rsidP="00770491">
      <w:pPr>
        <w:ind w:firstLine="709"/>
        <w:jc w:val="both"/>
      </w:pPr>
      <w:r>
        <w:t>В</w:t>
      </w:r>
      <w:r w:rsidRPr="00A81F9F">
        <w:t>идно, что максимум электрической нагрузки существенно меняется от года к году,</w:t>
      </w:r>
      <w:r>
        <w:t xml:space="preserve"> но </w:t>
      </w:r>
      <w:r w:rsidRPr="00A81F9F">
        <w:t>общий тренд – его рост с ростом электропотребления.</w:t>
      </w:r>
      <w:r w:rsidR="006120E6">
        <w:t xml:space="preserve"> Э</w:t>
      </w:r>
      <w:r>
        <w:t>тот максимум</w:t>
      </w:r>
      <w:r w:rsidRPr="00A81F9F">
        <w:t xml:space="preserve"> зависит от температурного режима </w:t>
      </w:r>
      <w:r>
        <w:t>в зимний период</w:t>
      </w:r>
      <w:r w:rsidRPr="00A81F9F">
        <w:t xml:space="preserve"> на большей части территории страны. Поэтому изменение максимума электрической нагрузки </w:t>
      </w:r>
      <w:r>
        <w:t xml:space="preserve">по годам </w:t>
      </w:r>
      <w:r w:rsidRPr="00A81F9F">
        <w:t xml:space="preserve">происходит не монотонно, а </w:t>
      </w:r>
      <w:r>
        <w:t>«пилообразно»</w:t>
      </w:r>
      <w:r w:rsidRPr="00A81F9F">
        <w:t xml:space="preserve">. </w:t>
      </w:r>
    </w:p>
    <w:p w:rsidR="00770491" w:rsidRPr="00A81F9F" w:rsidRDefault="00770491" w:rsidP="00770491">
      <w:pPr>
        <w:ind w:firstLine="709"/>
        <w:jc w:val="both"/>
      </w:pPr>
      <w:r w:rsidRPr="00A81F9F">
        <w:t xml:space="preserve">Из рис </w:t>
      </w:r>
      <w:r>
        <w:t>2</w:t>
      </w:r>
      <w:r w:rsidR="00B17915">
        <w:t>6</w:t>
      </w:r>
      <w:r w:rsidRPr="00A81F9F">
        <w:t xml:space="preserve"> видно, что</w:t>
      </w:r>
      <w:r w:rsidR="00FC3380">
        <w:t xml:space="preserve"> в период 1990-2012гг.</w:t>
      </w:r>
      <w:r w:rsidRPr="00A81F9F">
        <w:t xml:space="preserve"> максимум электрической нагрузки в ЕЭС</w:t>
      </w:r>
      <w:r w:rsidR="00FC3380">
        <w:t xml:space="preserve"> России</w:t>
      </w:r>
      <w:r w:rsidRPr="00A81F9F">
        <w:t xml:space="preserve"> был достигнут в осеннее-зимний максимум 1990 – 1991гг. и равнялся </w:t>
      </w:r>
      <w:r w:rsidRPr="00A81F9F">
        <w:rPr>
          <w:rStyle w:val="af5"/>
          <w:rFonts w:eastAsia="Calibri"/>
          <w:sz w:val="30"/>
        </w:rPr>
        <w:t xml:space="preserve">158,8 ГВт </w:t>
      </w:r>
      <w:r w:rsidRPr="00A81F9F">
        <w:t xml:space="preserve">(«Энергетика России: Взгляд в будущее. Обосновывающие материалы к Энергетической стратегии России на период до 2030 года». Москва, </w:t>
      </w:r>
      <w:smartTag w:uri="urn:schemas-microsoft-com:office:smarttags" w:element="metricconverter">
        <w:smartTagPr>
          <w:attr w:name="ProductID" w:val="2010 г"/>
        </w:smartTagPr>
        <w:r w:rsidRPr="00A81F9F">
          <w:t>2010 г</w:t>
        </w:r>
      </w:smartTag>
      <w:r w:rsidRPr="00A81F9F">
        <w:t>. см. таблицу № 6.5.2. на стр. 342)</w:t>
      </w:r>
      <w:r w:rsidR="00FC3380">
        <w:t>. П</w:t>
      </w:r>
      <w:r w:rsidRPr="00A81F9F">
        <w:t xml:space="preserve">ри этом электропотребление в России составило </w:t>
      </w:r>
      <w:r w:rsidRPr="00A81F9F">
        <w:rPr>
          <w:rStyle w:val="af5"/>
          <w:rFonts w:eastAsia="Calibri"/>
          <w:sz w:val="30"/>
        </w:rPr>
        <w:t xml:space="preserve">1074 млрд. кВт.ч </w:t>
      </w:r>
      <w:r w:rsidRPr="00A81F9F">
        <w:t xml:space="preserve">(Росстат </w:t>
      </w:r>
      <w:smartTag w:uri="urn:schemas-microsoft-com:office:smarttags" w:element="metricconverter">
        <w:smartTagPr>
          <w:attr w:name="ProductID" w:val="2012 г"/>
        </w:smartTagPr>
        <w:r w:rsidRPr="00A81F9F">
          <w:t>2012 г</w:t>
        </w:r>
      </w:smartTag>
      <w:r w:rsidRPr="00A81F9F">
        <w:t>.</w:t>
      </w:r>
      <w:r w:rsidRPr="00FC3380">
        <w:rPr>
          <w:rStyle w:val="af5"/>
          <w:rFonts w:eastAsia="Calibri"/>
          <w:b w:val="0"/>
          <w:sz w:val="24"/>
          <w:szCs w:val="24"/>
        </w:rPr>
        <w:t>)</w:t>
      </w:r>
      <w:r w:rsidRPr="00A81F9F">
        <w:t xml:space="preserve">. </w:t>
      </w:r>
      <w:r w:rsidR="00FC3380">
        <w:t>Т</w:t>
      </w:r>
      <w:r w:rsidRPr="00A81F9F">
        <w:t xml:space="preserve">олько через 22 года, в феврале </w:t>
      </w:r>
      <w:r>
        <w:t>2012 г.</w:t>
      </w:r>
      <w:r w:rsidRPr="00A81F9F">
        <w:t xml:space="preserve">, максимум электрической нагрузки потребителей приблизился к этому значению и  достиг </w:t>
      </w:r>
      <w:r>
        <w:rPr>
          <w:rStyle w:val="af5"/>
          <w:rFonts w:eastAsia="Calibri"/>
          <w:sz w:val="30"/>
        </w:rPr>
        <w:t>157,4</w:t>
      </w:r>
      <w:r w:rsidRPr="00A81F9F">
        <w:rPr>
          <w:rStyle w:val="af5"/>
          <w:rFonts w:eastAsia="Calibri"/>
          <w:sz w:val="30"/>
        </w:rPr>
        <w:t xml:space="preserve"> ГВт</w:t>
      </w:r>
      <w:r w:rsidRPr="00A81F9F">
        <w:t>. При этом электропотребление в России</w:t>
      </w:r>
      <w:r w:rsidR="006120E6">
        <w:t xml:space="preserve"> в 2012г.</w:t>
      </w:r>
      <w:r w:rsidRPr="00A81F9F">
        <w:t xml:space="preserve"> </w:t>
      </w:r>
      <w:r w:rsidR="006120E6">
        <w:t>достигло</w:t>
      </w:r>
      <w:r w:rsidRPr="00A81F9F">
        <w:t xml:space="preserve"> </w:t>
      </w:r>
      <w:r w:rsidRPr="00A81F9F">
        <w:rPr>
          <w:rStyle w:val="af5"/>
          <w:rFonts w:eastAsia="Calibri"/>
          <w:sz w:val="30"/>
        </w:rPr>
        <w:t>10</w:t>
      </w:r>
      <w:r>
        <w:rPr>
          <w:rStyle w:val="af5"/>
          <w:rFonts w:eastAsia="Calibri"/>
          <w:sz w:val="30"/>
        </w:rPr>
        <w:t>63 млрд. к</w:t>
      </w:r>
      <w:r w:rsidRPr="00A81F9F">
        <w:rPr>
          <w:rStyle w:val="af5"/>
          <w:rFonts w:eastAsia="Calibri"/>
          <w:sz w:val="30"/>
        </w:rPr>
        <w:t xml:space="preserve">Вт.ч </w:t>
      </w:r>
      <w:r w:rsidRPr="00A81F9F">
        <w:t>(</w:t>
      </w:r>
      <w:r>
        <w:t xml:space="preserve">в 2011г. – </w:t>
      </w:r>
      <w:r w:rsidRPr="00A81F9F">
        <w:t>10</w:t>
      </w:r>
      <w:r>
        <w:t>41</w:t>
      </w:r>
      <w:r w:rsidRPr="00A81F9F">
        <w:t xml:space="preserve"> млрд. </w:t>
      </w:r>
      <w:r>
        <w:t xml:space="preserve">кВт.ч, </w:t>
      </w:r>
      <w:r>
        <w:br/>
        <w:t>данные Росстата 2013 г.</w:t>
      </w:r>
      <w:r w:rsidRPr="00A81F9F">
        <w:t>)</w:t>
      </w:r>
      <w:r>
        <w:rPr>
          <w:rStyle w:val="af5"/>
          <w:rFonts w:eastAsia="Calibri"/>
          <w:sz w:val="30"/>
        </w:rPr>
        <w:t>.</w:t>
      </w:r>
    </w:p>
    <w:p w:rsidR="00770491" w:rsidRDefault="00770491" w:rsidP="006119E7">
      <w:pPr>
        <w:ind w:firstLine="709"/>
        <w:jc w:val="both"/>
      </w:pPr>
    </w:p>
    <w:p w:rsidR="009478DB" w:rsidRPr="00B43B70" w:rsidRDefault="009478DB" w:rsidP="00425E67">
      <w:pPr>
        <w:jc w:val="center"/>
      </w:pPr>
    </w:p>
    <w:p w:rsidR="009478DB" w:rsidRDefault="009478DB" w:rsidP="006119E7">
      <w:pPr>
        <w:tabs>
          <w:tab w:val="left" w:pos="3270"/>
        </w:tabs>
        <w:ind w:firstLine="709"/>
        <w:jc w:val="both"/>
      </w:pPr>
      <w:r w:rsidRPr="00A81F9F">
        <w:t xml:space="preserve">На рис. </w:t>
      </w:r>
      <w:r w:rsidR="00B17915">
        <w:t>27</w:t>
      </w:r>
      <w:r w:rsidRPr="00A81F9F">
        <w:t xml:space="preserve"> показана динамика максимума электрической нагрузки в период 199</w:t>
      </w:r>
      <w:r w:rsidR="00282D24">
        <w:t>0 – 2012 гг. с прогнозом до 2019</w:t>
      </w:r>
      <w:r w:rsidRPr="00A81F9F">
        <w:t>г.</w:t>
      </w:r>
    </w:p>
    <w:p w:rsidR="009478DB" w:rsidRPr="00A81F9F" w:rsidRDefault="009478DB" w:rsidP="006119E7">
      <w:pPr>
        <w:tabs>
          <w:tab w:val="left" w:pos="3270"/>
        </w:tabs>
        <w:ind w:firstLine="709"/>
        <w:jc w:val="both"/>
      </w:pPr>
    </w:p>
    <w:p w:rsidR="009478DB" w:rsidRPr="00554EF0" w:rsidRDefault="007C1ADE" w:rsidP="00B17915">
      <w:pPr>
        <w:ind w:left="-993"/>
        <w:jc w:val="center"/>
      </w:pPr>
      <w:r>
        <w:rPr>
          <w:noProof/>
        </w:rPr>
        <w:drawing>
          <wp:inline distT="0" distB="0" distL="0" distR="0">
            <wp:extent cx="7315200" cy="5486400"/>
            <wp:effectExtent l="19050" t="0" r="0" b="0"/>
            <wp:docPr id="69" name="Рисунок 32" descr="Презентаци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Презентация1"/>
                    <pic:cNvPicPr>
                      <a:picLocks noChangeAspect="1" noChangeArrowheads="1"/>
                    </pic:cNvPicPr>
                  </pic:nvPicPr>
                  <pic:blipFill>
                    <a:blip r:embed="rId42" cstate="print"/>
                    <a:srcRect/>
                    <a:stretch>
                      <a:fillRect/>
                    </a:stretch>
                  </pic:blipFill>
                  <pic:spPr bwMode="auto">
                    <a:xfrm>
                      <a:off x="0" y="0"/>
                      <a:ext cx="7315200" cy="5486400"/>
                    </a:xfrm>
                    <a:prstGeom prst="rect">
                      <a:avLst/>
                    </a:prstGeom>
                    <a:noFill/>
                    <a:ln w="9525">
                      <a:noFill/>
                      <a:miter lim="800000"/>
                      <a:headEnd/>
                      <a:tailEnd/>
                    </a:ln>
                  </pic:spPr>
                </pic:pic>
              </a:graphicData>
            </a:graphic>
          </wp:inline>
        </w:drawing>
      </w:r>
    </w:p>
    <w:p w:rsidR="009478DB" w:rsidRDefault="009478DB" w:rsidP="006119E7">
      <w:pPr>
        <w:ind w:firstLine="709"/>
        <w:jc w:val="both"/>
      </w:pPr>
      <w:r w:rsidRPr="00A81F9F">
        <w:t xml:space="preserve">Рис </w:t>
      </w:r>
      <w:r w:rsidR="00B17915">
        <w:t>27</w:t>
      </w:r>
      <w:r w:rsidRPr="00A81F9F">
        <w:t xml:space="preserve">. </w:t>
      </w:r>
      <w:r w:rsidR="005366FE">
        <w:t>Динамика максимума</w:t>
      </w:r>
      <w:r w:rsidRPr="00A81F9F">
        <w:t xml:space="preserve"> электрической нагрузки в ЕЭС</w:t>
      </w:r>
      <w:r w:rsidR="009F2B13">
        <w:t xml:space="preserve"> России</w:t>
      </w:r>
      <w:r w:rsidRPr="00A81F9F">
        <w:t xml:space="preserve"> в период 199</w:t>
      </w:r>
      <w:r w:rsidR="00282D24">
        <w:t>0 – 2012гг., с прогнозом до 2019</w:t>
      </w:r>
      <w:r w:rsidRPr="00A81F9F">
        <w:t xml:space="preserve">г., </w:t>
      </w:r>
      <w:r w:rsidR="00BF66C4">
        <w:t>по</w:t>
      </w:r>
      <w:r w:rsidRPr="00A81F9F">
        <w:t xml:space="preserve"> Минэнерго </w:t>
      </w:r>
      <w:smartTag w:uri="urn:schemas-microsoft-com:office:smarttags" w:element="metricconverter">
        <w:smartTagPr>
          <w:attr w:name="ProductID" w:val="2011 г"/>
        </w:smartTagPr>
        <w:r w:rsidRPr="00A81F9F">
          <w:t>2011 г</w:t>
        </w:r>
      </w:smartTag>
      <w:r w:rsidRPr="00A81F9F">
        <w:t xml:space="preserve">., </w:t>
      </w:r>
      <w:smartTag w:uri="urn:schemas-microsoft-com:office:smarttags" w:element="metricconverter">
        <w:smartTagPr>
          <w:attr w:name="ProductID" w:val="2012 г"/>
        </w:smartTagPr>
        <w:r w:rsidRPr="00A81F9F">
          <w:t>2012 г</w:t>
        </w:r>
      </w:smartTag>
      <w:r w:rsidR="00282D24">
        <w:t>.,2013 г. и  СПЭ 2013</w:t>
      </w:r>
      <w:r w:rsidRPr="00A81F9F">
        <w:t xml:space="preserve"> г.</w:t>
      </w:r>
      <w:r w:rsidR="00242755">
        <w:t xml:space="preserve"> (февраль) и СПЭ 2013 (октябрь). </w:t>
      </w:r>
    </w:p>
    <w:p w:rsidR="00F855C2" w:rsidRDefault="00F855C2" w:rsidP="006119E7">
      <w:pPr>
        <w:ind w:firstLine="709"/>
        <w:jc w:val="both"/>
      </w:pPr>
    </w:p>
    <w:p w:rsidR="005B5477" w:rsidRDefault="00F855C2" w:rsidP="008004CF">
      <w:pPr>
        <w:ind w:firstLine="709"/>
        <w:jc w:val="both"/>
      </w:pPr>
      <w:r>
        <w:t>Видно</w:t>
      </w:r>
      <w:r w:rsidR="009478DB" w:rsidRPr="00A81F9F">
        <w:t xml:space="preserve">, что </w:t>
      </w:r>
      <w:r w:rsidR="002F41B4">
        <w:t>данные</w:t>
      </w:r>
      <w:r>
        <w:t xml:space="preserve"> по максимальной электрической нагрузке</w:t>
      </w:r>
      <w:r w:rsidR="002F41B4">
        <w:t xml:space="preserve"> </w:t>
      </w:r>
      <w:r>
        <w:t>по</w:t>
      </w:r>
      <w:r w:rsidR="002F41B4">
        <w:t xml:space="preserve"> </w:t>
      </w:r>
      <w:r w:rsidR="009478DB" w:rsidRPr="00A81F9F">
        <w:t xml:space="preserve"> прогноза</w:t>
      </w:r>
      <w:r>
        <w:t>м</w:t>
      </w:r>
      <w:r w:rsidR="009478DB" w:rsidRPr="00A81F9F">
        <w:t xml:space="preserve"> Минэнерго </w:t>
      </w:r>
      <w:smartTag w:uri="urn:schemas-microsoft-com:office:smarttags" w:element="metricconverter">
        <w:smartTagPr>
          <w:attr w:name="ProductID" w:val="2011 г"/>
        </w:smartTagPr>
        <w:r w:rsidR="009478DB" w:rsidRPr="00A81F9F">
          <w:t>2011 г</w:t>
        </w:r>
      </w:smartTag>
      <w:r w:rsidR="009478DB" w:rsidRPr="00A81F9F">
        <w:t xml:space="preserve">., </w:t>
      </w:r>
      <w:smartTag w:uri="urn:schemas-microsoft-com:office:smarttags" w:element="metricconverter">
        <w:smartTagPr>
          <w:attr w:name="ProductID" w:val="2012 г"/>
        </w:smartTagPr>
        <w:r w:rsidR="009478DB" w:rsidRPr="00A81F9F">
          <w:t>2012 г</w:t>
        </w:r>
      </w:smartTag>
      <w:r w:rsidR="009478DB" w:rsidRPr="00A81F9F">
        <w:t>.</w:t>
      </w:r>
      <w:r w:rsidR="002F41B4">
        <w:t xml:space="preserve"> существенно отличаются друг от друга. Например,</w:t>
      </w:r>
      <w:r w:rsidR="009478DB" w:rsidRPr="00A81F9F">
        <w:t xml:space="preserve"> в 2017г., </w:t>
      </w:r>
      <w:r w:rsidR="002F41B4">
        <w:t>она равнялась, соответственно,</w:t>
      </w:r>
      <w:r w:rsidR="009478DB" w:rsidRPr="00A81F9F">
        <w:t xml:space="preserve"> </w:t>
      </w:r>
      <w:r w:rsidR="009478DB" w:rsidRPr="00A81F9F">
        <w:rPr>
          <w:rStyle w:val="af5"/>
          <w:rFonts w:eastAsia="Calibri"/>
          <w:sz w:val="30"/>
        </w:rPr>
        <w:t>181 ГВт</w:t>
      </w:r>
      <w:r w:rsidR="009478DB" w:rsidRPr="00A81F9F">
        <w:t xml:space="preserve"> </w:t>
      </w:r>
      <w:r w:rsidR="002F41B4">
        <w:t>(прогноз</w:t>
      </w:r>
      <w:r w:rsidR="009478DB" w:rsidRPr="00A81F9F">
        <w:t xml:space="preserve">  2011г.</w:t>
      </w:r>
      <w:r w:rsidR="002F41B4">
        <w:t>)</w:t>
      </w:r>
      <w:r>
        <w:t xml:space="preserve"> </w:t>
      </w:r>
      <w:r w:rsidR="009478DB" w:rsidRPr="00A81F9F">
        <w:t xml:space="preserve">и </w:t>
      </w:r>
      <w:r w:rsidR="009478DB" w:rsidRPr="00A81F9F">
        <w:rPr>
          <w:rStyle w:val="af5"/>
          <w:rFonts w:eastAsia="Calibri"/>
          <w:sz w:val="30"/>
        </w:rPr>
        <w:t>173,9 ГВт</w:t>
      </w:r>
      <w:r w:rsidR="002F41B4">
        <w:t xml:space="preserve"> (</w:t>
      </w:r>
      <w:r w:rsidR="009478DB" w:rsidRPr="00A81F9F">
        <w:t>прогнозу 2012г.</w:t>
      </w:r>
      <w:r w:rsidR="002F41B4">
        <w:t>)</w:t>
      </w:r>
      <w:r w:rsidR="009478DB" w:rsidRPr="00A81F9F">
        <w:t xml:space="preserve">, т.е. </w:t>
      </w:r>
      <w:r w:rsidR="009478DB" w:rsidRPr="00A81F9F">
        <w:rPr>
          <w:rStyle w:val="af5"/>
          <w:rFonts w:eastAsia="Calibri"/>
          <w:sz w:val="30"/>
        </w:rPr>
        <w:t>за 1 год</w:t>
      </w:r>
      <w:r w:rsidR="009478DB" w:rsidRPr="00A81F9F">
        <w:t xml:space="preserve"> снизи</w:t>
      </w:r>
      <w:r w:rsidR="008547B8">
        <w:t xml:space="preserve">лась на существенную величину – </w:t>
      </w:r>
      <w:r w:rsidR="009478DB" w:rsidRPr="00A81F9F">
        <w:rPr>
          <w:rStyle w:val="af5"/>
          <w:rFonts w:eastAsia="Calibri"/>
          <w:sz w:val="30"/>
        </w:rPr>
        <w:t>7,1 ГВт</w:t>
      </w:r>
      <w:r w:rsidR="009478DB" w:rsidRPr="00A81F9F">
        <w:t xml:space="preserve">. Если считать стоимость строительства 1ГВт мощности минимум 2 $ млрд., то это означает уменьшение инвестиций на генерацию </w:t>
      </w:r>
      <w:r w:rsidR="009478DB" w:rsidRPr="00A81F9F">
        <w:rPr>
          <w:rStyle w:val="af5"/>
          <w:rFonts w:eastAsia="Calibri"/>
          <w:sz w:val="30"/>
        </w:rPr>
        <w:t>14,2  млрд</w:t>
      </w:r>
      <w:r w:rsidR="009478DB" w:rsidRPr="00A81F9F">
        <w:t xml:space="preserve">. </w:t>
      </w:r>
      <w:r w:rsidR="009478DB" w:rsidRPr="00A81F9F">
        <w:rPr>
          <w:rStyle w:val="af5"/>
          <w:rFonts w:eastAsia="Calibri"/>
          <w:sz w:val="30"/>
        </w:rPr>
        <w:t>или 450 млрд. рублей</w:t>
      </w:r>
      <w:r w:rsidR="009478DB" w:rsidRPr="00A81F9F">
        <w:t xml:space="preserve"> в ценах 2012г. Еще плюс около 60</w:t>
      </w:r>
      <w:r w:rsidR="002B7BF8">
        <w:t>%   - на сетевую инфраструктуру</w:t>
      </w:r>
      <w:r w:rsidR="009478DB" w:rsidRPr="00A81F9F">
        <w:t xml:space="preserve">, которую необходимо построить для </w:t>
      </w:r>
      <w:r w:rsidR="008547B8">
        <w:t>подключения потребителей к этим мощностям</w:t>
      </w:r>
      <w:r w:rsidR="009478DB" w:rsidRPr="00A81F9F">
        <w:t xml:space="preserve">, а это дополнительно </w:t>
      </w:r>
      <w:r w:rsidR="009478DB" w:rsidRPr="00A81F9F">
        <w:rPr>
          <w:rStyle w:val="af5"/>
          <w:rFonts w:eastAsia="Calibri"/>
          <w:sz w:val="30"/>
        </w:rPr>
        <w:t>8,5$ млрд.</w:t>
      </w:r>
      <w:r w:rsidR="009478DB" w:rsidRPr="00A81F9F">
        <w:t xml:space="preserve"> Итого: </w:t>
      </w:r>
      <w:r w:rsidR="009478DB" w:rsidRPr="00A81F9F">
        <w:rPr>
          <w:rStyle w:val="af5"/>
          <w:rFonts w:eastAsia="Calibri"/>
          <w:sz w:val="30"/>
        </w:rPr>
        <w:t>за 1 год</w:t>
      </w:r>
      <w:r w:rsidR="009478DB" w:rsidRPr="00A81F9F">
        <w:t xml:space="preserve"> разница в стоимости инвестиций в </w:t>
      </w:r>
      <w:r w:rsidR="00106290">
        <w:t>Схеме и п</w:t>
      </w:r>
      <w:r w:rsidR="009478DB" w:rsidRPr="00A81F9F">
        <w:t xml:space="preserve">рограмме развития </w:t>
      </w:r>
      <w:r w:rsidR="008C44A6">
        <w:t>ЕЭС</w:t>
      </w:r>
      <w:r w:rsidR="009478DB" w:rsidRPr="00A81F9F">
        <w:t xml:space="preserve"> России составила </w:t>
      </w:r>
      <w:r w:rsidR="009478DB" w:rsidRPr="00A81F9F">
        <w:rPr>
          <w:rStyle w:val="af5"/>
          <w:rFonts w:eastAsia="Calibri"/>
          <w:sz w:val="30"/>
        </w:rPr>
        <w:t xml:space="preserve">22,7$ млрд. </w:t>
      </w:r>
      <w:r w:rsidR="009478DB" w:rsidRPr="00A81F9F">
        <w:t xml:space="preserve">или </w:t>
      </w:r>
      <w:r w:rsidR="009478DB" w:rsidRPr="00A81F9F">
        <w:rPr>
          <w:rStyle w:val="af5"/>
          <w:rFonts w:eastAsia="Calibri"/>
          <w:sz w:val="30"/>
        </w:rPr>
        <w:t xml:space="preserve">730млрд. руб. </w:t>
      </w:r>
      <w:r w:rsidR="009478DB" w:rsidRPr="00A81F9F">
        <w:t xml:space="preserve">в ценах 2012г., что даже превышает объем инвестиционной программы в электроэнергетику в 2010г. (674,7 млрд. руб. по данным доклада заместителя Министра энергетики РФ А.Н. Шишкина </w:t>
      </w:r>
      <w:r w:rsidR="009478DB" w:rsidRPr="00A81F9F">
        <w:rPr>
          <w:lang w:val="en-US"/>
        </w:rPr>
        <w:t>VI</w:t>
      </w:r>
      <w:r w:rsidR="009478DB" w:rsidRPr="00A81F9F">
        <w:t xml:space="preserve"> ежегодная конференция «Российская энергетика» 22 марта 2012г.).  Отсюда видно, насколько важна точность в прогнозировании электропотребления и, соответственно, максимума электрической нагрузки. </w:t>
      </w:r>
    </w:p>
    <w:p w:rsidR="00DA0561" w:rsidRPr="00DA0561" w:rsidRDefault="00FC507B" w:rsidP="00DA0561">
      <w:pPr>
        <w:ind w:firstLine="709"/>
        <w:jc w:val="both"/>
      </w:pPr>
      <w:r>
        <w:t xml:space="preserve">При известном прогнозе электропотребления прогноз максимальной электрической нагрузки </w:t>
      </w:r>
      <w:r w:rsidR="00DA0561">
        <w:t>можно провести двумя способами.</w:t>
      </w:r>
    </w:p>
    <w:p w:rsidR="00FC507B" w:rsidRDefault="00FC507B" w:rsidP="00F26639">
      <w:pPr>
        <w:ind w:firstLine="709"/>
        <w:jc w:val="both"/>
      </w:pPr>
      <w:r w:rsidRPr="004C6D21">
        <w:rPr>
          <w:u w:val="single"/>
        </w:rPr>
        <w:t>Первый способ</w:t>
      </w:r>
      <w:r w:rsidR="006113E0">
        <w:rPr>
          <w:u w:val="single"/>
        </w:rPr>
        <w:t>.</w:t>
      </w:r>
      <w:r w:rsidR="004C6D21">
        <w:t xml:space="preserve"> </w:t>
      </w:r>
      <w:r w:rsidR="00FE52D5">
        <w:t>Ч</w:t>
      </w:r>
      <w:r w:rsidR="00AB3CB6">
        <w:t>ерез</w:t>
      </w:r>
      <w:r w:rsidR="00242755">
        <w:t xml:space="preserve"> определение </w:t>
      </w:r>
      <w:r w:rsidR="004C6D21">
        <w:t>отнош</w:t>
      </w:r>
      <w:r w:rsidR="006113E0">
        <w:t>ени</w:t>
      </w:r>
      <w:r w:rsidR="00242755">
        <w:t>я</w:t>
      </w:r>
      <w:r w:rsidR="006113E0">
        <w:t xml:space="preserve"> </w:t>
      </w:r>
      <w:r w:rsidR="00C2380A">
        <w:t xml:space="preserve">ежегодного </w:t>
      </w:r>
      <w:r w:rsidR="006113E0">
        <w:t xml:space="preserve">электропотребления к </w:t>
      </w:r>
      <w:r w:rsidR="00C2380A">
        <w:t xml:space="preserve">соответствующей </w:t>
      </w:r>
      <w:r w:rsidR="006113E0">
        <w:t>максимальной электрической нагрузке</w:t>
      </w:r>
      <w:r w:rsidR="00C2380A">
        <w:t>. Оказалось, что это отношение мало</w:t>
      </w:r>
      <w:r w:rsidR="00AB3CB6">
        <w:t xml:space="preserve"> меняется по годам</w:t>
      </w:r>
      <w:r w:rsidR="007806B8">
        <w:t>.</w:t>
      </w:r>
      <w:r w:rsidR="00C2380A">
        <w:t xml:space="preserve"> На основании этих данных можно получить среднегодовое значение этого отношения.</w:t>
      </w:r>
      <w:r w:rsidR="007806B8">
        <w:t xml:space="preserve"> На </w:t>
      </w:r>
      <w:r w:rsidR="006113E0">
        <w:t xml:space="preserve">рис. </w:t>
      </w:r>
      <w:r w:rsidR="00B17915">
        <w:t>28</w:t>
      </w:r>
      <w:r w:rsidR="007806B8">
        <w:t xml:space="preserve"> показаны</w:t>
      </w:r>
      <w:r w:rsidR="004076CD">
        <w:t xml:space="preserve"> </w:t>
      </w:r>
      <w:r w:rsidR="007806B8">
        <w:t xml:space="preserve"> значения этого отношения</w:t>
      </w:r>
      <w:r w:rsidR="004076CD">
        <w:t>, рассчитанные как по фактическим данным</w:t>
      </w:r>
      <w:r w:rsidR="007806B8">
        <w:t xml:space="preserve"> в период 2009-2012гг.</w:t>
      </w:r>
      <w:r w:rsidR="00EF08EC">
        <w:t>, так</w:t>
      </w:r>
      <w:r w:rsidR="007806B8">
        <w:t xml:space="preserve"> и</w:t>
      </w:r>
      <w:r w:rsidR="004076CD">
        <w:t xml:space="preserve"> </w:t>
      </w:r>
      <w:r w:rsidR="007806B8">
        <w:t xml:space="preserve">по прогнозным </w:t>
      </w:r>
      <w:r w:rsidR="004076CD">
        <w:t xml:space="preserve">данным </w:t>
      </w:r>
      <w:r w:rsidR="00F26639">
        <w:t>в период 2013-2019 гг. (</w:t>
      </w:r>
      <w:r w:rsidR="007806B8">
        <w:t>Минэнерго 2013</w:t>
      </w:r>
      <w:r w:rsidR="00F26639">
        <w:t>)</w:t>
      </w:r>
      <w:r w:rsidR="006113E0">
        <w:t>. Оказалось, что средн</w:t>
      </w:r>
      <w:r w:rsidR="00130E53">
        <w:t>егодов</w:t>
      </w:r>
      <w:r w:rsidR="00F26639">
        <w:t>ые</w:t>
      </w:r>
      <w:r w:rsidR="006113E0">
        <w:t xml:space="preserve"> </w:t>
      </w:r>
      <w:r w:rsidR="00130E53">
        <w:t>отношени</w:t>
      </w:r>
      <w:r w:rsidR="00F26639">
        <w:t xml:space="preserve">я, рассчитанные </w:t>
      </w:r>
      <w:r w:rsidR="00130E53">
        <w:t xml:space="preserve"> по</w:t>
      </w:r>
      <w:r w:rsidR="00966650">
        <w:t xml:space="preserve"> фактически</w:t>
      </w:r>
      <w:r w:rsidR="00130E53">
        <w:t>м</w:t>
      </w:r>
      <w:r w:rsidR="00966650">
        <w:t xml:space="preserve"> и прогнозны</w:t>
      </w:r>
      <w:r w:rsidR="00130E53">
        <w:t>м</w:t>
      </w:r>
      <w:r w:rsidR="00966650">
        <w:t xml:space="preserve"> </w:t>
      </w:r>
      <w:r w:rsidR="00F26639">
        <w:t xml:space="preserve">данным </w:t>
      </w:r>
      <w:r w:rsidR="00966650">
        <w:t>одинаков</w:t>
      </w:r>
      <w:r w:rsidR="00130E53">
        <w:t>ы</w:t>
      </w:r>
      <w:r w:rsidR="00966650">
        <w:t xml:space="preserve"> </w:t>
      </w:r>
      <w:r w:rsidR="00966650" w:rsidRPr="000424E7">
        <w:rPr>
          <w:b/>
        </w:rPr>
        <w:t>– 6,53</w:t>
      </w:r>
      <w:r w:rsidR="00130E53" w:rsidRPr="000424E7">
        <w:rPr>
          <w:b/>
        </w:rPr>
        <w:t xml:space="preserve"> млрд.</w:t>
      </w:r>
      <w:r w:rsidR="001769E5" w:rsidRPr="000424E7">
        <w:rPr>
          <w:b/>
        </w:rPr>
        <w:t>кВт.ч/ГВт</w:t>
      </w:r>
      <w:r w:rsidR="00966650">
        <w:t>.</w:t>
      </w:r>
      <w:r w:rsidR="001769E5">
        <w:t xml:space="preserve"> Это значит, что на 1ГВт максимальной электрической нагрузки</w:t>
      </w:r>
      <w:r w:rsidR="00130E53">
        <w:t xml:space="preserve"> в среднем</w:t>
      </w:r>
      <w:r w:rsidR="001769E5">
        <w:t xml:space="preserve"> приходится 6,53 млрд. кВт.ч электропотребления в ЕЭС России. </w:t>
      </w:r>
      <w:r w:rsidR="00755DE0">
        <w:t xml:space="preserve">Отсюда </w:t>
      </w:r>
      <w:r w:rsidR="00530820">
        <w:t>следует, что если</w:t>
      </w:r>
      <w:r w:rsidR="00755DE0">
        <w:t xml:space="preserve"> </w:t>
      </w:r>
      <w:r w:rsidR="00530820">
        <w:t>электропотребление</w:t>
      </w:r>
      <w:r w:rsidR="00FE52D5">
        <w:t xml:space="preserve"> в 2019г.</w:t>
      </w:r>
      <w:r w:rsidR="00530820">
        <w:t xml:space="preserve"> завышено</w:t>
      </w:r>
      <w:r w:rsidR="00537589">
        <w:t xml:space="preserve"> по прогнозу Минэнерго 2013г. относительно прогноза СПЭ 2013г.</w:t>
      </w:r>
      <w:r w:rsidR="00530820">
        <w:t xml:space="preserve"> на 6</w:t>
      </w:r>
      <w:r w:rsidR="00473975">
        <w:t>3,8</w:t>
      </w:r>
      <w:r w:rsidR="00530820">
        <w:t xml:space="preserve"> млрд. кВтч., то</w:t>
      </w:r>
      <w:r w:rsidR="00473975">
        <w:t xml:space="preserve"> соответствующая</w:t>
      </w:r>
      <w:r w:rsidR="00530820">
        <w:t xml:space="preserve"> максимальная электрическая нагрузка завышена</w:t>
      </w:r>
      <w:r w:rsidRPr="00B43B70">
        <w:rPr>
          <w:b/>
        </w:rPr>
        <w:t xml:space="preserve"> </w:t>
      </w:r>
      <w:r w:rsidR="00530820">
        <w:rPr>
          <w:b/>
        </w:rPr>
        <w:t xml:space="preserve">на </w:t>
      </w:r>
      <w:r w:rsidR="00C50E54">
        <w:rPr>
          <w:b/>
        </w:rPr>
        <w:t>9,8</w:t>
      </w:r>
      <w:r w:rsidR="00530820">
        <w:rPr>
          <w:b/>
        </w:rPr>
        <w:t xml:space="preserve"> ГВт =</w:t>
      </w:r>
      <w:r w:rsidR="00530820" w:rsidRPr="00A81F9F">
        <w:t xml:space="preserve"> </w:t>
      </w:r>
      <w:r w:rsidR="00C50E54">
        <w:t>63,8</w:t>
      </w:r>
      <w:r w:rsidR="00530820">
        <w:t xml:space="preserve"> млрд. к</w:t>
      </w:r>
      <w:r w:rsidRPr="00530820">
        <w:t>Вт.ч</w:t>
      </w:r>
      <w:r w:rsidR="00755DE0" w:rsidRPr="00530820">
        <w:t>/6,53</w:t>
      </w:r>
      <w:r w:rsidRPr="00A81F9F">
        <w:t xml:space="preserve">. Тогда </w:t>
      </w:r>
      <w:r w:rsidR="00473975">
        <w:t>в</w:t>
      </w:r>
      <w:r w:rsidRPr="00A81F9F">
        <w:t xml:space="preserve"> 201</w:t>
      </w:r>
      <w:r w:rsidR="007479CC">
        <w:t>9</w:t>
      </w:r>
      <w:r w:rsidRPr="00A81F9F">
        <w:t>г.</w:t>
      </w:r>
      <w:r w:rsidR="00530820">
        <w:t xml:space="preserve">, </w:t>
      </w:r>
      <w:r w:rsidR="00473975">
        <w:t>по</w:t>
      </w:r>
      <w:r w:rsidR="00530820">
        <w:t xml:space="preserve"> прогноз</w:t>
      </w:r>
      <w:r w:rsidR="00473975">
        <w:t xml:space="preserve">у </w:t>
      </w:r>
      <w:r w:rsidR="00530820">
        <w:t>СПЭ 2013,</w:t>
      </w:r>
      <w:r w:rsidRPr="00A81F9F">
        <w:t xml:space="preserve"> максимальн</w:t>
      </w:r>
      <w:r w:rsidR="001273F2">
        <w:t>ая</w:t>
      </w:r>
      <w:r w:rsidRPr="00A81F9F">
        <w:t xml:space="preserve"> электрическ</w:t>
      </w:r>
      <w:r w:rsidR="001273F2">
        <w:t>ая</w:t>
      </w:r>
      <w:r w:rsidRPr="00A81F9F">
        <w:t xml:space="preserve"> нагрузк</w:t>
      </w:r>
      <w:r w:rsidR="001273F2">
        <w:t>а в</w:t>
      </w:r>
      <w:r w:rsidRPr="00A81F9F">
        <w:t xml:space="preserve"> ЕЭС</w:t>
      </w:r>
      <w:r w:rsidR="001273F2">
        <w:t xml:space="preserve"> России будет равняться</w:t>
      </w:r>
      <w:r w:rsidRPr="00A81F9F">
        <w:t xml:space="preserve"> </w:t>
      </w:r>
      <w:r w:rsidR="001273F2">
        <w:rPr>
          <w:rStyle w:val="af5"/>
          <w:rFonts w:eastAsia="Calibri"/>
          <w:sz w:val="24"/>
          <w:szCs w:val="24"/>
        </w:rPr>
        <w:t>165</w:t>
      </w:r>
      <w:r w:rsidR="001273F2" w:rsidRPr="00BD203E">
        <w:rPr>
          <w:rStyle w:val="af5"/>
          <w:rFonts w:eastAsia="Calibri"/>
          <w:sz w:val="24"/>
          <w:szCs w:val="24"/>
        </w:rPr>
        <w:t>,</w:t>
      </w:r>
      <w:r w:rsidR="001273F2">
        <w:rPr>
          <w:rStyle w:val="af5"/>
          <w:rFonts w:eastAsia="Calibri"/>
          <w:sz w:val="24"/>
          <w:szCs w:val="24"/>
        </w:rPr>
        <w:t>9</w:t>
      </w:r>
      <w:r w:rsidR="001273F2" w:rsidRPr="00BD203E">
        <w:rPr>
          <w:rStyle w:val="af5"/>
          <w:rFonts w:eastAsia="Calibri"/>
          <w:sz w:val="24"/>
          <w:szCs w:val="24"/>
        </w:rPr>
        <w:t xml:space="preserve"> ГВт</w:t>
      </w:r>
      <w:r w:rsidR="001273F2">
        <w:t>=1</w:t>
      </w:r>
      <w:r w:rsidRPr="00A81F9F">
        <w:t>7</w:t>
      </w:r>
      <w:r w:rsidR="00943BA6">
        <w:t>5,7</w:t>
      </w:r>
      <w:r w:rsidR="001273F2">
        <w:t xml:space="preserve"> </w:t>
      </w:r>
      <w:r w:rsidRPr="00A81F9F">
        <w:t xml:space="preserve">ГВт – </w:t>
      </w:r>
      <w:r w:rsidR="001273F2">
        <w:t xml:space="preserve">9,8 ГВт, </w:t>
      </w:r>
      <w:r w:rsidRPr="00A81F9F">
        <w:t xml:space="preserve"> </w:t>
      </w:r>
      <w:r w:rsidR="001273F2">
        <w:t>ч</w:t>
      </w:r>
      <w:r w:rsidRPr="00A81F9F">
        <w:t xml:space="preserve">то и показано </w:t>
      </w:r>
      <w:r w:rsidR="00244129">
        <w:t>на рис.</w:t>
      </w:r>
      <w:r w:rsidRPr="00A81F9F">
        <w:t xml:space="preserve"> </w:t>
      </w:r>
      <w:r w:rsidR="00B17915">
        <w:t>28</w:t>
      </w:r>
      <w:r w:rsidRPr="00A81F9F">
        <w:t xml:space="preserve">. </w:t>
      </w:r>
    </w:p>
    <w:p w:rsidR="00DA0561" w:rsidRDefault="00DA0561" w:rsidP="00FC507B">
      <w:pPr>
        <w:ind w:firstLine="709"/>
        <w:jc w:val="both"/>
      </w:pPr>
    </w:p>
    <w:p w:rsidR="00DA0561" w:rsidRPr="001273F2" w:rsidRDefault="007C1ADE" w:rsidP="001273F2">
      <w:pPr>
        <w:ind w:firstLine="709"/>
        <w:jc w:val="both"/>
      </w:pPr>
      <w:r>
        <w:rPr>
          <w:noProof/>
        </w:rPr>
        <w:drawing>
          <wp:inline distT="0" distB="0" distL="0" distR="0">
            <wp:extent cx="5227369" cy="3906106"/>
            <wp:effectExtent l="13937" t="8669" r="6969" b="0"/>
            <wp:docPr id="68"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A0561" w:rsidRPr="001273F2" w:rsidRDefault="00DA0561" w:rsidP="00F35190">
      <w:pPr>
        <w:ind w:firstLine="709"/>
        <w:jc w:val="both"/>
      </w:pPr>
    </w:p>
    <w:p w:rsidR="005C4A00" w:rsidRDefault="001273F2" w:rsidP="003625C4">
      <w:pPr>
        <w:ind w:firstLine="709"/>
        <w:jc w:val="both"/>
      </w:pPr>
      <w:r w:rsidRPr="001273F2">
        <w:t xml:space="preserve">Рис. </w:t>
      </w:r>
      <w:r w:rsidR="00B17915">
        <w:t>28</w:t>
      </w:r>
      <w:r w:rsidRPr="001273F2">
        <w:t xml:space="preserve">. </w:t>
      </w:r>
      <w:r>
        <w:t>Отношени</w:t>
      </w:r>
      <w:r w:rsidR="005C4A00">
        <w:t>я</w:t>
      </w:r>
      <w:r>
        <w:t xml:space="preserve"> электропотребления к максимальной электрической нагрузки </w:t>
      </w:r>
      <w:r w:rsidR="005C4A00">
        <w:t>в ЕЭС России</w:t>
      </w:r>
      <w:r w:rsidR="003625C4">
        <w:t xml:space="preserve"> по годам</w:t>
      </w:r>
      <w:r w:rsidR="005C4A00">
        <w:t>, рассчитанны</w:t>
      </w:r>
      <w:r w:rsidR="003625C4">
        <w:t>е</w:t>
      </w:r>
      <w:r w:rsidR="005C4A00">
        <w:t xml:space="preserve"> по фактическим данным </w:t>
      </w:r>
      <w:r>
        <w:t>в период 2009-</w:t>
      </w:r>
      <w:r w:rsidR="005C4A00">
        <w:t>2012</w:t>
      </w:r>
      <w:r>
        <w:t xml:space="preserve"> гг. </w:t>
      </w:r>
      <w:r w:rsidR="005C4A00">
        <w:t>и</w:t>
      </w:r>
      <w:r w:rsidR="003625C4">
        <w:t xml:space="preserve"> прогнозным (Минэнерго 2013)</w:t>
      </w:r>
      <w:r w:rsidR="005C4A00">
        <w:t xml:space="preserve"> в период  2013- </w:t>
      </w:r>
      <w:r>
        <w:t>2019</w:t>
      </w:r>
      <w:r w:rsidR="005C4A00">
        <w:t xml:space="preserve"> гг. </w:t>
      </w:r>
    </w:p>
    <w:p w:rsidR="00B17915" w:rsidRPr="001273F2" w:rsidRDefault="00B17915" w:rsidP="003625C4">
      <w:pPr>
        <w:ind w:firstLine="709"/>
        <w:jc w:val="both"/>
      </w:pPr>
    </w:p>
    <w:p w:rsidR="0071136C" w:rsidRDefault="00FC507B" w:rsidP="0071136C">
      <w:pPr>
        <w:ind w:firstLine="709"/>
        <w:jc w:val="both"/>
      </w:pPr>
      <w:r w:rsidRPr="00FC507B">
        <w:rPr>
          <w:u w:val="single"/>
        </w:rPr>
        <w:t>Второй способ.</w:t>
      </w:r>
      <w:r w:rsidR="00CB4CC6">
        <w:t xml:space="preserve"> </w:t>
      </w:r>
      <w:r w:rsidR="00F35190" w:rsidRPr="00F35190">
        <w:t>В период 2000-2012 гг. максимум электрической нагрузки в ЕЭС</w:t>
      </w:r>
      <w:r w:rsidR="001273F2">
        <w:t xml:space="preserve"> России</w:t>
      </w:r>
      <w:r w:rsidR="00F35190" w:rsidRPr="00F35190">
        <w:t xml:space="preserve"> вырос с 132,8 ГВт до </w:t>
      </w:r>
      <w:r w:rsidR="008D230B">
        <w:t>157,4</w:t>
      </w:r>
      <w:r w:rsidR="00F35190" w:rsidRPr="00F35190">
        <w:t xml:space="preserve"> ГВт, т.е. на </w:t>
      </w:r>
      <w:r w:rsidR="008D230B">
        <w:t>24,6</w:t>
      </w:r>
      <w:r w:rsidR="00F35190" w:rsidRPr="00F35190">
        <w:t xml:space="preserve"> ГВт, при этом электропотребление в</w:t>
      </w:r>
      <w:r w:rsidR="005C4A00">
        <w:t>о всей</w:t>
      </w:r>
      <w:r w:rsidR="00F35190" w:rsidRPr="00F35190">
        <w:t xml:space="preserve"> России </w:t>
      </w:r>
      <w:r w:rsidR="005C4A00" w:rsidRPr="00F35190">
        <w:t xml:space="preserve">выросло </w:t>
      </w:r>
      <w:r w:rsidR="00F35190" w:rsidRPr="00F35190">
        <w:t>с 863,7 млрд.</w:t>
      </w:r>
      <w:r w:rsidR="008D230B">
        <w:t xml:space="preserve"> кВт.ч. до 1063</w:t>
      </w:r>
      <w:r w:rsidR="00F35190" w:rsidRPr="00F35190">
        <w:t xml:space="preserve"> млрд. кВт.ч или на 1</w:t>
      </w:r>
      <w:r w:rsidR="008D230B">
        <w:t>99</w:t>
      </w:r>
      <w:r w:rsidR="00F35190" w:rsidRPr="00F35190">
        <w:t>,3 млрд. кВт.ч. Таким образом, на 1 ГВт роста максимума электрической нагрузки</w:t>
      </w:r>
      <w:r w:rsidR="00473975">
        <w:t xml:space="preserve"> во </w:t>
      </w:r>
      <w:r w:rsidR="00ED5F0C">
        <w:t>ЕЭС</w:t>
      </w:r>
      <w:r w:rsidR="00473975">
        <w:t xml:space="preserve"> России</w:t>
      </w:r>
      <w:r w:rsidR="00F35190" w:rsidRPr="00F35190">
        <w:t xml:space="preserve"> приходится </w:t>
      </w:r>
      <w:r w:rsidR="008D230B">
        <w:t>199</w:t>
      </w:r>
      <w:r w:rsidR="00F35190" w:rsidRPr="00F35190">
        <w:t>,3/</w:t>
      </w:r>
      <w:r w:rsidR="008D230B">
        <w:t>24,6=8,10</w:t>
      </w:r>
      <w:r w:rsidR="00F35190" w:rsidRPr="00F35190">
        <w:t xml:space="preserve"> млрд. кВт.ч.  роста электропотребления</w:t>
      </w:r>
      <w:r w:rsidR="00ED5F0C">
        <w:t xml:space="preserve"> во всей России</w:t>
      </w:r>
      <w:r w:rsidR="00F35190" w:rsidRPr="00F35190">
        <w:t xml:space="preserve">. </w:t>
      </w:r>
      <w:r w:rsidR="00473975">
        <w:t>В 2019 г. р</w:t>
      </w:r>
      <w:r w:rsidR="00712B40">
        <w:t>азница</w:t>
      </w:r>
      <w:r w:rsidR="00F35190" w:rsidRPr="00F35190">
        <w:t xml:space="preserve"> в значениях электропотребления</w:t>
      </w:r>
      <w:r w:rsidR="00327240">
        <w:t xml:space="preserve"> </w:t>
      </w:r>
      <w:r w:rsidR="00712B40">
        <w:t>по прогнозам</w:t>
      </w:r>
      <w:r w:rsidR="00F35190" w:rsidRPr="00F35190">
        <w:t xml:space="preserve"> Минэнерго (</w:t>
      </w:r>
      <w:smartTag w:uri="urn:schemas-microsoft-com:office:smarttags" w:element="metricconverter">
        <w:smartTagPr>
          <w:attr w:name="ProductID" w:val="2013 г"/>
        </w:smartTagPr>
        <w:r w:rsidR="00F35190" w:rsidRPr="00F35190">
          <w:t>2013 г</w:t>
        </w:r>
      </w:smartTag>
      <w:r w:rsidR="00F35190" w:rsidRPr="00F35190">
        <w:t xml:space="preserve">.) и </w:t>
      </w:r>
      <w:r w:rsidR="008D230B">
        <w:t>СПЭ</w:t>
      </w:r>
      <w:r w:rsidR="00ED0FF7">
        <w:t xml:space="preserve"> 2013</w:t>
      </w:r>
      <w:r w:rsidR="00712B40">
        <w:t xml:space="preserve"> равна</w:t>
      </w:r>
      <w:r w:rsidR="00B17915">
        <w:t xml:space="preserve"> </w:t>
      </w:r>
      <w:r w:rsidR="00712B40" w:rsidRPr="00712B40">
        <w:rPr>
          <w:b/>
        </w:rPr>
        <w:t xml:space="preserve">66,8 млрд. кВт.ч </w:t>
      </w:r>
      <w:r w:rsidR="00712B40">
        <w:t>=</w:t>
      </w:r>
      <w:r w:rsidR="005415BB">
        <w:t xml:space="preserve">1206,8-1140, </w:t>
      </w:r>
      <w:r w:rsidR="00473975">
        <w:t>тогда</w:t>
      </w:r>
      <w:r w:rsidR="005415BB">
        <w:t xml:space="preserve"> разница в соответствующих значениях максимальных электрических нагрузок</w:t>
      </w:r>
      <w:r w:rsidR="00473975">
        <w:t xml:space="preserve"> будет</w:t>
      </w:r>
      <w:r w:rsidR="005415BB">
        <w:t xml:space="preserve"> равна</w:t>
      </w:r>
      <w:r w:rsidR="00712B40">
        <w:t xml:space="preserve"> </w:t>
      </w:r>
      <w:r w:rsidR="005415BB" w:rsidRPr="005415BB">
        <w:rPr>
          <w:b/>
        </w:rPr>
        <w:t>8,</w:t>
      </w:r>
      <w:r w:rsidR="005415BB">
        <w:rPr>
          <w:b/>
        </w:rPr>
        <w:t xml:space="preserve">3 </w:t>
      </w:r>
      <w:r w:rsidR="005415BB" w:rsidRPr="005415BB">
        <w:rPr>
          <w:b/>
        </w:rPr>
        <w:t>ГВт</w:t>
      </w:r>
      <w:r w:rsidR="005415BB">
        <w:t>=66,8/8,1</w:t>
      </w:r>
      <w:r w:rsidR="00327240">
        <w:t xml:space="preserve">. В этом случае, </w:t>
      </w:r>
      <w:r w:rsidR="00337DD8">
        <w:t xml:space="preserve">по прогнозу СПЭ 2013г. в 2019г. максимальная электрическая нагрузка равняется </w:t>
      </w:r>
      <w:r w:rsidR="005415BB" w:rsidRPr="00BD203E">
        <w:rPr>
          <w:b/>
        </w:rPr>
        <w:t>167,4 ГВт</w:t>
      </w:r>
      <w:r w:rsidR="005415BB">
        <w:t>=</w:t>
      </w:r>
      <w:r w:rsidR="00327240">
        <w:t>175,7-8,</w:t>
      </w:r>
      <w:r w:rsidR="00A71D1A">
        <w:t>3</w:t>
      </w:r>
      <w:r w:rsidR="00716D6E">
        <w:t>.</w:t>
      </w:r>
    </w:p>
    <w:p w:rsidR="0071136C" w:rsidRDefault="003A226F" w:rsidP="0071136C">
      <w:pPr>
        <w:ind w:firstLine="709"/>
        <w:jc w:val="both"/>
      </w:pPr>
      <w:r>
        <w:t>По</w:t>
      </w:r>
      <w:r w:rsidR="00BD203E">
        <w:t xml:space="preserve"> дву</w:t>
      </w:r>
      <w:r>
        <w:t>м</w:t>
      </w:r>
      <w:r w:rsidR="00BD203E">
        <w:t xml:space="preserve"> полученны</w:t>
      </w:r>
      <w:r>
        <w:t>м</w:t>
      </w:r>
      <w:r w:rsidR="00BD203E">
        <w:t xml:space="preserve"> величин</w:t>
      </w:r>
      <w:r>
        <w:t>ам</w:t>
      </w:r>
      <w:r w:rsidR="00BD203E">
        <w:t xml:space="preserve"> максимальной электрической наг</w:t>
      </w:r>
      <w:r w:rsidR="00D479DB">
        <w:t>рузки: 165,9</w:t>
      </w:r>
      <w:r w:rsidR="00B25876">
        <w:t xml:space="preserve"> </w:t>
      </w:r>
      <w:r w:rsidR="00BD203E">
        <w:t>ГВт и 167,4</w:t>
      </w:r>
      <w:r w:rsidR="00B25876">
        <w:t xml:space="preserve"> </w:t>
      </w:r>
      <w:r w:rsidR="00BD203E">
        <w:t>ГВт</w:t>
      </w:r>
      <w:r>
        <w:t xml:space="preserve"> – </w:t>
      </w:r>
      <w:r w:rsidRPr="0031652F">
        <w:t xml:space="preserve">наиболее обоснованно принять среднее арифметическое из их значений </w:t>
      </w:r>
      <w:r w:rsidR="00042DDB" w:rsidRPr="0031652F">
        <w:t>–</w:t>
      </w:r>
      <w:r w:rsidRPr="0031652F">
        <w:t xml:space="preserve"> </w:t>
      </w:r>
      <w:r w:rsidR="00D479DB" w:rsidRPr="0031652F">
        <w:br/>
      </w:r>
      <w:r w:rsidR="00D479DB" w:rsidRPr="004667C9">
        <w:t xml:space="preserve">166,7 </w:t>
      </w:r>
      <w:r w:rsidR="00042DDB" w:rsidRPr="004667C9">
        <w:t>ГВт</w:t>
      </w:r>
      <w:r w:rsidR="00042DDB" w:rsidRPr="0031652F">
        <w:rPr>
          <w:b/>
        </w:rPr>
        <w:t>.</w:t>
      </w:r>
      <w:r w:rsidR="00042DDB" w:rsidRPr="0031652F">
        <w:t xml:space="preserve"> Однако в последующем анализе </w:t>
      </w:r>
      <w:r w:rsidR="0031652F" w:rsidRPr="0031652F">
        <w:t>с запасом</w:t>
      </w:r>
      <w:r w:rsidR="00F67CB9">
        <w:t xml:space="preserve"> </w:t>
      </w:r>
      <w:r w:rsidR="00F67CB9" w:rsidRPr="0031652F">
        <w:t>примем</w:t>
      </w:r>
      <w:r w:rsidR="0031652F" w:rsidRPr="0031652F">
        <w:t xml:space="preserve"> </w:t>
      </w:r>
      <w:r w:rsidR="004667C9">
        <w:t>максимальное</w:t>
      </w:r>
      <w:r w:rsidR="00F67CB9">
        <w:t xml:space="preserve"> </w:t>
      </w:r>
      <w:r w:rsidR="00F67CB9" w:rsidRPr="0031652F">
        <w:t>из</w:t>
      </w:r>
      <w:r w:rsidR="00D6140D">
        <w:t xml:space="preserve"> этих</w:t>
      </w:r>
      <w:r w:rsidR="00F67CB9" w:rsidRPr="0031652F">
        <w:t xml:space="preserve"> двух значений</w:t>
      </w:r>
      <w:r w:rsidR="004667C9">
        <w:t xml:space="preserve"> </w:t>
      </w:r>
      <w:r w:rsidR="00042DDB" w:rsidRPr="0031652F">
        <w:t xml:space="preserve">– </w:t>
      </w:r>
      <w:r w:rsidR="00042DDB" w:rsidRPr="004667C9">
        <w:rPr>
          <w:b/>
        </w:rPr>
        <w:t>167,4ГВт.</w:t>
      </w:r>
      <w:r w:rsidR="00042DDB">
        <w:t xml:space="preserve"> </w:t>
      </w:r>
    </w:p>
    <w:p w:rsidR="00B25876" w:rsidRDefault="003348C6" w:rsidP="0071136C">
      <w:pPr>
        <w:ind w:firstLine="709"/>
        <w:jc w:val="both"/>
      </w:pPr>
      <w:r w:rsidRPr="00A81F9F">
        <w:t xml:space="preserve">При этом в Прогнозе </w:t>
      </w:r>
      <w:r>
        <w:t>СПЭ</w:t>
      </w:r>
      <w:r w:rsidRPr="00A81F9F">
        <w:t xml:space="preserve"> 201</w:t>
      </w:r>
      <w:r>
        <w:t>3</w:t>
      </w:r>
      <w:r w:rsidRPr="00A81F9F">
        <w:t>г. предполагается, что в период 201</w:t>
      </w:r>
      <w:r>
        <w:t>3</w:t>
      </w:r>
      <w:r w:rsidRPr="00A81F9F">
        <w:t xml:space="preserve"> – 201</w:t>
      </w:r>
      <w:r>
        <w:t xml:space="preserve">9 </w:t>
      </w:r>
      <w:r w:rsidRPr="00A81F9F">
        <w:t xml:space="preserve">гг. </w:t>
      </w:r>
      <w:r>
        <w:t>максимальная электрическая нагрузка</w:t>
      </w:r>
      <w:r w:rsidRPr="00A81F9F">
        <w:t xml:space="preserve"> будет </w:t>
      </w:r>
      <w:r w:rsidR="00200439">
        <w:t xml:space="preserve">изменяться </w:t>
      </w:r>
      <w:r w:rsidRPr="00A81F9F">
        <w:t>линейно</w:t>
      </w:r>
      <w:r>
        <w:t xml:space="preserve">, </w:t>
      </w:r>
      <w:r w:rsidR="003A71AD">
        <w:t xml:space="preserve">что </w:t>
      </w:r>
      <w:r>
        <w:t xml:space="preserve">приблизительно </w:t>
      </w:r>
      <w:r w:rsidR="003A71AD">
        <w:t>соответствует</w:t>
      </w:r>
      <w:r w:rsidR="00356E7F">
        <w:t xml:space="preserve"> данным в</w:t>
      </w:r>
      <w:r w:rsidR="003A71AD">
        <w:t xml:space="preserve"> </w:t>
      </w:r>
      <w:r w:rsidRPr="00A81F9F">
        <w:t>прогноз</w:t>
      </w:r>
      <w:r w:rsidR="00356E7F">
        <w:t>е</w:t>
      </w:r>
      <w:r w:rsidRPr="00A81F9F">
        <w:t xml:space="preserve"> Минэнерго 201</w:t>
      </w:r>
      <w:r>
        <w:t>3</w:t>
      </w:r>
      <w:r w:rsidRPr="00A81F9F">
        <w:t>г.</w:t>
      </w:r>
      <w:r w:rsidR="00200439">
        <w:t xml:space="preserve"> </w:t>
      </w:r>
    </w:p>
    <w:p w:rsidR="00B25876" w:rsidRDefault="00B25876" w:rsidP="00F35190">
      <w:pPr>
        <w:ind w:firstLine="709"/>
        <w:jc w:val="both"/>
      </w:pPr>
    </w:p>
    <w:p w:rsidR="00B25876" w:rsidRDefault="007C1ADE" w:rsidP="00433B72">
      <w:pPr>
        <w:ind w:firstLine="709"/>
        <w:jc w:val="center"/>
      </w:pPr>
      <w:r>
        <w:rPr>
          <w:noProof/>
        </w:rPr>
        <w:drawing>
          <wp:inline distT="0" distB="0" distL="0" distR="0">
            <wp:extent cx="4571777" cy="4287488"/>
            <wp:effectExtent l="13325" t="5704" r="5948" b="2583"/>
            <wp:docPr id="6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B9470D" w:rsidRDefault="00B9470D" w:rsidP="00F35190">
      <w:pPr>
        <w:ind w:firstLine="709"/>
        <w:jc w:val="both"/>
      </w:pPr>
    </w:p>
    <w:p w:rsidR="00A71D1A" w:rsidRDefault="00433B72" w:rsidP="00F35190">
      <w:pPr>
        <w:ind w:firstLine="709"/>
        <w:jc w:val="both"/>
      </w:pPr>
      <w:r>
        <w:t xml:space="preserve">Рис. </w:t>
      </w:r>
      <w:r w:rsidR="00B17915">
        <w:t>29</w:t>
      </w:r>
      <w:r>
        <w:t xml:space="preserve">. </w:t>
      </w:r>
      <w:r w:rsidR="00200439">
        <w:t>Динамика максимальной электрической нагрузки в ЕЭС России в период 2009-2012 гг. (факт), в период 2013-2019 гг. в соответствие с прогнозом Минэнерго 2013, СПЭ 2013</w:t>
      </w:r>
      <w:r w:rsidR="00356E7F">
        <w:t xml:space="preserve"> (февраль)</w:t>
      </w:r>
      <w:r w:rsidR="00200439">
        <w:t xml:space="preserve"> и СПЭ 201</w:t>
      </w:r>
      <w:r w:rsidR="00356E7F">
        <w:t xml:space="preserve">3 (октябрь), скорректированный по фактическим данным за 9мес. 2013г. </w:t>
      </w:r>
    </w:p>
    <w:p w:rsidR="00200439" w:rsidRDefault="00200439" w:rsidP="00F35190">
      <w:pPr>
        <w:ind w:firstLine="709"/>
        <w:jc w:val="both"/>
      </w:pPr>
    </w:p>
    <w:p w:rsidR="00200439" w:rsidRDefault="00200439" w:rsidP="00F35190">
      <w:pPr>
        <w:ind w:firstLine="709"/>
        <w:jc w:val="both"/>
      </w:pPr>
      <w:r>
        <w:t>В прогнозе СПЭ 201</w:t>
      </w:r>
      <w:r w:rsidR="00356E7F">
        <w:t>3 (октябрь</w:t>
      </w:r>
      <w:r w:rsidR="00647F29">
        <w:t xml:space="preserve"> 2013г.</w:t>
      </w:r>
      <w:r w:rsidR="00356E7F">
        <w:t xml:space="preserve">) </w:t>
      </w:r>
      <w:r w:rsidR="00647F29">
        <w:t xml:space="preserve">учитывается, что </w:t>
      </w:r>
      <w:r>
        <w:t xml:space="preserve">в 2013 г. происходит падение электропотребления </w:t>
      </w:r>
      <w:r w:rsidR="00056AD4">
        <w:t xml:space="preserve">на 0,3% </w:t>
      </w:r>
      <w:r>
        <w:t>с 10</w:t>
      </w:r>
      <w:r w:rsidR="00647F29">
        <w:t>16,5 до 1015 млрд. кВт.ч., в соответствии с фактическими данными за 9 мес. 2013 г.</w:t>
      </w:r>
      <w:r w:rsidR="00504A92">
        <w:t xml:space="preserve"> А, соответственно, максимальная электрическая нагрузка рассчитывается 1015</w:t>
      </w:r>
      <w:r w:rsidR="00AF4FAD">
        <w:t xml:space="preserve"> </w:t>
      </w:r>
      <w:r w:rsidR="00504A92">
        <w:t>млрд. кВт.ч/6,53</w:t>
      </w:r>
      <w:r w:rsidR="00AF4FAD">
        <w:t>млрд. кВт.ч/ГВт</w:t>
      </w:r>
      <w:r w:rsidR="00504A92">
        <w:t>=155,4ГВт</w:t>
      </w:r>
      <w:r w:rsidR="00647F29">
        <w:t>,</w:t>
      </w:r>
      <w:r w:rsidR="00056AD4">
        <w:t xml:space="preserve"> с последующим ростом на 1% в  год  в период 2014-2020 гг.</w:t>
      </w:r>
      <w:r>
        <w:t xml:space="preserve"> </w:t>
      </w:r>
    </w:p>
    <w:p w:rsidR="00C05723" w:rsidRPr="000C26AC" w:rsidRDefault="009478DB" w:rsidP="00212929">
      <w:pPr>
        <w:pStyle w:val="2"/>
        <w:rPr>
          <w:highlight w:val="yellow"/>
        </w:rPr>
      </w:pPr>
      <w:bookmarkStart w:id="59" w:name="_Toc370759784"/>
      <w:bookmarkStart w:id="60" w:name="_Toc374557791"/>
      <w:r w:rsidRPr="002A74DC">
        <w:t xml:space="preserve">По Разделу 4. </w:t>
      </w:r>
      <w:r w:rsidR="00873866">
        <w:t xml:space="preserve">О прогнозе требуемого увеличения мощностей для удовлетворения спроса на электрическую энергию </w:t>
      </w:r>
      <w:r w:rsidR="00873866">
        <w:br/>
        <w:t>в период 2013-2019 гг.</w:t>
      </w:r>
      <w:bookmarkEnd w:id="59"/>
      <w:bookmarkEnd w:id="60"/>
    </w:p>
    <w:p w:rsidR="00C05723" w:rsidRDefault="00C05723" w:rsidP="00386CB3">
      <w:pPr>
        <w:ind w:firstLine="709"/>
      </w:pPr>
    </w:p>
    <w:p w:rsidR="000676ED" w:rsidRDefault="006E4EBF" w:rsidP="004E5843">
      <w:pPr>
        <w:ind w:firstLine="709"/>
      </w:pPr>
      <w:r>
        <w:t>В прогноз</w:t>
      </w:r>
      <w:r w:rsidR="000C26AC">
        <w:t>ах</w:t>
      </w:r>
      <w:r>
        <w:t xml:space="preserve"> Минэнерго</w:t>
      </w:r>
      <w:r w:rsidR="00767FF3">
        <w:t xml:space="preserve"> 2011,</w:t>
      </w:r>
      <w:r>
        <w:t xml:space="preserve"> 2012 и 2013 </w:t>
      </w:r>
      <w:r w:rsidR="00F418C8">
        <w:t xml:space="preserve">отмечено, что </w:t>
      </w:r>
      <w:r>
        <w:t xml:space="preserve">величина перспективной потребности </w:t>
      </w:r>
      <w:r w:rsidR="0009650F">
        <w:t>в мощности (спроса на мощность)</w:t>
      </w:r>
      <w:r>
        <w:t xml:space="preserve"> </w:t>
      </w:r>
      <w:r w:rsidRPr="00CB5C4F">
        <w:rPr>
          <w:b/>
        </w:rPr>
        <w:t xml:space="preserve">определяется </w:t>
      </w:r>
      <w:r>
        <w:t>с учетом</w:t>
      </w:r>
      <w:r w:rsidR="006F7362">
        <w:t>:</w:t>
      </w:r>
    </w:p>
    <w:p w:rsidR="006F7362" w:rsidRDefault="006F7362" w:rsidP="006F7362">
      <w:pPr>
        <w:ind w:left="1069"/>
      </w:pPr>
      <w:r>
        <w:t xml:space="preserve">- </w:t>
      </w:r>
      <w:r w:rsidR="006E4EBF">
        <w:t xml:space="preserve"> прогнозируемых на рассматриваемый </w:t>
      </w:r>
      <w:r w:rsidR="00CB5C4F">
        <w:t xml:space="preserve">перспективный </w:t>
      </w:r>
      <w:r w:rsidR="006E4EBF">
        <w:t xml:space="preserve">период </w:t>
      </w:r>
      <w:r w:rsidR="00CB5C4F">
        <w:t xml:space="preserve">максимумов потребления по ОЭС </w:t>
      </w:r>
      <w:r>
        <w:t>и ЕЭС России;</w:t>
      </w:r>
      <w:r w:rsidR="00CB5C4F">
        <w:t xml:space="preserve"> </w:t>
      </w:r>
    </w:p>
    <w:p w:rsidR="006F7362" w:rsidRDefault="006F7362" w:rsidP="006F7362">
      <w:pPr>
        <w:ind w:left="1069"/>
      </w:pPr>
      <w:r>
        <w:t xml:space="preserve">-  </w:t>
      </w:r>
      <w:r w:rsidR="00CB5C4F">
        <w:t>сальдо экспорта-импорта мо</w:t>
      </w:r>
      <w:r>
        <w:t>щности;</w:t>
      </w:r>
    </w:p>
    <w:p w:rsidR="004F6130" w:rsidRDefault="006F7362" w:rsidP="004E5843">
      <w:pPr>
        <w:ind w:left="1069"/>
      </w:pPr>
      <w:r>
        <w:t xml:space="preserve">-  </w:t>
      </w:r>
      <w:r w:rsidR="00CB5C4F">
        <w:t>нормативного резерва мощности.</w:t>
      </w:r>
    </w:p>
    <w:p w:rsidR="0020551D" w:rsidRDefault="00F418C8" w:rsidP="004E5843">
      <w:pPr>
        <w:ind w:firstLine="709"/>
      </w:pPr>
      <w:r w:rsidRPr="00F418C8">
        <w:t xml:space="preserve">Рассмотрим </w:t>
      </w:r>
      <w:r w:rsidR="00A622C6">
        <w:t>отдельно</w:t>
      </w:r>
      <w:r w:rsidRPr="00F418C8">
        <w:t xml:space="preserve">, как учитываются эти положения </w:t>
      </w:r>
      <w:r w:rsidR="00A71F43">
        <w:t xml:space="preserve">в прогнозе Минэнерго 2013 </w:t>
      </w:r>
      <w:r w:rsidR="00A622C6">
        <w:t xml:space="preserve">при расчете требуемого увеличения мощности в период 2013-2019гг. </w:t>
      </w:r>
    </w:p>
    <w:p w:rsidR="004E5843" w:rsidRDefault="004E5843" w:rsidP="004E5843">
      <w:pPr>
        <w:ind w:firstLine="709"/>
        <w:rPr>
          <w:u w:val="single"/>
        </w:rPr>
      </w:pPr>
    </w:p>
    <w:p w:rsidR="00D03E5F" w:rsidRDefault="00A622C6" w:rsidP="004E5843">
      <w:pPr>
        <w:ind w:firstLine="709"/>
        <w:rPr>
          <w:u w:val="single"/>
        </w:rPr>
      </w:pPr>
      <w:r>
        <w:rPr>
          <w:u w:val="single"/>
        </w:rPr>
        <w:t>Определение п</w:t>
      </w:r>
      <w:r w:rsidR="004F6130" w:rsidRPr="004F6130">
        <w:rPr>
          <w:u w:val="single"/>
        </w:rPr>
        <w:t>рогнозируемы</w:t>
      </w:r>
      <w:r>
        <w:rPr>
          <w:u w:val="single"/>
        </w:rPr>
        <w:t>х</w:t>
      </w:r>
      <w:r w:rsidR="004F6130" w:rsidRPr="004F6130">
        <w:rPr>
          <w:u w:val="single"/>
        </w:rPr>
        <w:t xml:space="preserve"> на рассматриваемый перспективный период максимум</w:t>
      </w:r>
      <w:r w:rsidR="00232C6C">
        <w:rPr>
          <w:u w:val="single"/>
        </w:rPr>
        <w:t>ов</w:t>
      </w:r>
      <w:r w:rsidR="004F6130" w:rsidRPr="004F6130">
        <w:rPr>
          <w:u w:val="single"/>
        </w:rPr>
        <w:t xml:space="preserve"> </w:t>
      </w:r>
      <w:r w:rsidR="004B392F">
        <w:rPr>
          <w:u w:val="single"/>
        </w:rPr>
        <w:t>электро</w:t>
      </w:r>
      <w:r w:rsidR="004F6130" w:rsidRPr="004F6130">
        <w:rPr>
          <w:u w:val="single"/>
        </w:rPr>
        <w:t xml:space="preserve">потребления по ОЭС </w:t>
      </w:r>
      <w:r w:rsidR="004F6130">
        <w:rPr>
          <w:u w:val="single"/>
        </w:rPr>
        <w:t>и ЕЭС России</w:t>
      </w:r>
      <w:r w:rsidR="00232C6C">
        <w:rPr>
          <w:u w:val="single"/>
        </w:rPr>
        <w:t>.</w:t>
      </w:r>
    </w:p>
    <w:p w:rsidR="004E5843" w:rsidRPr="004E5843" w:rsidRDefault="004E5843" w:rsidP="004E5843">
      <w:pPr>
        <w:ind w:firstLine="709"/>
        <w:rPr>
          <w:u w:val="single"/>
        </w:rPr>
      </w:pPr>
    </w:p>
    <w:p w:rsidR="00E908C6" w:rsidRDefault="00232C6C" w:rsidP="002818F8">
      <w:pPr>
        <w:ind w:firstLine="709"/>
      </w:pPr>
      <w:r>
        <w:t>При расчет</w:t>
      </w:r>
      <w:r w:rsidR="00725E38">
        <w:t>е</w:t>
      </w:r>
      <w:r>
        <w:t xml:space="preserve"> максимумов потребления мощности для Европейской части ЕЭС России</w:t>
      </w:r>
      <w:r w:rsidR="00725E38">
        <w:t xml:space="preserve"> считается, что при этом необходимо</w:t>
      </w:r>
      <w:r>
        <w:t xml:space="preserve">  </w:t>
      </w:r>
      <w:r w:rsidR="00725E38">
        <w:t xml:space="preserve">учитывать максимум электропотребления, </w:t>
      </w:r>
      <w:r w:rsidR="00725E38" w:rsidRPr="002818F8">
        <w:rPr>
          <w:b/>
        </w:rPr>
        <w:t>совмещенный</w:t>
      </w:r>
      <w:r w:rsidR="00725E38">
        <w:t xml:space="preserve"> со всей ЕЭС</w:t>
      </w:r>
      <w:r w:rsidR="002818F8">
        <w:t xml:space="preserve">, а </w:t>
      </w:r>
      <w:r w:rsidR="00661D86">
        <w:t xml:space="preserve">для </w:t>
      </w:r>
      <w:r w:rsidR="00C5199C">
        <w:t xml:space="preserve">ОЭС </w:t>
      </w:r>
      <w:r w:rsidR="00661D86">
        <w:t xml:space="preserve">Сибири и Востока – максимум </w:t>
      </w:r>
      <w:r w:rsidR="00C5199C">
        <w:t>электропотребления, совмещенный с ЕЭС и собственный максимум.</w:t>
      </w:r>
      <w:r w:rsidR="00F30F3B">
        <w:t xml:space="preserve"> Это приводит к </w:t>
      </w:r>
      <w:r w:rsidR="00693DB7">
        <w:t xml:space="preserve"> дополнительному </w:t>
      </w:r>
      <w:r w:rsidR="00F30F3B">
        <w:t>увеличению потребности в мощности, как для Европейской части ЕЭС России, так и для ОЭС Сибири и Востока</w:t>
      </w:r>
      <w:r w:rsidR="00D60A31">
        <w:t xml:space="preserve">. </w:t>
      </w:r>
      <w:r w:rsidR="00D44D6A">
        <w:t xml:space="preserve">Для обоснования такого положения, необходимо показать долю перетоков мощности (электроэнергии) между Европейской частью ЕЭС и ОЭС Сибири и Востока в общем электропотреблении в Европейской части ЕЭС. </w:t>
      </w:r>
      <w:r w:rsidR="00D60A31">
        <w:t xml:space="preserve"> </w:t>
      </w:r>
      <w:r w:rsidR="00B36B16">
        <w:t xml:space="preserve">Аналогично это же относится и к ОЭС Сибири и Востока. Если такая доля незначительна, то </w:t>
      </w:r>
      <w:r w:rsidR="00D46CC6">
        <w:t xml:space="preserve">рассчитанная в Минэнерго 2013 </w:t>
      </w:r>
      <w:r w:rsidR="00026D33">
        <w:t>максимальная</w:t>
      </w:r>
      <w:r w:rsidR="00B36B16">
        <w:t xml:space="preserve"> электрическ</w:t>
      </w:r>
      <w:r w:rsidR="00026D33">
        <w:t>ая</w:t>
      </w:r>
      <w:r w:rsidR="00B36B16">
        <w:t xml:space="preserve"> нагрузк</w:t>
      </w:r>
      <w:r w:rsidR="00026D33">
        <w:t>а</w:t>
      </w:r>
      <w:r w:rsidR="00B36B16">
        <w:t xml:space="preserve"> в ЕЭС</w:t>
      </w:r>
      <w:r w:rsidR="00405F7E">
        <w:t xml:space="preserve"> России </w:t>
      </w:r>
      <w:r w:rsidR="00026D33">
        <w:t>158,8 ГВт</w:t>
      </w:r>
      <w:r w:rsidR="004B7443">
        <w:t xml:space="preserve"> (без учета экспорта)</w:t>
      </w:r>
      <w:r w:rsidR="00D46CC6">
        <w:t xml:space="preserve"> </w:t>
      </w:r>
      <w:r w:rsidR="00026D33" w:rsidRPr="004B7443">
        <w:rPr>
          <w:b/>
        </w:rPr>
        <w:t>завышена</w:t>
      </w:r>
      <w:r w:rsidR="00026D33">
        <w:t>.</w:t>
      </w:r>
      <w:r w:rsidR="00B36B16">
        <w:t xml:space="preserve">  </w:t>
      </w:r>
      <w:r w:rsidR="0028072C">
        <w:t xml:space="preserve">И это </w:t>
      </w:r>
      <w:r w:rsidR="00FB534D">
        <w:t>без учета завыше</w:t>
      </w:r>
      <w:r w:rsidR="0028072C">
        <w:t>нного</w:t>
      </w:r>
      <w:r w:rsidR="00FB534D">
        <w:t xml:space="preserve"> прогноза электропотребления по ЕЭС России.</w:t>
      </w:r>
      <w:r w:rsidR="00D60A31">
        <w:t xml:space="preserve"> </w:t>
      </w:r>
      <w:r w:rsidR="00B74117">
        <w:t xml:space="preserve"> </w:t>
      </w:r>
      <w:r w:rsidR="0028072C">
        <w:t>В</w:t>
      </w:r>
      <w:r w:rsidR="00775CA9">
        <w:t xml:space="preserve"> свою очередь</w:t>
      </w:r>
      <w:r w:rsidR="0028072C">
        <w:t>, это</w:t>
      </w:r>
      <w:r w:rsidR="00775CA9">
        <w:t xml:space="preserve"> приводит к увеличению нормативного резерва мощностей свыше 20,5% по </w:t>
      </w:r>
      <w:r w:rsidR="00E908C6">
        <w:t xml:space="preserve">всей </w:t>
      </w:r>
      <w:r w:rsidR="00775CA9">
        <w:t>ЕЭС</w:t>
      </w:r>
      <w:r w:rsidR="00E908C6">
        <w:t xml:space="preserve"> России</w:t>
      </w:r>
      <w:r w:rsidR="00775CA9">
        <w:t>, (см. ниже).</w:t>
      </w:r>
      <w:r w:rsidR="00693DB7">
        <w:t xml:space="preserve"> </w:t>
      </w:r>
    </w:p>
    <w:p w:rsidR="0028072C" w:rsidRDefault="00623404" w:rsidP="00D03E5F">
      <w:pPr>
        <w:ind w:firstLine="709"/>
      </w:pPr>
      <w:r>
        <w:t>Вообще говоря, необходимо дать</w:t>
      </w:r>
      <w:r w:rsidR="00906445">
        <w:t xml:space="preserve"> дополнительное</w:t>
      </w:r>
      <w:r>
        <w:t xml:space="preserve"> обоснование принятой методики расчета максимальной электрической нагрузки в целом в ЕЭС </w:t>
      </w:r>
      <w:r w:rsidR="00906445">
        <w:t xml:space="preserve">России с учетом максимальной электрической нагрузки в отдельных ОЭС. </w:t>
      </w:r>
      <w:r>
        <w:t xml:space="preserve"> </w:t>
      </w:r>
    </w:p>
    <w:p w:rsidR="004F6130" w:rsidRDefault="00137EA2" w:rsidP="00D03E5F">
      <w:pPr>
        <w:ind w:firstLine="709"/>
      </w:pPr>
      <w:r>
        <w:t xml:space="preserve">В прогнозе СПЭ </w:t>
      </w:r>
      <w:r w:rsidR="00E908C6">
        <w:t>2013</w:t>
      </w:r>
      <w:r w:rsidR="004F7C49">
        <w:t xml:space="preserve"> (февраль)</w:t>
      </w:r>
      <w:r w:rsidR="00E908C6">
        <w:t xml:space="preserve"> </w:t>
      </w:r>
      <w:r w:rsidR="008D1965">
        <w:t xml:space="preserve"> в 2013 г. принимается </w:t>
      </w:r>
      <w:r>
        <w:t xml:space="preserve"> </w:t>
      </w:r>
      <w:r w:rsidR="008D1965">
        <w:t xml:space="preserve">увеличенная </w:t>
      </w:r>
      <w:r>
        <w:t xml:space="preserve"> </w:t>
      </w:r>
      <w:r w:rsidR="00B74117">
        <w:t>макси</w:t>
      </w:r>
      <w:r w:rsidR="008D1965">
        <w:t>мальная э</w:t>
      </w:r>
      <w:r w:rsidR="00B74117">
        <w:t>лектр</w:t>
      </w:r>
      <w:r w:rsidR="008D1965">
        <w:t>ическая нагрузка</w:t>
      </w:r>
      <w:r w:rsidR="00B74117">
        <w:t xml:space="preserve"> </w:t>
      </w:r>
      <w:r w:rsidR="00E908C6">
        <w:t>158,</w:t>
      </w:r>
      <w:r w:rsidR="00B74117">
        <w:t>8 ГВт</w:t>
      </w:r>
      <w:r w:rsidR="00884238">
        <w:t>, принятая в</w:t>
      </w:r>
      <w:r w:rsidR="004F7C49">
        <w:t xml:space="preserve"> Минэнерго 2013г.</w:t>
      </w:r>
      <w:r w:rsidR="00DA347E">
        <w:t>, считая, что это увеличение идет  в запас.</w:t>
      </w:r>
      <w:r w:rsidR="00504A92">
        <w:t xml:space="preserve"> А в пр</w:t>
      </w:r>
      <w:r w:rsidR="009E7213">
        <w:t>огнозе СПЭ 2013 (октябрь) принимается максимальная электрическая нагрузка, равная 155,4ГВт, учитывающая</w:t>
      </w:r>
      <w:r w:rsidR="00884238">
        <w:t xml:space="preserve"> небольшое</w:t>
      </w:r>
      <w:r w:rsidR="009E7213">
        <w:t xml:space="preserve"> снижения электропотребления в 2013г. по отношению к 2012г.</w:t>
      </w:r>
      <w:r w:rsidR="00884238">
        <w:t xml:space="preserve"> и среднегодовое отнош</w:t>
      </w:r>
      <w:r w:rsidR="005E7F05">
        <w:t>е</w:t>
      </w:r>
      <w:r w:rsidR="00884238">
        <w:t>ние электроп</w:t>
      </w:r>
      <w:r w:rsidR="005E7F05">
        <w:t>о</w:t>
      </w:r>
      <w:r w:rsidR="00884238">
        <w:t xml:space="preserve">требление к максимальной электрической нагрузке, равное 6,53 млрд. кВт.ч/ГВт. </w:t>
      </w:r>
    </w:p>
    <w:p w:rsidR="00C05723" w:rsidRDefault="00C05723" w:rsidP="00C05723">
      <w:pPr>
        <w:rPr>
          <w:u w:val="single"/>
        </w:rPr>
      </w:pPr>
    </w:p>
    <w:p w:rsidR="00C05723" w:rsidRDefault="00C05723" w:rsidP="00C05723">
      <w:pPr>
        <w:ind w:firstLine="709"/>
      </w:pPr>
      <w:r>
        <w:rPr>
          <w:u w:val="single"/>
        </w:rPr>
        <w:t>С</w:t>
      </w:r>
      <w:r w:rsidRPr="00C05723">
        <w:rPr>
          <w:u w:val="single"/>
        </w:rPr>
        <w:t>альдо экспорта-импорта мощности</w:t>
      </w:r>
    </w:p>
    <w:p w:rsidR="00C05723" w:rsidRDefault="00C05723" w:rsidP="00386CB3">
      <w:pPr>
        <w:ind w:firstLine="709"/>
      </w:pPr>
    </w:p>
    <w:p w:rsidR="005E3187" w:rsidRDefault="00925028" w:rsidP="00046F59">
      <w:pPr>
        <w:ind w:firstLine="709"/>
      </w:pPr>
      <w:r>
        <w:t>На рис. 3</w:t>
      </w:r>
      <w:r w:rsidR="00D907FC">
        <w:t>0</w:t>
      </w:r>
      <w:r>
        <w:t xml:space="preserve"> показаны прогнозы экспорта электроэнергии и мощности в ЕЭС России по Минэнерго 2011, 2012, 2013г. </w:t>
      </w:r>
    </w:p>
    <w:p w:rsidR="005E3187" w:rsidRDefault="007C1ADE" w:rsidP="00046F59">
      <w:pPr>
        <w:ind w:firstLine="709"/>
      </w:pPr>
      <w:r>
        <w:rPr>
          <w:noProof/>
        </w:rPr>
        <w:drawing>
          <wp:inline distT="0" distB="0" distL="0" distR="0">
            <wp:extent cx="5284291" cy="3601981"/>
            <wp:effectExtent l="14089" t="7994" r="7045" b="0"/>
            <wp:docPr id="6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E5843" w:rsidRDefault="004E5843" w:rsidP="00046F59">
      <w:pPr>
        <w:ind w:firstLine="709"/>
      </w:pPr>
    </w:p>
    <w:p w:rsidR="005E3187" w:rsidRDefault="005E3187" w:rsidP="00046F59">
      <w:pPr>
        <w:ind w:firstLine="709"/>
      </w:pPr>
      <w:r>
        <w:t>Рис. 3</w:t>
      </w:r>
      <w:r w:rsidR="00D907FC">
        <w:t>0</w:t>
      </w:r>
      <w:r>
        <w:t xml:space="preserve">. Динамика экспорта электрической мощности из ЕЭС России по прогнозам Минэнерго 2011, 2012, 2013гг. </w:t>
      </w:r>
    </w:p>
    <w:p w:rsidR="005E3187" w:rsidRDefault="005E3187" w:rsidP="00046F59">
      <w:pPr>
        <w:ind w:firstLine="709"/>
      </w:pPr>
    </w:p>
    <w:p w:rsidR="005E3187" w:rsidRDefault="007C1ADE" w:rsidP="00046F59">
      <w:pPr>
        <w:ind w:firstLine="709"/>
      </w:pPr>
      <w:r>
        <w:rPr>
          <w:noProof/>
        </w:rPr>
        <w:drawing>
          <wp:inline distT="0" distB="0" distL="0" distR="0">
            <wp:extent cx="5284291" cy="3155297"/>
            <wp:effectExtent l="14089" t="7003" r="7045" b="0"/>
            <wp:docPr id="65"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4E5843" w:rsidRDefault="004E5843" w:rsidP="00046F59">
      <w:pPr>
        <w:ind w:firstLine="709"/>
      </w:pPr>
    </w:p>
    <w:p w:rsidR="005E3187" w:rsidRDefault="005E3187" w:rsidP="00046F59">
      <w:pPr>
        <w:ind w:firstLine="709"/>
      </w:pPr>
      <w:r>
        <w:t>Рис. 3</w:t>
      </w:r>
      <w:r w:rsidR="00D907FC">
        <w:t>1</w:t>
      </w:r>
      <w:r>
        <w:t>. Динамика экспорта электроэнергии из ЕЭС России по прогнозам Минэнерго 2011, 2012 и 2013гг.</w:t>
      </w:r>
    </w:p>
    <w:p w:rsidR="005E3187" w:rsidRDefault="005E3187" w:rsidP="00046F59">
      <w:pPr>
        <w:ind w:firstLine="709"/>
      </w:pPr>
    </w:p>
    <w:p w:rsidR="005E3187" w:rsidRDefault="005E3187" w:rsidP="00046F59">
      <w:pPr>
        <w:ind w:firstLine="709"/>
      </w:pPr>
    </w:p>
    <w:p w:rsidR="001A07C3" w:rsidRDefault="00925028" w:rsidP="004E5843">
      <w:pPr>
        <w:ind w:firstLine="709"/>
        <w:jc w:val="both"/>
      </w:pPr>
      <w:r>
        <w:t xml:space="preserve">Видно, что </w:t>
      </w:r>
      <w:r w:rsidR="00EC186F">
        <w:t xml:space="preserve">если прогнозы Минэнерго 2011 и 2012 близки между собой, то </w:t>
      </w:r>
      <w:r>
        <w:t xml:space="preserve">прогноз Минэнерго 2013 </w:t>
      </w:r>
      <w:r w:rsidR="00EC186F">
        <w:t>существенно отличается от них. Так, прогноз</w:t>
      </w:r>
      <w:r w:rsidR="005E7F05">
        <w:t xml:space="preserve"> Минэнерго 2013г. </w:t>
      </w:r>
      <w:r w:rsidR="00EC186F">
        <w:t xml:space="preserve">по экспорту мощности </w:t>
      </w:r>
      <w:r w:rsidR="0009143D">
        <w:t>выше</w:t>
      </w:r>
      <w:r w:rsidR="00C83FEF">
        <w:t xml:space="preserve"> примерно в 3 раза, а по экспорту электроэнергии – в 1,9 раз.</w:t>
      </w:r>
      <w:r w:rsidR="00EC186F">
        <w:t xml:space="preserve"> </w:t>
      </w:r>
      <w:r w:rsidR="0043640F">
        <w:t>Следует отметить, что во всех прогнозах доля экспорта</w:t>
      </w:r>
      <w:r w:rsidR="002034AB">
        <w:t xml:space="preserve"> электроэнергии и мощности</w:t>
      </w:r>
      <w:r w:rsidR="0043640F">
        <w:t xml:space="preserve"> в стран</w:t>
      </w:r>
      <w:r w:rsidR="002034AB">
        <w:t>ы</w:t>
      </w:r>
      <w:r w:rsidR="0043640F">
        <w:t xml:space="preserve"> ЕС </w:t>
      </w:r>
      <w:r w:rsidR="002034AB">
        <w:t>(Финляндию, и страны Балтии) составляет больше половины</w:t>
      </w:r>
      <w:r w:rsidR="005E7F05">
        <w:t xml:space="preserve"> от всего экспорта</w:t>
      </w:r>
      <w:r w:rsidR="002034AB">
        <w:t xml:space="preserve">. </w:t>
      </w:r>
      <w:r w:rsidR="00F47425">
        <w:t xml:space="preserve">При этом в прогнозе Минэнерго 2013г. </w:t>
      </w:r>
      <w:r w:rsidR="00A57938">
        <w:t>на весь период 2013-2019гг. принимается, что экспорт мощности в эти страны будет составлять 1,9</w:t>
      </w:r>
      <w:r w:rsidR="00CF1371">
        <w:t xml:space="preserve"> ГВт </w:t>
      </w:r>
      <w:r w:rsidR="00060883">
        <w:t>из 3,66 ГВт и 10,2</w:t>
      </w:r>
      <w:r w:rsidR="00CF1371">
        <w:t xml:space="preserve"> млрд. кВт.ч</w:t>
      </w:r>
      <w:r w:rsidR="00060883">
        <w:t xml:space="preserve"> из 18,9 млрд. кВт.ч</w:t>
      </w:r>
      <w:r w:rsidR="00CF1371">
        <w:t xml:space="preserve">, </w:t>
      </w:r>
      <w:r w:rsidR="00A57938">
        <w:t xml:space="preserve"> </w:t>
      </w:r>
      <w:r w:rsidR="00E62DD6">
        <w:t>(все это из ОЭС Северо-Запада)</w:t>
      </w:r>
      <w:r w:rsidR="00A57938">
        <w:t xml:space="preserve">. Это явно противоречит действительности. </w:t>
      </w:r>
      <w:r w:rsidR="0039691E">
        <w:t>Уже с</w:t>
      </w:r>
      <w:r w:rsidR="00E62DD6">
        <w:t>егодня</w:t>
      </w:r>
      <w:r w:rsidR="0039691E">
        <w:t>, в течение большей части года,</w:t>
      </w:r>
      <w:r w:rsidR="00E62DD6">
        <w:t xml:space="preserve"> стоимость электроэнергии в ОЭС Северо-Запада </w:t>
      </w:r>
      <w:r w:rsidR="0039691E">
        <w:t>выше, чем на энергетической бирже</w:t>
      </w:r>
      <w:r w:rsidR="0009143D">
        <w:t xml:space="preserve"> Северной Европы</w:t>
      </w:r>
      <w:r w:rsidR="0039691E">
        <w:t xml:space="preserve"> «Норд Пул», по которой устанавливается </w:t>
      </w:r>
      <w:r w:rsidR="005E7F05">
        <w:t>оптовая цена</w:t>
      </w:r>
      <w:r w:rsidR="0039691E">
        <w:t xml:space="preserve"> электроэнергии и в Финляндии, и в странах Балтии.</w:t>
      </w:r>
      <w:r w:rsidR="00223DB8">
        <w:t xml:space="preserve"> </w:t>
      </w:r>
      <w:r w:rsidR="005D2311">
        <w:t>Кроме того, в</w:t>
      </w:r>
      <w:r w:rsidR="00223DB8">
        <w:t xml:space="preserve"> 2015г. страны Балтии планируют </w:t>
      </w:r>
      <w:r w:rsidR="00B322EA">
        <w:t>прервать</w:t>
      </w:r>
      <w:r w:rsidR="00ED51CA">
        <w:t xml:space="preserve"> связ</w:t>
      </w:r>
      <w:r w:rsidR="00F72D27">
        <w:t>ь</w:t>
      </w:r>
      <w:r w:rsidR="00ED51CA">
        <w:t xml:space="preserve"> с</w:t>
      </w:r>
      <w:r w:rsidR="00223DB8">
        <w:t xml:space="preserve"> ЕЭС России</w:t>
      </w:r>
      <w:r w:rsidR="00D204F2">
        <w:t xml:space="preserve">, </w:t>
      </w:r>
      <w:r w:rsidR="00223DB8">
        <w:t xml:space="preserve">интегрироваться в </w:t>
      </w:r>
      <w:r w:rsidR="00ED51CA">
        <w:t xml:space="preserve">объединенную </w:t>
      </w:r>
      <w:r w:rsidR="00223DB8">
        <w:t>энергосистем</w:t>
      </w:r>
      <w:r w:rsidR="00ED51CA">
        <w:t>у</w:t>
      </w:r>
      <w:r w:rsidR="00223DB8">
        <w:t xml:space="preserve"> </w:t>
      </w:r>
      <w:r w:rsidR="00ED51CA">
        <w:t>ЕС</w:t>
      </w:r>
      <w:r w:rsidR="00D204F2">
        <w:t xml:space="preserve"> и</w:t>
      </w:r>
      <w:r w:rsidR="00460DA2">
        <w:t>, соответственно,</w:t>
      </w:r>
      <w:r w:rsidR="00D204F2">
        <w:t xml:space="preserve"> отказаться от импорта электроэнергии из России</w:t>
      </w:r>
      <w:r w:rsidR="00223DB8">
        <w:t xml:space="preserve">. </w:t>
      </w:r>
      <w:r w:rsidR="00C62D99">
        <w:t xml:space="preserve">Если учесть эти </w:t>
      </w:r>
      <w:r w:rsidR="00B322EA">
        <w:t xml:space="preserve"> обстоятельства, то величина экспорта в </w:t>
      </w:r>
      <w:r w:rsidR="004044E3">
        <w:t>прогнозе</w:t>
      </w:r>
      <w:r w:rsidR="00B322EA">
        <w:t xml:space="preserve"> </w:t>
      </w:r>
      <w:r w:rsidR="004044E3">
        <w:t>Минэнерго 2013г.</w:t>
      </w:r>
      <w:r w:rsidR="00B322EA">
        <w:t xml:space="preserve"> упадет </w:t>
      </w:r>
      <w:r w:rsidR="00A4008C">
        <w:t xml:space="preserve">до </w:t>
      </w:r>
      <w:r w:rsidR="00B322EA">
        <w:t xml:space="preserve">уровня, принятого в </w:t>
      </w:r>
      <w:r w:rsidR="00C62D99">
        <w:t>прогноз</w:t>
      </w:r>
      <w:r w:rsidR="00B322EA">
        <w:t>ах</w:t>
      </w:r>
      <w:r w:rsidR="00C62D99">
        <w:t xml:space="preserve"> Минэнерго 2011 и 2012гг. </w:t>
      </w:r>
      <w:r w:rsidR="00A4008C">
        <w:t xml:space="preserve">(или на </w:t>
      </w:r>
      <w:r w:rsidR="00A4008C" w:rsidRPr="00A4008C">
        <w:rPr>
          <w:b/>
        </w:rPr>
        <w:t>2,3-2,6 ГВт</w:t>
      </w:r>
      <w:r w:rsidR="00A4008C" w:rsidRPr="00A4008C">
        <w:t xml:space="preserve"> </w:t>
      </w:r>
      <w:r w:rsidR="00A4008C">
        <w:t xml:space="preserve">с 3,7-4 ГВт до 1,4 ГВт, см. рис.). </w:t>
      </w:r>
      <w:r w:rsidR="001A07C3">
        <w:t xml:space="preserve">Отсюда следует, что прогноз Минэнерго 2013 по экспорту электроэнергии и мощности на период 2013-2019гг. требует серьезного </w:t>
      </w:r>
      <w:r w:rsidR="001A07C3" w:rsidRPr="001958BC">
        <w:rPr>
          <w:b/>
        </w:rPr>
        <w:t>обоснования</w:t>
      </w:r>
      <w:r w:rsidR="00B322EA">
        <w:rPr>
          <w:b/>
        </w:rPr>
        <w:t>.</w:t>
      </w:r>
      <w:r w:rsidR="00B70C7E">
        <w:rPr>
          <w:b/>
        </w:rPr>
        <w:t xml:space="preserve"> </w:t>
      </w:r>
      <w:r w:rsidR="00B322EA" w:rsidRPr="00B322EA">
        <w:t xml:space="preserve">Его необходимо привести </w:t>
      </w:r>
      <w:r w:rsidR="00FB20E8" w:rsidRPr="00B322EA">
        <w:t>в</w:t>
      </w:r>
      <w:r w:rsidR="004B4F06" w:rsidRPr="00B322EA">
        <w:t xml:space="preserve"> версии</w:t>
      </w:r>
      <w:r w:rsidR="004B4F06">
        <w:t xml:space="preserve"> «Схемы</w:t>
      </w:r>
      <w:r w:rsidR="00FB20E8" w:rsidRPr="00FB20E8">
        <w:t xml:space="preserve"> и программ</w:t>
      </w:r>
      <w:r w:rsidR="004B4F06">
        <w:t>ы</w:t>
      </w:r>
      <w:r w:rsidR="00FB20E8" w:rsidRPr="00FB20E8">
        <w:t xml:space="preserve"> развития ЕЭС России на 2014-2020гг.» (Минэнерго 2014)</w:t>
      </w:r>
      <w:r w:rsidR="00B70C7E">
        <w:t xml:space="preserve">. </w:t>
      </w:r>
      <w:r w:rsidR="001958BC">
        <w:t xml:space="preserve">В противном случае </w:t>
      </w:r>
      <w:r w:rsidR="00B322EA">
        <w:t>этот прогноз</w:t>
      </w:r>
      <w:r w:rsidR="001A07C3">
        <w:t xml:space="preserve"> нужно скорректир</w:t>
      </w:r>
      <w:r w:rsidR="001958BC">
        <w:t>ов</w:t>
      </w:r>
      <w:r w:rsidR="001A07C3">
        <w:t xml:space="preserve">ать до уровня прогнозов Минэнерго 2011 и 2012г. </w:t>
      </w:r>
    </w:p>
    <w:p w:rsidR="00C81272" w:rsidRDefault="000F3415" w:rsidP="004E5843">
      <w:pPr>
        <w:ind w:firstLine="709"/>
        <w:jc w:val="both"/>
      </w:pPr>
      <w:r>
        <w:t xml:space="preserve">Пока в </w:t>
      </w:r>
      <w:r w:rsidR="00143366">
        <w:t>СПЭ 2013</w:t>
      </w:r>
      <w:r>
        <w:t xml:space="preserve"> в период 2013-2019гг.</w:t>
      </w:r>
      <w:r w:rsidR="00143366">
        <w:t xml:space="preserve"> </w:t>
      </w:r>
      <w:r w:rsidR="00032956">
        <w:t>для определения максимальной электрической нагрузки, с учетом экспорта,</w:t>
      </w:r>
      <w:r w:rsidR="00A969D7">
        <w:t xml:space="preserve"> на период  2013-2019гг.</w:t>
      </w:r>
      <w:r w:rsidR="000E0247">
        <w:t xml:space="preserve"> вынужден</w:t>
      </w:r>
      <w:r w:rsidR="002B5B5E">
        <w:t>н</w:t>
      </w:r>
      <w:r w:rsidR="000E0247">
        <w:t>о</w:t>
      </w:r>
      <w:r w:rsidR="00A969D7">
        <w:t xml:space="preserve"> </w:t>
      </w:r>
      <w:r w:rsidR="001958BC" w:rsidRPr="001958BC">
        <w:rPr>
          <w:b/>
        </w:rPr>
        <w:t>с запасом</w:t>
      </w:r>
      <w:r w:rsidR="001958BC">
        <w:t xml:space="preserve"> </w:t>
      </w:r>
      <w:r w:rsidR="00143366">
        <w:t>принимается  та же самая динамика экспортных поставок</w:t>
      </w:r>
      <w:r w:rsidR="001958BC">
        <w:t xml:space="preserve"> электроэнергии и мощности</w:t>
      </w:r>
      <w:r w:rsidR="00143366">
        <w:t xml:space="preserve"> из ЕЭС России, как и в прогнозе Минэнерго 2013.</w:t>
      </w:r>
      <w:r w:rsidR="004A04A3">
        <w:t xml:space="preserve"> </w:t>
      </w:r>
    </w:p>
    <w:p w:rsidR="0009650F" w:rsidRDefault="0009650F" w:rsidP="00C05723">
      <w:pPr>
        <w:ind w:firstLine="709"/>
        <w:rPr>
          <w:u w:val="single"/>
        </w:rPr>
      </w:pPr>
    </w:p>
    <w:p w:rsidR="00C05723" w:rsidRPr="00C05723" w:rsidRDefault="00C05723" w:rsidP="00C05723">
      <w:pPr>
        <w:ind w:firstLine="709"/>
        <w:rPr>
          <w:u w:val="single"/>
        </w:rPr>
      </w:pPr>
      <w:r w:rsidRPr="00C05723">
        <w:rPr>
          <w:u w:val="single"/>
        </w:rPr>
        <w:t>Нормативного резерва мощ</w:t>
      </w:r>
      <w:r>
        <w:rPr>
          <w:u w:val="single"/>
        </w:rPr>
        <w:t>ности</w:t>
      </w:r>
    </w:p>
    <w:p w:rsidR="00C05723" w:rsidRDefault="00C05723" w:rsidP="00C05723">
      <w:pPr>
        <w:jc w:val="both"/>
      </w:pPr>
    </w:p>
    <w:p w:rsidR="00684421" w:rsidRDefault="00684421" w:rsidP="00684421">
      <w:pPr>
        <w:ind w:firstLine="709"/>
        <w:jc w:val="both"/>
      </w:pPr>
      <w:r>
        <w:t xml:space="preserve">Нормативные значения резервов мощности и в ЕЭС России, и в отдельных ОЭС являются </w:t>
      </w:r>
      <w:r w:rsidRPr="001556A0">
        <w:rPr>
          <w:b/>
        </w:rPr>
        <w:t>фундаментальными</w:t>
      </w:r>
      <w:r>
        <w:t xml:space="preserve"> параметрами обеспечения надежности функционирования ЕЭС России и отдельных ОЭС. Они существенно влияют на величину спроса на мощность, и, соответственно, на объем дополнительных вводов новых генерирующих мощностей и темп выводов старых мощностей в ЕЭС России.</w:t>
      </w:r>
      <w:r w:rsidRPr="00176618">
        <w:t xml:space="preserve"> </w:t>
      </w:r>
      <w:r>
        <w:t>Поэтому конкретные цифры по нормативам резерва мощности требует очень серьезного обоснования и должно утверждаться</w:t>
      </w:r>
      <w:r w:rsidR="001556A0">
        <w:t xml:space="preserve"> минимум</w:t>
      </w:r>
      <w:r>
        <w:t xml:space="preserve"> на уровне Министра энергетики РФ. </w:t>
      </w:r>
    </w:p>
    <w:p w:rsidR="00610ACD" w:rsidRDefault="0041356A" w:rsidP="00684421">
      <w:pPr>
        <w:ind w:firstLine="709"/>
        <w:jc w:val="both"/>
      </w:pPr>
      <w:r>
        <w:t>В</w:t>
      </w:r>
      <w:r w:rsidR="00177A22">
        <w:t xml:space="preserve"> Схеме и Программе…</w:t>
      </w:r>
      <w:r>
        <w:t xml:space="preserve"> Минэнерго 2011, 2012, 2013 указывается, что </w:t>
      </w:r>
      <w:r w:rsidR="00177A22">
        <w:t>значения резервов мощности в</w:t>
      </w:r>
      <w:r w:rsidR="00234C22">
        <w:t>о всей</w:t>
      </w:r>
      <w:r w:rsidR="00177A22">
        <w:t xml:space="preserve"> ЕЭС России и в отдельных ОЭС</w:t>
      </w:r>
      <w:r>
        <w:t>, определен</w:t>
      </w:r>
      <w:r w:rsidR="00177A22">
        <w:t>ы</w:t>
      </w:r>
      <w:r>
        <w:t xml:space="preserve"> </w:t>
      </w:r>
      <w:r w:rsidR="00E54628">
        <w:t>«</w:t>
      </w:r>
      <w:r>
        <w:t>в соответствии</w:t>
      </w:r>
      <w:r w:rsidR="00F54E49">
        <w:t xml:space="preserve"> с методическими подходом к определению нормативных значений резерва мощности энергосистемы, разработанным в составе методических рекомендаций по проектированию развития энергосистемы</w:t>
      </w:r>
      <w:r w:rsidR="001556A0">
        <w:t>»</w:t>
      </w:r>
      <w:r w:rsidR="00F54E49">
        <w:t xml:space="preserve">. </w:t>
      </w:r>
    </w:p>
    <w:p w:rsidR="00610ACD" w:rsidRDefault="00610ACD" w:rsidP="00610ACD">
      <w:pPr>
        <w:ind w:firstLine="709"/>
        <w:jc w:val="both"/>
      </w:pPr>
      <w:r>
        <w:t xml:space="preserve">В Минэнерго 2011, 2012 и 2013 </w:t>
      </w:r>
      <w:r w:rsidR="001556A0">
        <w:t>дается ссылка</w:t>
      </w:r>
      <w:r>
        <w:t xml:space="preserve"> на эти документы</w:t>
      </w:r>
      <w:r w:rsidR="001556A0">
        <w:t>, но</w:t>
      </w:r>
      <w:r>
        <w:t xml:space="preserve"> не приводятся: ни год издания этих материалов, ни организация, которая их разработала, ни процедура их обсуждения и рецензирования, ни процедура их утверждения и, соответственно, ни периодичность их пересмотра итд. </w:t>
      </w:r>
    </w:p>
    <w:p w:rsidR="00610ACD" w:rsidRDefault="00610ACD" w:rsidP="00684421">
      <w:pPr>
        <w:ind w:firstLine="709"/>
        <w:jc w:val="both"/>
      </w:pPr>
    </w:p>
    <w:p w:rsidR="00762F87" w:rsidRDefault="0025781E" w:rsidP="00684421">
      <w:pPr>
        <w:ind w:firstLine="709"/>
        <w:jc w:val="both"/>
      </w:pPr>
      <w:r>
        <w:t>Н</w:t>
      </w:r>
      <w:r w:rsidR="00BF529E">
        <w:t xml:space="preserve">ормативные значения резерва мощности (в процентах) </w:t>
      </w:r>
      <w:r w:rsidR="00610ACD">
        <w:t>от максимальной электрической нагрузки</w:t>
      </w:r>
      <w:r>
        <w:t>, используемые в Минэнерго 2011, 2012, 2013,</w:t>
      </w:r>
      <w:r w:rsidR="00610ACD">
        <w:t xml:space="preserve"> </w:t>
      </w:r>
      <w:r w:rsidR="00F54E49">
        <w:t>представлены в таблице</w:t>
      </w:r>
      <w:r w:rsidR="00762F87">
        <w:t xml:space="preserve"> 5</w:t>
      </w:r>
      <w:r w:rsidR="00F54E49">
        <w:t xml:space="preserve">. </w:t>
      </w:r>
    </w:p>
    <w:p w:rsidR="00762F87" w:rsidRDefault="00762F87" w:rsidP="00762F87">
      <w:pPr>
        <w:ind w:firstLine="709"/>
        <w:jc w:val="right"/>
      </w:pPr>
    </w:p>
    <w:p w:rsidR="00762F87" w:rsidRDefault="00762F87" w:rsidP="00762F87">
      <w:pPr>
        <w:ind w:firstLine="709"/>
        <w:jc w:val="right"/>
      </w:pPr>
      <w:r>
        <w:t>Таблица 5.</w:t>
      </w:r>
    </w:p>
    <w:p w:rsidR="00762F87" w:rsidRDefault="00762F87" w:rsidP="004E5843">
      <w:pPr>
        <w:ind w:firstLine="709"/>
        <w:jc w:val="center"/>
      </w:pPr>
      <w:r>
        <w:t>Нормативные значения резерва мощности, %.</w:t>
      </w:r>
    </w:p>
    <w:p w:rsidR="00762F87" w:rsidRDefault="00762F87" w:rsidP="00762F87">
      <w:pPr>
        <w:ind w:firstLine="709"/>
        <w:jc w:val="righ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8"/>
        <w:gridCol w:w="1229"/>
        <w:gridCol w:w="1229"/>
        <w:gridCol w:w="1229"/>
        <w:gridCol w:w="1229"/>
        <w:gridCol w:w="1229"/>
        <w:gridCol w:w="1229"/>
        <w:gridCol w:w="1229"/>
      </w:tblGrid>
      <w:tr w:rsidR="00762F87" w:rsidTr="009847A3">
        <w:tc>
          <w:tcPr>
            <w:tcW w:w="1228" w:type="dxa"/>
          </w:tcPr>
          <w:p w:rsidR="00762F87" w:rsidRDefault="00762F87" w:rsidP="009847A3">
            <w:pPr>
              <w:jc w:val="right"/>
            </w:pPr>
            <w:r>
              <w:t>ЕЭС России</w:t>
            </w:r>
          </w:p>
        </w:tc>
        <w:tc>
          <w:tcPr>
            <w:tcW w:w="1229" w:type="dxa"/>
          </w:tcPr>
          <w:p w:rsidR="00762F87" w:rsidRDefault="00762F87" w:rsidP="009847A3">
            <w:pPr>
              <w:jc w:val="right"/>
            </w:pPr>
            <w:r>
              <w:t>ОЭС Северо-Запада</w:t>
            </w:r>
          </w:p>
        </w:tc>
        <w:tc>
          <w:tcPr>
            <w:tcW w:w="1229" w:type="dxa"/>
          </w:tcPr>
          <w:p w:rsidR="00762F87" w:rsidRDefault="00762F87" w:rsidP="009847A3">
            <w:pPr>
              <w:jc w:val="right"/>
            </w:pPr>
            <w:r>
              <w:t>ОЭС Центра</w:t>
            </w:r>
          </w:p>
        </w:tc>
        <w:tc>
          <w:tcPr>
            <w:tcW w:w="1229" w:type="dxa"/>
          </w:tcPr>
          <w:p w:rsidR="00762F87" w:rsidRDefault="00762F87" w:rsidP="009847A3">
            <w:pPr>
              <w:jc w:val="right"/>
            </w:pPr>
            <w:r>
              <w:t>ОЭС Юга</w:t>
            </w:r>
          </w:p>
        </w:tc>
        <w:tc>
          <w:tcPr>
            <w:tcW w:w="1229" w:type="dxa"/>
          </w:tcPr>
          <w:p w:rsidR="00762F87" w:rsidRDefault="00762F87" w:rsidP="009847A3">
            <w:pPr>
              <w:jc w:val="right"/>
            </w:pPr>
            <w:r>
              <w:t>ОЭС Средней Волги</w:t>
            </w:r>
          </w:p>
        </w:tc>
        <w:tc>
          <w:tcPr>
            <w:tcW w:w="1229" w:type="dxa"/>
          </w:tcPr>
          <w:p w:rsidR="00762F87" w:rsidRDefault="00762F87" w:rsidP="009847A3">
            <w:pPr>
              <w:jc w:val="right"/>
            </w:pPr>
            <w:r>
              <w:t>ОЭС Урала</w:t>
            </w:r>
          </w:p>
        </w:tc>
        <w:tc>
          <w:tcPr>
            <w:tcW w:w="1229" w:type="dxa"/>
          </w:tcPr>
          <w:p w:rsidR="00762F87" w:rsidRDefault="00762F87" w:rsidP="009847A3">
            <w:pPr>
              <w:jc w:val="right"/>
            </w:pPr>
            <w:r>
              <w:t>ОЭС Сибири</w:t>
            </w:r>
          </w:p>
        </w:tc>
        <w:tc>
          <w:tcPr>
            <w:tcW w:w="1229" w:type="dxa"/>
          </w:tcPr>
          <w:p w:rsidR="00762F87" w:rsidRDefault="00762F87" w:rsidP="009847A3">
            <w:pPr>
              <w:jc w:val="right"/>
            </w:pPr>
            <w:r>
              <w:t>ОЭС Востока</w:t>
            </w:r>
          </w:p>
        </w:tc>
      </w:tr>
      <w:tr w:rsidR="00762F87" w:rsidTr="009847A3">
        <w:tc>
          <w:tcPr>
            <w:tcW w:w="1228" w:type="dxa"/>
          </w:tcPr>
          <w:p w:rsidR="00762F87" w:rsidRDefault="00762F87" w:rsidP="009847A3">
            <w:pPr>
              <w:jc w:val="right"/>
            </w:pPr>
            <w:r>
              <w:t>20,5</w:t>
            </w:r>
          </w:p>
        </w:tc>
        <w:tc>
          <w:tcPr>
            <w:tcW w:w="1229" w:type="dxa"/>
          </w:tcPr>
          <w:p w:rsidR="00762F87" w:rsidRDefault="00762F87" w:rsidP="009847A3">
            <w:pPr>
              <w:jc w:val="right"/>
            </w:pPr>
            <w:r>
              <w:t>19,0</w:t>
            </w:r>
          </w:p>
        </w:tc>
        <w:tc>
          <w:tcPr>
            <w:tcW w:w="1229" w:type="dxa"/>
          </w:tcPr>
          <w:p w:rsidR="00762F87" w:rsidRDefault="00762F87" w:rsidP="009847A3">
            <w:pPr>
              <w:jc w:val="right"/>
            </w:pPr>
            <w:r>
              <w:t>22,0</w:t>
            </w:r>
          </w:p>
        </w:tc>
        <w:tc>
          <w:tcPr>
            <w:tcW w:w="1229" w:type="dxa"/>
          </w:tcPr>
          <w:p w:rsidR="00762F87" w:rsidRDefault="00762F87" w:rsidP="009847A3">
            <w:pPr>
              <w:jc w:val="right"/>
            </w:pPr>
            <w:r>
              <w:t>19,5</w:t>
            </w:r>
          </w:p>
        </w:tc>
        <w:tc>
          <w:tcPr>
            <w:tcW w:w="1229" w:type="dxa"/>
          </w:tcPr>
          <w:p w:rsidR="00762F87" w:rsidRDefault="00762F87" w:rsidP="009847A3">
            <w:pPr>
              <w:jc w:val="right"/>
            </w:pPr>
            <w:r>
              <w:t>16,5</w:t>
            </w:r>
          </w:p>
        </w:tc>
        <w:tc>
          <w:tcPr>
            <w:tcW w:w="1229" w:type="dxa"/>
          </w:tcPr>
          <w:p w:rsidR="00762F87" w:rsidRDefault="00762F87" w:rsidP="009847A3">
            <w:pPr>
              <w:jc w:val="right"/>
            </w:pPr>
            <w:r>
              <w:t>20,0</w:t>
            </w:r>
          </w:p>
        </w:tc>
        <w:tc>
          <w:tcPr>
            <w:tcW w:w="1229" w:type="dxa"/>
          </w:tcPr>
          <w:p w:rsidR="00762F87" w:rsidRDefault="00762F87" w:rsidP="009847A3">
            <w:pPr>
              <w:jc w:val="right"/>
            </w:pPr>
            <w:r>
              <w:t>22,0</w:t>
            </w:r>
          </w:p>
        </w:tc>
        <w:tc>
          <w:tcPr>
            <w:tcW w:w="1229" w:type="dxa"/>
          </w:tcPr>
          <w:p w:rsidR="00762F87" w:rsidRDefault="00762F87" w:rsidP="009847A3">
            <w:pPr>
              <w:jc w:val="right"/>
            </w:pPr>
            <w:r>
              <w:t>23,0</w:t>
            </w:r>
          </w:p>
        </w:tc>
      </w:tr>
    </w:tbl>
    <w:p w:rsidR="00762F87" w:rsidRDefault="00762F87" w:rsidP="00762F87">
      <w:pPr>
        <w:ind w:firstLine="709"/>
        <w:jc w:val="right"/>
      </w:pPr>
    </w:p>
    <w:p w:rsidR="00762F87" w:rsidRDefault="00762F87" w:rsidP="00EE1A61">
      <w:pPr>
        <w:ind w:firstLine="709"/>
        <w:jc w:val="both"/>
      </w:pPr>
    </w:p>
    <w:p w:rsidR="0025781E" w:rsidRDefault="0025781E" w:rsidP="00176618">
      <w:pPr>
        <w:ind w:firstLine="709"/>
        <w:jc w:val="both"/>
      </w:pPr>
      <w:r>
        <w:t>В СПЭ 2013г.</w:t>
      </w:r>
      <w:r w:rsidR="001556A0">
        <w:t xml:space="preserve"> пока вынужденно</w:t>
      </w:r>
      <w:r>
        <w:t xml:space="preserve"> в качестве нормативных значений резервов мощности принима</w:t>
      </w:r>
      <w:r w:rsidR="001556A0">
        <w:t>ть</w:t>
      </w:r>
      <w:r>
        <w:t xml:space="preserve"> данные из Таблицы 3.5. Для всей ЕЭС России – это </w:t>
      </w:r>
      <w:r w:rsidRPr="00AC5AEA">
        <w:rPr>
          <w:b/>
        </w:rPr>
        <w:t>20,5%.</w:t>
      </w:r>
      <w:r>
        <w:t xml:space="preserve"> </w:t>
      </w:r>
    </w:p>
    <w:p w:rsidR="00494660" w:rsidRDefault="00494660" w:rsidP="00176618">
      <w:pPr>
        <w:ind w:firstLine="709"/>
        <w:jc w:val="both"/>
        <w:rPr>
          <w:u w:val="single"/>
        </w:rPr>
      </w:pPr>
    </w:p>
    <w:p w:rsidR="00494660" w:rsidRDefault="00E46882" w:rsidP="00152017">
      <w:pPr>
        <w:ind w:firstLine="709"/>
        <w:jc w:val="both"/>
        <w:rPr>
          <w:u w:val="single"/>
        </w:rPr>
      </w:pPr>
      <w:r>
        <w:rPr>
          <w:u w:val="single"/>
        </w:rPr>
        <w:t>Прогноз</w:t>
      </w:r>
      <w:r w:rsidR="00FB2F4D" w:rsidRPr="00FB2F4D">
        <w:rPr>
          <w:u w:val="single"/>
        </w:rPr>
        <w:t xml:space="preserve"> </w:t>
      </w:r>
      <w:r w:rsidR="00152017" w:rsidRPr="00FB2F4D">
        <w:rPr>
          <w:u w:val="single"/>
        </w:rPr>
        <w:t>СПЭ 2013г.</w:t>
      </w:r>
      <w:r w:rsidR="00152017">
        <w:rPr>
          <w:u w:val="single"/>
        </w:rPr>
        <w:t xml:space="preserve"> по спросу </w:t>
      </w:r>
      <w:r w:rsidR="00FB2F4D" w:rsidRPr="00FB2F4D">
        <w:rPr>
          <w:u w:val="single"/>
        </w:rPr>
        <w:t>на мощность</w:t>
      </w:r>
      <w:r>
        <w:rPr>
          <w:u w:val="single"/>
        </w:rPr>
        <w:t xml:space="preserve"> в ЕЭС России</w:t>
      </w:r>
      <w:r w:rsidR="00E961AB">
        <w:rPr>
          <w:u w:val="single"/>
        </w:rPr>
        <w:t xml:space="preserve"> в период 2013-2019гг.</w:t>
      </w:r>
      <w:r>
        <w:rPr>
          <w:u w:val="single"/>
        </w:rPr>
        <w:t xml:space="preserve"> </w:t>
      </w:r>
    </w:p>
    <w:p w:rsidR="004E5843" w:rsidRPr="00494660" w:rsidRDefault="004E5843" w:rsidP="00152017">
      <w:pPr>
        <w:ind w:firstLine="709"/>
        <w:jc w:val="both"/>
        <w:rPr>
          <w:u w:val="single"/>
        </w:rPr>
      </w:pPr>
    </w:p>
    <w:p w:rsidR="00B639EE" w:rsidRDefault="00E961AB" w:rsidP="00803AB5">
      <w:pPr>
        <w:ind w:firstLine="709"/>
        <w:jc w:val="both"/>
      </w:pPr>
      <w:r>
        <w:t>При  удовлетворении перспективного спроса на</w:t>
      </w:r>
      <w:r w:rsidR="00494660">
        <w:t xml:space="preserve"> мощность</w:t>
      </w:r>
      <w:r>
        <w:t xml:space="preserve"> в ЕЭС России, за счет ввода новых генерирующих мощностей, необходимо </w:t>
      </w:r>
      <w:r w:rsidRPr="00CF7647">
        <w:rPr>
          <w:b/>
        </w:rPr>
        <w:t>отдел</w:t>
      </w:r>
      <w:r>
        <w:rPr>
          <w:b/>
        </w:rPr>
        <w:t>я</w:t>
      </w:r>
      <w:r w:rsidRPr="00CF7647">
        <w:rPr>
          <w:b/>
        </w:rPr>
        <w:t>ть</w:t>
      </w:r>
      <w:r>
        <w:t xml:space="preserve"> мощности, которые будут покрывать потребности в электроэнергии внутри страны, и поэтому должны строиться за счет надбавки к цене на электроэнергию для внутренних потребителей,  от тех новых мощностей, которые пойдут на покрытие экспортных поставок.  Естественно, последние </w:t>
      </w:r>
      <w:r w:rsidRPr="009A6C9F">
        <w:rPr>
          <w:b/>
        </w:rPr>
        <w:t>НЕ ДОЛЖНЫ финансироваться</w:t>
      </w:r>
      <w:r>
        <w:t xml:space="preserve"> за счет надбавк</w:t>
      </w:r>
      <w:r w:rsidR="00494660">
        <w:t>и</w:t>
      </w:r>
      <w:r>
        <w:t xml:space="preserve"> к цене на  электроэнергию для конечного потребителя внутри страны. Поэтому СПЭ категорически против существующей практики, когда такого </w:t>
      </w:r>
      <w:r w:rsidR="001556A0">
        <w:t>вы</w:t>
      </w:r>
      <w:r>
        <w:t>деления не происходит. В результате, российские потребители</w:t>
      </w:r>
      <w:r w:rsidR="00494660">
        <w:t>,</w:t>
      </w:r>
      <w:r>
        <w:t xml:space="preserve"> непонятно почему</w:t>
      </w:r>
      <w:r w:rsidR="00494660">
        <w:t>,</w:t>
      </w:r>
      <w:r>
        <w:t xml:space="preserve"> датир</w:t>
      </w:r>
      <w:r w:rsidR="00B639EE">
        <w:t>уют</w:t>
      </w:r>
      <w:r>
        <w:t xml:space="preserve"> развитие той части бизнеса «ИНТЕР РАО ЕЭС», которая обеспечивает экспорт электроэнергии. Это </w:t>
      </w:r>
      <w:r w:rsidRPr="00B6613C">
        <w:rPr>
          <w:b/>
        </w:rPr>
        <w:t>противоречит</w:t>
      </w:r>
      <w:r>
        <w:t xml:space="preserve"> фундаментальным основам рыночной экономики.</w:t>
      </w:r>
    </w:p>
    <w:p w:rsidR="00E961AB" w:rsidRDefault="00044CCF" w:rsidP="00803AB5">
      <w:pPr>
        <w:ind w:firstLine="709"/>
        <w:jc w:val="both"/>
      </w:pPr>
      <w:r>
        <w:t>В</w:t>
      </w:r>
      <w:r w:rsidR="00E961AB">
        <w:t xml:space="preserve"> СПЭ 2013 при  рассмотрении спроса на </w:t>
      </w:r>
      <w:r>
        <w:t>мощность в период 2013-2019гг.</w:t>
      </w:r>
      <w:r w:rsidR="00E961AB">
        <w:t>, величина максимальной электрической нагрузки в ЕЭС России рассматрива</w:t>
      </w:r>
      <w:r>
        <w:t>ется</w:t>
      </w:r>
      <w:r w:rsidR="00E961AB">
        <w:t xml:space="preserve"> </w:t>
      </w:r>
      <w:r w:rsidR="001B2E51">
        <w:t xml:space="preserve">как </w:t>
      </w:r>
      <w:r w:rsidR="00E961AB">
        <w:t>с учетом экспорта</w:t>
      </w:r>
      <w:r w:rsidR="00E26132">
        <w:t xml:space="preserve"> (вариант 1)</w:t>
      </w:r>
      <w:r w:rsidR="001B2E51">
        <w:t>, так</w:t>
      </w:r>
      <w:r w:rsidR="00E961AB">
        <w:t xml:space="preserve"> и без него</w:t>
      </w:r>
      <w:r w:rsidR="00E26132">
        <w:t xml:space="preserve"> (вариант 2)</w:t>
      </w:r>
      <w:r w:rsidR="00E961AB">
        <w:t xml:space="preserve">. </w:t>
      </w:r>
    </w:p>
    <w:p w:rsidR="00753F56" w:rsidRDefault="00E26132" w:rsidP="00EE1A61">
      <w:pPr>
        <w:ind w:firstLine="709"/>
        <w:jc w:val="both"/>
      </w:pPr>
      <w:r>
        <w:t xml:space="preserve">Тогда </w:t>
      </w:r>
      <w:r w:rsidR="001556A0">
        <w:t xml:space="preserve">в СПЭ 2013 (февраль) </w:t>
      </w:r>
      <w:r>
        <w:t>по в</w:t>
      </w:r>
      <w:r w:rsidR="00753F56">
        <w:t>ариант</w:t>
      </w:r>
      <w:r>
        <w:t>у</w:t>
      </w:r>
      <w:r w:rsidR="00753F56">
        <w:t xml:space="preserve"> 1</w:t>
      </w:r>
      <w:r>
        <w:t xml:space="preserve"> в 2013г.</w:t>
      </w:r>
      <w:r w:rsidR="00753F56">
        <w:t xml:space="preserve"> общий спрос на мощность в ЕЭС России</w:t>
      </w:r>
      <w:r w:rsidR="00753F56" w:rsidRPr="00753F56">
        <w:t xml:space="preserve"> </w:t>
      </w:r>
      <w:r w:rsidR="00A525BD">
        <w:t xml:space="preserve"> (с  учетом экспорта) </w:t>
      </w:r>
      <w:r w:rsidR="00753F56">
        <w:t xml:space="preserve">равняется </w:t>
      </w:r>
      <w:r w:rsidR="00A525BD">
        <w:rPr>
          <w:b/>
        </w:rPr>
        <w:t>195,0</w:t>
      </w:r>
      <w:r w:rsidR="001B755B" w:rsidRPr="001B755B">
        <w:rPr>
          <w:b/>
        </w:rPr>
        <w:t xml:space="preserve"> ГВт</w:t>
      </w:r>
      <w:r w:rsidR="001B755B">
        <w:t xml:space="preserve"> </w:t>
      </w:r>
      <w:r w:rsidR="00753F56">
        <w:t>=</w:t>
      </w:r>
      <w:r w:rsidR="001B755B">
        <w:t>(</w:t>
      </w:r>
      <w:r w:rsidR="00753F56">
        <w:t>158,8 ГВт</w:t>
      </w:r>
      <w:r w:rsidR="001B755B">
        <w:t>) +20,5%</w:t>
      </w:r>
      <w:r w:rsidR="00A525BD">
        <w:t>+3,66 ГВт.</w:t>
      </w:r>
      <w:r w:rsidR="004B274D">
        <w:t xml:space="preserve"> Совпадает с Минэнерго 2013г.</w:t>
      </w:r>
    </w:p>
    <w:p w:rsidR="004B274D" w:rsidRDefault="00A525BD" w:rsidP="00EE1A61">
      <w:pPr>
        <w:ind w:firstLine="709"/>
        <w:jc w:val="both"/>
      </w:pPr>
      <w:r>
        <w:t>По варианту 2</w:t>
      </w:r>
      <w:r w:rsidR="004B274D">
        <w:t xml:space="preserve"> </w:t>
      </w:r>
      <w:r>
        <w:t xml:space="preserve">спрос на мощность в ЕЭС России (без учета экспорта) в 2013 г. равняется </w:t>
      </w:r>
      <w:r w:rsidRPr="00A525BD">
        <w:rPr>
          <w:b/>
        </w:rPr>
        <w:t>191,4 ГВт</w:t>
      </w:r>
      <w:r>
        <w:t>=158,8 ГВт+20,5%.</w:t>
      </w:r>
    </w:p>
    <w:p w:rsidR="00A525BD" w:rsidRDefault="004B274D" w:rsidP="00EE1A61">
      <w:pPr>
        <w:ind w:firstLine="709"/>
        <w:jc w:val="both"/>
      </w:pPr>
      <w:r>
        <w:t>В СПЭ 2013 (октябрь)</w:t>
      </w:r>
      <w:r w:rsidR="000F5D09">
        <w:t xml:space="preserve"> по варианту 1</w:t>
      </w:r>
      <w:r>
        <w:t xml:space="preserve"> в 2013г. общий спрос на мощность в ЕЭС России (с учетом экспорта) равняется </w:t>
      </w:r>
      <w:r w:rsidR="000F5D09" w:rsidRPr="000F5D09">
        <w:rPr>
          <w:b/>
        </w:rPr>
        <w:t>191 ГВт</w:t>
      </w:r>
      <w:r>
        <w:t>=(155,4ГВт)+20,5%+3,66</w:t>
      </w:r>
      <w:r w:rsidR="000F5D09">
        <w:t>.</w:t>
      </w:r>
      <w:r>
        <w:t xml:space="preserve"> </w:t>
      </w:r>
      <w:r w:rsidR="00A525BD">
        <w:t xml:space="preserve"> </w:t>
      </w:r>
    </w:p>
    <w:p w:rsidR="00803AB5" w:rsidRDefault="000F5D09" w:rsidP="00803AB5">
      <w:pPr>
        <w:ind w:firstLine="709"/>
        <w:jc w:val="both"/>
      </w:pPr>
      <w:r>
        <w:t xml:space="preserve">В СПЭ 2013 (февраль) по варианту 2 спрос на мощность в ЕЭС России равняется </w:t>
      </w:r>
      <w:r w:rsidRPr="000F5D09">
        <w:rPr>
          <w:b/>
        </w:rPr>
        <w:t>187ГВт</w:t>
      </w:r>
      <w:r>
        <w:t>=(155,4ГВт) + 20,5%</w:t>
      </w:r>
      <w:r w:rsidR="007D5240">
        <w:t>.</w:t>
      </w:r>
      <w:r w:rsidR="00152017">
        <w:t xml:space="preserve"> </w:t>
      </w:r>
    </w:p>
    <w:p w:rsidR="00F93584" w:rsidRDefault="003F7225" w:rsidP="00803AB5">
      <w:pPr>
        <w:ind w:firstLine="709"/>
        <w:jc w:val="both"/>
      </w:pPr>
      <w:r>
        <w:t>Спрос на мощность по прогнозу СПЭ 2013 (октябрь) по сравнению с прогнозом СПЭ 2013 (февраль) более реалистичен, т.к.:</w:t>
      </w:r>
    </w:p>
    <w:p w:rsidR="00F93584" w:rsidRDefault="003F7225" w:rsidP="00F93584">
      <w:pPr>
        <w:numPr>
          <w:ilvl w:val="0"/>
          <w:numId w:val="38"/>
        </w:numPr>
      </w:pPr>
      <w:r>
        <w:t xml:space="preserve">Он учитывает отсутствие роста электропотребления в 2013 г. по отношению </w:t>
      </w:r>
      <w:r w:rsidR="00F93584">
        <w:br/>
      </w:r>
      <w:r>
        <w:t>к  2012 г.;</w:t>
      </w:r>
    </w:p>
    <w:p w:rsidR="00803AB5" w:rsidRDefault="001556A0" w:rsidP="00F93584">
      <w:pPr>
        <w:numPr>
          <w:ilvl w:val="0"/>
          <w:numId w:val="38"/>
        </w:numPr>
      </w:pPr>
      <w:r>
        <w:t>М</w:t>
      </w:r>
      <w:r w:rsidR="003F7225">
        <w:t>аксимальн</w:t>
      </w:r>
      <w:r>
        <w:t>ая</w:t>
      </w:r>
      <w:r w:rsidR="003F7225">
        <w:t xml:space="preserve"> электрическ</w:t>
      </w:r>
      <w:r>
        <w:t>ая</w:t>
      </w:r>
      <w:r w:rsidR="003F7225">
        <w:t xml:space="preserve"> нагрузк</w:t>
      </w:r>
      <w:r>
        <w:t>а рассчитывается с</w:t>
      </w:r>
      <w:r w:rsidR="003F7225">
        <w:t xml:space="preserve"> использ</w:t>
      </w:r>
      <w:r w:rsidR="000A183B">
        <w:t>ованием</w:t>
      </w:r>
      <w:r w:rsidR="003F7225">
        <w:t xml:space="preserve"> обоснованное среднегодовое отношение годового электропотребления к соответствующей максимальной электрической нагрузке, равное </w:t>
      </w:r>
      <w:r w:rsidR="003F7225" w:rsidRPr="00F93584">
        <w:rPr>
          <w:b/>
        </w:rPr>
        <w:t>6,53</w:t>
      </w:r>
      <w:r w:rsidR="003F7225">
        <w:t>, (см. рис. 30).</w:t>
      </w:r>
    </w:p>
    <w:p w:rsidR="003F7225" w:rsidRDefault="003F7225" w:rsidP="00803AB5">
      <w:pPr>
        <w:ind w:firstLine="851"/>
      </w:pPr>
      <w:r>
        <w:t>Однако, и в СПЭ 2013 (октябрь) прогнозный спрос на мощность завышен минимум на 2,5 ГВт за счет разницы между принятым завышенным объемом экспорта 3,7 ГВт и</w:t>
      </w:r>
      <w:r w:rsidR="00803AB5">
        <w:t xml:space="preserve">  наиболее вероятным  – 1,2 ГВт</w:t>
      </w:r>
      <w:r>
        <w:t xml:space="preserve"> (см. выше).</w:t>
      </w:r>
    </w:p>
    <w:p w:rsidR="002545CC" w:rsidRDefault="00B4168B" w:rsidP="00EE1A61">
      <w:pPr>
        <w:ind w:firstLine="709"/>
        <w:jc w:val="both"/>
      </w:pPr>
      <w:r>
        <w:t>На рис. 32 показан спрос на мощность в ЕЭС России по прогнозам Минэнерго 2011, 2012, 2013 и СПЭ 2012, 2013 февраль (вариант 1).</w:t>
      </w:r>
    </w:p>
    <w:p w:rsidR="00B4168B" w:rsidRDefault="00B4168B" w:rsidP="00EE1A61">
      <w:pPr>
        <w:ind w:firstLine="709"/>
        <w:jc w:val="both"/>
      </w:pPr>
    </w:p>
    <w:p w:rsidR="00665F5E" w:rsidRDefault="00665F5E" w:rsidP="00EE1A61">
      <w:pPr>
        <w:ind w:firstLine="709"/>
        <w:jc w:val="both"/>
      </w:pPr>
    </w:p>
    <w:p w:rsidR="009478DB" w:rsidRPr="00A81F9F" w:rsidRDefault="007C1ADE" w:rsidP="000F09F5">
      <w:pPr>
        <w:ind w:left="-426"/>
        <w:jc w:val="center"/>
      </w:pPr>
      <w:r>
        <w:rPr>
          <w:noProof/>
        </w:rPr>
        <w:drawing>
          <wp:inline distT="0" distB="0" distL="0" distR="0">
            <wp:extent cx="5448300" cy="4276725"/>
            <wp:effectExtent l="19050" t="0" r="0" b="0"/>
            <wp:docPr id="6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srcRect l="24687" t="20898" r="14375" b="19482"/>
                    <a:stretch>
                      <a:fillRect/>
                    </a:stretch>
                  </pic:blipFill>
                  <pic:spPr bwMode="auto">
                    <a:xfrm>
                      <a:off x="0" y="0"/>
                      <a:ext cx="5448300" cy="4276725"/>
                    </a:xfrm>
                    <a:prstGeom prst="rect">
                      <a:avLst/>
                    </a:prstGeom>
                    <a:noFill/>
                    <a:ln w="9525">
                      <a:noFill/>
                      <a:miter lim="800000"/>
                      <a:headEnd/>
                      <a:tailEnd/>
                    </a:ln>
                  </pic:spPr>
                </pic:pic>
              </a:graphicData>
            </a:graphic>
          </wp:inline>
        </w:drawing>
      </w:r>
    </w:p>
    <w:p w:rsidR="000F09F5" w:rsidRDefault="000F09F5" w:rsidP="001F2E2C">
      <w:pPr>
        <w:ind w:firstLine="709"/>
        <w:jc w:val="both"/>
      </w:pPr>
    </w:p>
    <w:p w:rsidR="001F2E2C" w:rsidRDefault="009478DB" w:rsidP="001F2E2C">
      <w:pPr>
        <w:ind w:firstLine="709"/>
        <w:jc w:val="both"/>
      </w:pPr>
      <w:r w:rsidRPr="00A81F9F">
        <w:t>Рис 3</w:t>
      </w:r>
      <w:r w:rsidR="003D75A4">
        <w:t>2</w:t>
      </w:r>
      <w:r w:rsidRPr="00A81F9F">
        <w:t xml:space="preserve">. </w:t>
      </w:r>
      <w:r w:rsidR="00BE7904">
        <w:t>Динамика с</w:t>
      </w:r>
      <w:r w:rsidRPr="00A81F9F">
        <w:t>прос</w:t>
      </w:r>
      <w:r w:rsidR="00BE7904">
        <w:t>а</w:t>
      </w:r>
      <w:r w:rsidRPr="00A81F9F">
        <w:t xml:space="preserve"> на мощность в ЕЭС Росс</w:t>
      </w:r>
      <w:r w:rsidR="00DC1B73">
        <w:t xml:space="preserve">ии по прогнозу Минэнерго </w:t>
      </w:r>
      <w:r w:rsidR="000F09F5">
        <w:t xml:space="preserve">2011, </w:t>
      </w:r>
      <w:r w:rsidR="00DC1B73">
        <w:t>2012, 2013  и СПЭ 2012, 2013</w:t>
      </w:r>
      <w:r w:rsidR="000F09F5">
        <w:t xml:space="preserve"> (февраль, вариант 1)</w:t>
      </w:r>
    </w:p>
    <w:p w:rsidR="000F09F5" w:rsidRDefault="000F09F5" w:rsidP="001F2E2C">
      <w:pPr>
        <w:ind w:firstLine="709"/>
        <w:jc w:val="both"/>
      </w:pPr>
    </w:p>
    <w:p w:rsidR="00482CA8" w:rsidRDefault="008E3567" w:rsidP="001F2E2C">
      <w:pPr>
        <w:ind w:firstLine="709"/>
        <w:jc w:val="both"/>
      </w:pPr>
      <w:r>
        <w:t xml:space="preserve">Видно, что </w:t>
      </w:r>
      <w:r w:rsidR="00701333">
        <w:t xml:space="preserve">спрос на мощность по ЕЭС России в прогнозе </w:t>
      </w:r>
      <w:r>
        <w:t xml:space="preserve">Минэнерго 2011 </w:t>
      </w:r>
      <w:r w:rsidR="000A183B">
        <w:t>в период 2011-2017гг.</w:t>
      </w:r>
      <w:r>
        <w:t xml:space="preserve"> </w:t>
      </w:r>
      <w:r w:rsidR="00701333">
        <w:t>выше на 10-14 ГВт</w:t>
      </w:r>
      <w:r>
        <w:t xml:space="preserve"> по сравнению с прогнозами </w:t>
      </w:r>
      <w:r w:rsidR="00DA3FEF">
        <w:t xml:space="preserve">Минэнерго </w:t>
      </w:r>
      <w:r w:rsidR="00701333">
        <w:t>2012</w:t>
      </w:r>
      <w:r w:rsidR="00DA3FEF">
        <w:t xml:space="preserve"> и</w:t>
      </w:r>
      <w:r w:rsidR="00701333">
        <w:t xml:space="preserve"> 2013</w:t>
      </w:r>
      <w:r w:rsidR="00DA3FEF">
        <w:t>.</w:t>
      </w:r>
      <w:r w:rsidR="00701333">
        <w:t xml:space="preserve"> </w:t>
      </w:r>
      <w:r w:rsidR="00DA3FEF">
        <w:t>Собственно прогнозы</w:t>
      </w:r>
      <w:r w:rsidR="00701333">
        <w:t xml:space="preserve"> </w:t>
      </w:r>
      <w:r w:rsidR="005E4F99">
        <w:t xml:space="preserve">Минэнерго 2012 и 2013 </w:t>
      </w:r>
      <w:r w:rsidR="006A2525">
        <w:t xml:space="preserve">близки между собой, несмотря на то, что среднегодовые темпы электропотребления в прогнозе Минэнерго 2012 и 2013 существенно отличаются друг от друга </w:t>
      </w:r>
      <w:r w:rsidR="000A183B">
        <w:t>(2</w:t>
      </w:r>
      <w:r w:rsidR="006A2525">
        <w:t>,33% и 1,82%</w:t>
      </w:r>
      <w:r w:rsidR="000A183B">
        <w:t>)</w:t>
      </w:r>
      <w:r w:rsidR="00D1746F">
        <w:t>. Это</w:t>
      </w:r>
      <w:r w:rsidR="000A183B">
        <w:t xml:space="preserve"> совпадение</w:t>
      </w:r>
      <w:r w:rsidR="00D1746F">
        <w:t xml:space="preserve"> объясняется тем, что</w:t>
      </w:r>
      <w:r w:rsidR="00777B47">
        <w:t xml:space="preserve"> в прогнозе Минэнерго 2013</w:t>
      </w:r>
      <w:r w:rsidR="00D1746F">
        <w:t xml:space="preserve"> закладывается</w:t>
      </w:r>
      <w:r w:rsidR="000A183B">
        <w:t xml:space="preserve"> необоснованно завышенный</w:t>
      </w:r>
      <w:r w:rsidR="00D1746F">
        <w:t xml:space="preserve">  среднегодовой объем экспорта электрической мощности </w:t>
      </w:r>
      <w:r w:rsidR="00777B47">
        <w:t>3,7 ГВт,</w:t>
      </w:r>
      <w:r w:rsidR="00777B47" w:rsidRPr="00777B47">
        <w:t xml:space="preserve"> </w:t>
      </w:r>
      <w:r w:rsidR="00777B47">
        <w:t>а в прогнозе Минэнерго 2012 всего 1,2 ГВт.</w:t>
      </w:r>
      <w:r w:rsidR="00787738">
        <w:t xml:space="preserve"> </w:t>
      </w:r>
    </w:p>
    <w:p w:rsidR="009D0062" w:rsidRDefault="00787738" w:rsidP="001F2E2C">
      <w:pPr>
        <w:ind w:firstLine="709"/>
        <w:jc w:val="both"/>
      </w:pPr>
      <w:r>
        <w:t>Спрос н</w:t>
      </w:r>
      <w:r w:rsidR="005C2B0E">
        <w:t xml:space="preserve">а мощность по прогнозу СПЭ 2012 по сравнению с прогнозом Минэнерго 2012 на конец периода -  2018 г. - </w:t>
      </w:r>
      <w:r>
        <w:t xml:space="preserve">ниже </w:t>
      </w:r>
      <w:r w:rsidR="005C2B0E">
        <w:t xml:space="preserve">на </w:t>
      </w:r>
      <w:r w:rsidR="005C2B0E" w:rsidRPr="00482CA8">
        <w:rPr>
          <w:b/>
        </w:rPr>
        <w:t>16 ГВт</w:t>
      </w:r>
      <w:r w:rsidR="005C2B0E">
        <w:t xml:space="preserve">, а </w:t>
      </w:r>
      <w:r w:rsidR="008C1CA9">
        <w:t xml:space="preserve">соответствующая разница между прогнозом </w:t>
      </w:r>
      <w:r w:rsidR="005C2B0E">
        <w:t xml:space="preserve"> СПЭ 2013 (февраль)</w:t>
      </w:r>
      <w:r w:rsidR="008C1CA9">
        <w:t xml:space="preserve"> и прогнозом Минэнерго 2013 на конец периода – 2019 г. -  </w:t>
      </w:r>
      <w:r w:rsidR="00B32938">
        <w:t xml:space="preserve">снизилась до </w:t>
      </w:r>
      <w:r w:rsidR="008C1CA9">
        <w:t>9 ГВт.</w:t>
      </w:r>
      <w:r w:rsidR="00F85269">
        <w:t xml:space="preserve"> Однако эта разница занижена из-за </w:t>
      </w:r>
      <w:r w:rsidR="004A3FCB">
        <w:t>завышенного</w:t>
      </w:r>
      <w:r w:rsidR="00F85269">
        <w:t xml:space="preserve"> </w:t>
      </w:r>
      <w:r w:rsidR="004A3FCB">
        <w:t xml:space="preserve">прогноза </w:t>
      </w:r>
      <w:r w:rsidR="00F85269">
        <w:t>экспорт</w:t>
      </w:r>
      <w:r w:rsidR="004A3FCB">
        <w:t>а электрической мощности из ЕЭС России</w:t>
      </w:r>
      <w:r w:rsidR="00F85269">
        <w:t xml:space="preserve"> </w:t>
      </w:r>
    </w:p>
    <w:p w:rsidR="00B32938" w:rsidRDefault="004A3FCB" w:rsidP="00803AB5">
      <w:pPr>
        <w:jc w:val="both"/>
      </w:pPr>
      <w:r w:rsidRPr="009D0062">
        <w:rPr>
          <w:b/>
        </w:rPr>
        <w:t>(</w:t>
      </w:r>
      <w:r w:rsidR="009D0062" w:rsidRPr="009D0062">
        <w:rPr>
          <w:b/>
        </w:rPr>
        <w:t>2,5 ГВт</w:t>
      </w:r>
      <w:r w:rsidR="009D0062">
        <w:t>=3,7-1,2).</w:t>
      </w:r>
    </w:p>
    <w:p w:rsidR="003D7A1F" w:rsidRDefault="003D7A1F" w:rsidP="001F2E2C">
      <w:pPr>
        <w:ind w:firstLine="709"/>
        <w:jc w:val="both"/>
      </w:pPr>
      <w:r>
        <w:t xml:space="preserve"> </w:t>
      </w:r>
      <w:r w:rsidR="000A183B">
        <w:t>В действительности</w:t>
      </w:r>
      <w:r w:rsidR="00723A67">
        <w:t xml:space="preserve"> эта разница будет выше. На рис. 33</w:t>
      </w:r>
      <w:r w:rsidR="00BE7904">
        <w:t xml:space="preserve"> показана динамика спроса на мощность в ЕЭС России в период 2013-2019 гг. по Минэнерго 2013 и различным вариантам СПЭ 2013.</w:t>
      </w:r>
    </w:p>
    <w:p w:rsidR="00723A67" w:rsidRDefault="00723A67" w:rsidP="001F2E2C">
      <w:pPr>
        <w:ind w:firstLine="709"/>
        <w:jc w:val="both"/>
      </w:pPr>
    </w:p>
    <w:p w:rsidR="003E29A2" w:rsidRPr="008D1ADF" w:rsidRDefault="007C1ADE" w:rsidP="00212929">
      <w:pPr>
        <w:pStyle w:val="2"/>
      </w:pPr>
      <w:r w:rsidRPr="008D1ADF">
        <w:drawing>
          <wp:inline distT="0" distB="0" distL="0" distR="0">
            <wp:extent cx="5000625" cy="4229100"/>
            <wp:effectExtent l="19050" t="0" r="9525" b="0"/>
            <wp:docPr id="62"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l="24532" t="21289" r="18594" b="19531"/>
                    <a:stretch>
                      <a:fillRect/>
                    </a:stretch>
                  </pic:blipFill>
                  <pic:spPr bwMode="auto">
                    <a:xfrm>
                      <a:off x="0" y="0"/>
                      <a:ext cx="5000625" cy="4229100"/>
                    </a:xfrm>
                    <a:prstGeom prst="rect">
                      <a:avLst/>
                    </a:prstGeom>
                    <a:noFill/>
                    <a:ln w="9525">
                      <a:noFill/>
                      <a:miter lim="800000"/>
                      <a:headEnd/>
                      <a:tailEnd/>
                    </a:ln>
                  </pic:spPr>
                </pic:pic>
              </a:graphicData>
            </a:graphic>
          </wp:inline>
        </w:drawing>
      </w:r>
    </w:p>
    <w:p w:rsidR="001A4F82" w:rsidRDefault="003E29A2" w:rsidP="008B1D2F">
      <w:pPr>
        <w:ind w:firstLine="851"/>
      </w:pPr>
      <w:r w:rsidRPr="003E29A2">
        <w:t>Рис. 33.</w:t>
      </w:r>
      <w:r>
        <w:t xml:space="preserve"> </w:t>
      </w:r>
      <w:r w:rsidR="00BE7904">
        <w:t>Динамика с</w:t>
      </w:r>
      <w:r>
        <w:t>прос</w:t>
      </w:r>
      <w:r w:rsidR="00BE7904">
        <w:t>а</w:t>
      </w:r>
      <w:r>
        <w:t xml:space="preserve"> на мощность в ЕЭС России по прогнозу Минэнерго 2013 и </w:t>
      </w:r>
      <w:r w:rsidR="008E3567">
        <w:br/>
      </w:r>
      <w:r>
        <w:t xml:space="preserve">СПЭ 2013, </w:t>
      </w:r>
      <w:r w:rsidR="008E3567">
        <w:t>(</w:t>
      </w:r>
      <w:r>
        <w:t>февраль</w:t>
      </w:r>
      <w:r w:rsidR="008E3567">
        <w:t>)</w:t>
      </w:r>
      <w:r>
        <w:t>, варианты 1 и 2; СПЭ</w:t>
      </w:r>
      <w:r w:rsidR="008E3567">
        <w:t xml:space="preserve"> -2013</w:t>
      </w:r>
      <w:r>
        <w:t xml:space="preserve">, </w:t>
      </w:r>
      <w:r w:rsidR="008E3567">
        <w:t>(</w:t>
      </w:r>
      <w:r>
        <w:t>октябрь</w:t>
      </w:r>
      <w:r w:rsidR="008E3567">
        <w:t>),</w:t>
      </w:r>
      <w:r>
        <w:t xml:space="preserve"> варианты</w:t>
      </w:r>
      <w:r w:rsidR="008E3567">
        <w:t xml:space="preserve"> 1 и 2.</w:t>
      </w:r>
    </w:p>
    <w:p w:rsidR="008B1D2F" w:rsidRPr="008D1ADF" w:rsidRDefault="008B1D2F" w:rsidP="008B1D2F">
      <w:pPr>
        <w:ind w:firstLine="851"/>
      </w:pPr>
    </w:p>
    <w:p w:rsidR="00630A0D" w:rsidRPr="008B1D2F" w:rsidRDefault="00CF1839" w:rsidP="008B1D2F">
      <w:pPr>
        <w:pStyle w:val="10"/>
      </w:pPr>
      <w:r>
        <w:rPr>
          <w:caps w:val="0"/>
        </w:rPr>
        <w:t>В</w:t>
      </w:r>
      <w:r w:rsidRPr="008B1D2F">
        <w:rPr>
          <w:caps w:val="0"/>
        </w:rPr>
        <w:t xml:space="preserve">идно, что вариант 1 разность между спросом на мощность по прогнозу </w:t>
      </w:r>
      <w:r>
        <w:rPr>
          <w:caps w:val="0"/>
        </w:rPr>
        <w:t>М</w:t>
      </w:r>
      <w:r w:rsidRPr="008B1D2F">
        <w:rPr>
          <w:caps w:val="0"/>
        </w:rPr>
        <w:t xml:space="preserve">инэнерго 2013 и </w:t>
      </w:r>
      <w:r w:rsidR="009A1BCB">
        <w:rPr>
          <w:caps w:val="0"/>
        </w:rPr>
        <w:t>СПЭ</w:t>
      </w:r>
      <w:r w:rsidRPr="008B1D2F">
        <w:rPr>
          <w:caps w:val="0"/>
        </w:rPr>
        <w:t xml:space="preserve"> 2013 (октябрь) на конец</w:t>
      </w:r>
      <w:r>
        <w:rPr>
          <w:caps w:val="0"/>
        </w:rPr>
        <w:t xml:space="preserve"> периода – 2019</w:t>
      </w:r>
      <w:r w:rsidRPr="008B1D2F">
        <w:rPr>
          <w:caps w:val="0"/>
        </w:rPr>
        <w:t xml:space="preserve">г. – составляет 13 </w:t>
      </w:r>
      <w:r w:rsidR="009A1BCB">
        <w:rPr>
          <w:caps w:val="0"/>
        </w:rPr>
        <w:t>ГВт</w:t>
      </w:r>
      <w:r w:rsidRPr="008B1D2F">
        <w:rPr>
          <w:caps w:val="0"/>
        </w:rPr>
        <w:t xml:space="preserve">. если к этой величине добавить 2,5 </w:t>
      </w:r>
      <w:r>
        <w:rPr>
          <w:caps w:val="0"/>
        </w:rPr>
        <w:t>ГВ</w:t>
      </w:r>
      <w:r w:rsidRPr="008B1D2F">
        <w:rPr>
          <w:caps w:val="0"/>
        </w:rPr>
        <w:t xml:space="preserve">т – за счет принятого завышенного прогноза экспорта мощности, -  то получим </w:t>
      </w:r>
      <w:r>
        <w:rPr>
          <w:caps w:val="0"/>
        </w:rPr>
        <w:t>15,5</w:t>
      </w:r>
      <w:r w:rsidR="009A1BCB">
        <w:rPr>
          <w:caps w:val="0"/>
        </w:rPr>
        <w:t>ГВ</w:t>
      </w:r>
      <w:r w:rsidRPr="008B1D2F">
        <w:rPr>
          <w:caps w:val="0"/>
        </w:rPr>
        <w:t>т</w:t>
      </w:r>
      <w:r>
        <w:rPr>
          <w:caps w:val="0"/>
        </w:rPr>
        <w:t>=13</w:t>
      </w:r>
      <w:r w:rsidR="009A1BCB">
        <w:rPr>
          <w:caps w:val="0"/>
        </w:rPr>
        <w:t>+2,5, что практически равно 16 ГВ</w:t>
      </w:r>
      <w:r w:rsidRPr="008B1D2F">
        <w:rPr>
          <w:caps w:val="0"/>
        </w:rPr>
        <w:t xml:space="preserve">т -  разнице между прогнозами </w:t>
      </w:r>
      <w:r w:rsidR="009A1BCB">
        <w:rPr>
          <w:caps w:val="0"/>
        </w:rPr>
        <w:t>М</w:t>
      </w:r>
      <w:r w:rsidRPr="008B1D2F">
        <w:rPr>
          <w:caps w:val="0"/>
        </w:rPr>
        <w:t xml:space="preserve">инэнерго 2013 и </w:t>
      </w:r>
      <w:r>
        <w:rPr>
          <w:caps w:val="0"/>
        </w:rPr>
        <w:t>СПЭ</w:t>
      </w:r>
      <w:r w:rsidRPr="008B1D2F">
        <w:rPr>
          <w:caps w:val="0"/>
        </w:rPr>
        <w:t xml:space="preserve"> 2012, (см. рис 32).</w:t>
      </w:r>
    </w:p>
    <w:p w:rsidR="00630A0D" w:rsidRPr="00630A0D" w:rsidRDefault="00A23165" w:rsidP="00212929">
      <w:pPr>
        <w:ind w:firstLine="709"/>
        <w:jc w:val="both"/>
      </w:pPr>
      <w:r>
        <w:t xml:space="preserve">В последующем анализе </w:t>
      </w:r>
      <w:r w:rsidR="00434BCE">
        <w:t xml:space="preserve">при расчете </w:t>
      </w:r>
      <w:r>
        <w:t>баланс</w:t>
      </w:r>
      <w:r w:rsidR="00434BCE">
        <w:t>а</w:t>
      </w:r>
      <w:r>
        <w:t xml:space="preserve"> электрических мощностей</w:t>
      </w:r>
      <w:r w:rsidR="00434BCE">
        <w:t xml:space="preserve"> </w:t>
      </w:r>
      <w:r w:rsidR="002C6560">
        <w:t xml:space="preserve">в ЕЭС России на период 2013-2019 гг. </w:t>
      </w:r>
      <w:r w:rsidR="00394B71">
        <w:t>в</w:t>
      </w:r>
      <w:r w:rsidR="002C6560">
        <w:t xml:space="preserve"> СПЭ 2013 (октябрь)</w:t>
      </w:r>
      <w:r w:rsidR="00394B71">
        <w:t>,</w:t>
      </w:r>
      <w:r w:rsidR="002C6560">
        <w:t xml:space="preserve"> </w:t>
      </w:r>
      <w:r w:rsidR="00394B71">
        <w:t xml:space="preserve">по сравнению с Минэнерго 2013, </w:t>
      </w:r>
      <w:r w:rsidR="00434BCE">
        <w:t xml:space="preserve">принимается уменьшение спроса на мощность </w:t>
      </w:r>
      <w:r w:rsidR="002C6560" w:rsidRPr="002C6560">
        <w:rPr>
          <w:b/>
        </w:rPr>
        <w:t>на 13 ГВт</w:t>
      </w:r>
      <w:r w:rsidR="002C6560">
        <w:t xml:space="preserve"> к 2019 г. </w:t>
      </w:r>
    </w:p>
    <w:p w:rsidR="009478DB" w:rsidRPr="00212929" w:rsidRDefault="00F93584" w:rsidP="00212929">
      <w:pPr>
        <w:pStyle w:val="2"/>
      </w:pPr>
      <w:r>
        <w:br w:type="page"/>
      </w:r>
      <w:bookmarkStart w:id="61" w:name="_Toc370759785"/>
      <w:bookmarkStart w:id="62" w:name="_Toc374557792"/>
      <w:r w:rsidR="009478DB" w:rsidRPr="00212929">
        <w:t xml:space="preserve">По Разделу 5. </w:t>
      </w:r>
      <w:r w:rsidR="00BD7131" w:rsidRPr="00212929">
        <w:t>О п</w:t>
      </w:r>
      <w:r w:rsidR="009478DB" w:rsidRPr="00212929">
        <w:t>рогноз</w:t>
      </w:r>
      <w:r w:rsidR="00BD7131" w:rsidRPr="00212929">
        <w:t>е</w:t>
      </w:r>
      <w:r w:rsidR="009478DB" w:rsidRPr="00212929">
        <w:t xml:space="preserve"> развития действующих и предполагаемых к сооружению новых генерирующих мощностей.</w:t>
      </w:r>
      <w:bookmarkEnd w:id="61"/>
      <w:bookmarkEnd w:id="62"/>
      <w:r w:rsidR="009478DB" w:rsidRPr="00212929">
        <w:t xml:space="preserve"> </w:t>
      </w:r>
    </w:p>
    <w:p w:rsidR="009478DB" w:rsidRPr="00A81F9F" w:rsidRDefault="009478DB" w:rsidP="00B569D3">
      <w:pPr>
        <w:pStyle w:val="3"/>
      </w:pPr>
      <w:bookmarkStart w:id="63" w:name="_Toc370759786"/>
      <w:bookmarkStart w:id="64" w:name="_Toc374557793"/>
      <w:r w:rsidRPr="00A81F9F">
        <w:t xml:space="preserve">5.1. </w:t>
      </w:r>
      <w:r w:rsidR="00F93584">
        <w:t>О прогнозе Минэнерго 2013 по  выводу</w:t>
      </w:r>
      <w:r w:rsidRPr="00A81F9F">
        <w:t xml:space="preserve"> из эксплуатации генерирующ</w:t>
      </w:r>
      <w:r w:rsidR="00F93584">
        <w:t>их мощностей в ЕЭС России в 2013-2019</w:t>
      </w:r>
      <w:r w:rsidRPr="00A81F9F">
        <w:t xml:space="preserve"> гг.</w:t>
      </w:r>
      <w:bookmarkEnd w:id="63"/>
      <w:bookmarkEnd w:id="64"/>
    </w:p>
    <w:p w:rsidR="009478DB" w:rsidRPr="00A81F9F" w:rsidRDefault="009478DB" w:rsidP="00EE1A61">
      <w:pPr>
        <w:ind w:firstLine="709"/>
        <w:jc w:val="both"/>
        <w:rPr>
          <w:b/>
          <w:bCs/>
          <w:i/>
          <w:iCs/>
        </w:rPr>
      </w:pPr>
    </w:p>
    <w:p w:rsidR="00880B0C" w:rsidRDefault="00F93584" w:rsidP="00EE1A61">
      <w:pPr>
        <w:ind w:firstLine="709"/>
        <w:jc w:val="both"/>
      </w:pPr>
      <w:r>
        <w:t xml:space="preserve">В прогнозе Минэнерго 2013 </w:t>
      </w:r>
      <w:r w:rsidR="009478DB" w:rsidRPr="00A81F9F">
        <w:t xml:space="preserve">г. </w:t>
      </w:r>
      <w:r w:rsidR="00F6289A">
        <w:t>в период 2013-2019</w:t>
      </w:r>
      <w:r w:rsidR="00F6289A" w:rsidRPr="00A81F9F">
        <w:t xml:space="preserve"> </w:t>
      </w:r>
      <w:r w:rsidR="00F6289A">
        <w:t xml:space="preserve">гг. </w:t>
      </w:r>
      <w:r w:rsidR="009478DB" w:rsidRPr="00A81F9F">
        <w:t xml:space="preserve">в ЕЭС </w:t>
      </w:r>
      <w:r w:rsidR="00F6289A">
        <w:t xml:space="preserve">России </w:t>
      </w:r>
      <w:r w:rsidR="009478DB" w:rsidRPr="00A81F9F">
        <w:t xml:space="preserve">планируется вывести из эксплуатации генерирующих мощностей общей мощностью </w:t>
      </w:r>
      <w:r w:rsidR="001570B7">
        <w:rPr>
          <w:rStyle w:val="af5"/>
          <w:rFonts w:eastAsia="Calibri"/>
          <w:sz w:val="30"/>
        </w:rPr>
        <w:t>18,99</w:t>
      </w:r>
      <w:r w:rsidR="009478DB" w:rsidRPr="00A81F9F">
        <w:rPr>
          <w:rStyle w:val="af5"/>
          <w:rFonts w:eastAsia="Calibri"/>
          <w:sz w:val="30"/>
        </w:rPr>
        <w:t xml:space="preserve"> ГВт</w:t>
      </w:r>
      <w:r w:rsidR="009478DB" w:rsidRPr="00A81F9F">
        <w:t>, в т.ч.</w:t>
      </w:r>
      <w:r w:rsidR="009478DB" w:rsidRPr="00A81F9F">
        <w:rPr>
          <w:rStyle w:val="af5"/>
          <w:rFonts w:eastAsia="Calibri"/>
          <w:sz w:val="30"/>
        </w:rPr>
        <w:t>,</w:t>
      </w:r>
      <w:r w:rsidR="009478DB" w:rsidRPr="00A81F9F">
        <w:t xml:space="preserve"> АЭС – </w:t>
      </w:r>
      <w:r w:rsidR="00F6289A">
        <w:rPr>
          <w:rStyle w:val="af5"/>
          <w:rFonts w:eastAsia="Calibri"/>
          <w:sz w:val="30"/>
        </w:rPr>
        <w:t>8</w:t>
      </w:r>
      <w:r w:rsidR="009478DB" w:rsidRPr="00A81F9F">
        <w:rPr>
          <w:rStyle w:val="af5"/>
          <w:rFonts w:eastAsia="Calibri"/>
          <w:sz w:val="30"/>
        </w:rPr>
        <w:t>,27 ГВт</w:t>
      </w:r>
      <w:r w:rsidR="00F6289A">
        <w:rPr>
          <w:rStyle w:val="af5"/>
          <w:rFonts w:eastAsia="Calibri"/>
          <w:sz w:val="30"/>
        </w:rPr>
        <w:t xml:space="preserve">; </w:t>
      </w:r>
      <w:r w:rsidR="009478DB" w:rsidRPr="00A81F9F">
        <w:t xml:space="preserve"> </w:t>
      </w:r>
      <w:r w:rsidR="00880B0C" w:rsidRPr="00A81F9F">
        <w:t xml:space="preserve">ТЭС – </w:t>
      </w:r>
      <w:r w:rsidR="00880B0C">
        <w:rPr>
          <w:rStyle w:val="af5"/>
          <w:rFonts w:eastAsia="Calibri"/>
          <w:sz w:val="30"/>
        </w:rPr>
        <w:t>10,7</w:t>
      </w:r>
      <w:r w:rsidR="00880B0C" w:rsidRPr="00A81F9F">
        <w:rPr>
          <w:rStyle w:val="af5"/>
          <w:rFonts w:eastAsia="Calibri"/>
          <w:sz w:val="30"/>
        </w:rPr>
        <w:t xml:space="preserve"> ГВт</w:t>
      </w:r>
      <w:r w:rsidR="00880B0C">
        <w:rPr>
          <w:rStyle w:val="af5"/>
          <w:rFonts w:eastAsia="Calibri"/>
          <w:sz w:val="30"/>
        </w:rPr>
        <w:t>;</w:t>
      </w:r>
      <w:r w:rsidR="00880B0C">
        <w:t xml:space="preserve"> </w:t>
      </w:r>
      <w:r w:rsidR="00F6289A">
        <w:t xml:space="preserve">в т.ч. </w:t>
      </w:r>
      <w:r w:rsidR="00880B0C">
        <w:t>под</w:t>
      </w:r>
      <w:r w:rsidR="00F6289A">
        <w:t xml:space="preserve"> замену оборудования  - </w:t>
      </w:r>
      <w:r w:rsidR="00F6289A" w:rsidRPr="00880B0C">
        <w:rPr>
          <w:rStyle w:val="af5"/>
          <w:rFonts w:eastAsia="Calibri"/>
          <w:sz w:val="30"/>
        </w:rPr>
        <w:t>0,5 ГВт.</w:t>
      </w:r>
      <w:r w:rsidR="00F6289A">
        <w:t xml:space="preserve"> </w:t>
      </w:r>
    </w:p>
    <w:p w:rsidR="00D13E1B" w:rsidRDefault="009478DB" w:rsidP="00EE1A61">
      <w:pPr>
        <w:ind w:firstLine="709"/>
        <w:jc w:val="both"/>
      </w:pPr>
      <w:r w:rsidRPr="00A81F9F">
        <w:t xml:space="preserve">Предлагается следующий календарный график вывода из эксплуатации АЭС: </w:t>
      </w:r>
    </w:p>
    <w:p w:rsidR="00D13E1B" w:rsidRDefault="00D13E1B" w:rsidP="00EE1A61">
      <w:pPr>
        <w:ind w:firstLine="709"/>
        <w:jc w:val="both"/>
      </w:pPr>
      <w:r>
        <w:t xml:space="preserve">- </w:t>
      </w:r>
      <w:r w:rsidR="00A57179">
        <w:t xml:space="preserve"> </w:t>
      </w:r>
      <w:r w:rsidR="009478DB" w:rsidRPr="00A81F9F">
        <w:t>в ОЭС Северо-Запада</w:t>
      </w:r>
      <w:r>
        <w:t>:</w:t>
      </w:r>
      <w:r w:rsidR="009478DB" w:rsidRPr="00A81F9F">
        <w:t xml:space="preserve"> </w:t>
      </w:r>
      <w:r>
        <w:t>все энергоблоки Ленинградской АЭС</w:t>
      </w:r>
      <w:r w:rsidR="009478DB" w:rsidRPr="00A81F9F">
        <w:t xml:space="preserve"> </w:t>
      </w:r>
      <w:r>
        <w:t>(4</w:t>
      </w:r>
      <w:r w:rsidR="00A57179">
        <w:t>*1000 МВт)</w:t>
      </w:r>
      <w:r w:rsidR="009478DB" w:rsidRPr="00A81F9F">
        <w:t xml:space="preserve"> и энергоблок</w:t>
      </w:r>
      <w:r>
        <w:t xml:space="preserve"> </w:t>
      </w:r>
      <w:r w:rsidR="00A57179">
        <w:t xml:space="preserve">№1 </w:t>
      </w:r>
      <w:r>
        <w:t>Кольской АЭС (440 МВт);</w:t>
      </w:r>
      <w:r w:rsidR="00204797">
        <w:t xml:space="preserve"> последовательно в 2013г. –</w:t>
      </w:r>
      <w:r w:rsidR="003446CC">
        <w:t xml:space="preserve"> </w:t>
      </w:r>
      <w:r w:rsidR="00204797">
        <w:t>блок</w:t>
      </w:r>
      <w:r w:rsidR="003446CC">
        <w:t xml:space="preserve"> № 1</w:t>
      </w:r>
      <w:r w:rsidR="00204797">
        <w:t xml:space="preserve"> Ленинградской АЭС; в 2014г. –</w:t>
      </w:r>
      <w:r w:rsidR="003446CC">
        <w:t xml:space="preserve"> </w:t>
      </w:r>
      <w:r w:rsidR="00A76552">
        <w:t>блок</w:t>
      </w:r>
      <w:r w:rsidR="003446CC">
        <w:t xml:space="preserve"> № 2</w:t>
      </w:r>
      <w:r w:rsidR="00A76552">
        <w:t xml:space="preserve"> Ленинградской АЭС</w:t>
      </w:r>
      <w:r w:rsidR="00204797">
        <w:t>; в 2017г. –</w:t>
      </w:r>
      <w:r w:rsidR="003446CC">
        <w:t xml:space="preserve"> </w:t>
      </w:r>
      <w:r w:rsidR="00204797">
        <w:t>блок</w:t>
      </w:r>
      <w:r w:rsidR="003446CC">
        <w:t xml:space="preserve"> № 3</w:t>
      </w:r>
      <w:r w:rsidR="00204797">
        <w:t xml:space="preserve"> Ленинградской АЭС</w:t>
      </w:r>
      <w:r w:rsidR="004A666C">
        <w:t>; в 2018г.</w:t>
      </w:r>
      <w:r w:rsidR="003446CC">
        <w:t xml:space="preserve"> – </w:t>
      </w:r>
      <w:r w:rsidR="004A666C">
        <w:t>блок</w:t>
      </w:r>
      <w:r w:rsidR="003446CC">
        <w:t xml:space="preserve"> № 4 Ленинградской АЭС</w:t>
      </w:r>
      <w:r w:rsidR="004A666C">
        <w:t>; в 2019г. –</w:t>
      </w:r>
      <w:r w:rsidR="003446CC">
        <w:t xml:space="preserve"> б</w:t>
      </w:r>
      <w:r w:rsidR="004A666C">
        <w:t xml:space="preserve">лок </w:t>
      </w:r>
      <w:r w:rsidR="003446CC">
        <w:t xml:space="preserve"> № 4 Ленинградской АЭС и </w:t>
      </w:r>
      <w:r w:rsidR="004A666C">
        <w:t>бл</w:t>
      </w:r>
      <w:r w:rsidR="003446CC">
        <w:t>о</w:t>
      </w:r>
      <w:r w:rsidR="004A666C">
        <w:t>к</w:t>
      </w:r>
      <w:r w:rsidR="003446CC">
        <w:t xml:space="preserve"> № 1</w:t>
      </w:r>
      <w:r w:rsidR="004A666C">
        <w:t xml:space="preserve"> Кольской АЭС. </w:t>
      </w:r>
    </w:p>
    <w:p w:rsidR="009478DB" w:rsidRDefault="00D13E1B" w:rsidP="00EE1A61">
      <w:pPr>
        <w:ind w:firstLine="709"/>
        <w:jc w:val="both"/>
      </w:pPr>
      <w:r>
        <w:t xml:space="preserve">- </w:t>
      </w:r>
      <w:r w:rsidR="00A57179">
        <w:t xml:space="preserve"> </w:t>
      </w:r>
      <w:r w:rsidR="009478DB" w:rsidRPr="00A81F9F">
        <w:t>в ОЭС Центра</w:t>
      </w:r>
      <w:r>
        <w:t>:</w:t>
      </w:r>
      <w:r w:rsidR="009478DB" w:rsidRPr="00A81F9F">
        <w:t xml:space="preserve"> энергоблок</w:t>
      </w:r>
      <w:r>
        <w:t>и</w:t>
      </w:r>
      <w:r w:rsidR="009478DB" w:rsidRPr="00A81F9F">
        <w:t xml:space="preserve"> № 3 и 4 на Нововоронежской АЭС (2*417 МВт)</w:t>
      </w:r>
      <w:r>
        <w:t>, энергоблоки №1 и №2 на Курской АЭС (2*1000 МВт), энергоблок №1 Смоленской АЭС (1000 МВт)</w:t>
      </w:r>
      <w:r w:rsidR="009478DB" w:rsidRPr="00A81F9F">
        <w:t>.</w:t>
      </w:r>
      <w:r w:rsidR="004A666C">
        <w:t xml:space="preserve"> Последовательно, в 2014г. </w:t>
      </w:r>
      <w:r w:rsidR="00A76552">
        <w:t>–</w:t>
      </w:r>
      <w:r w:rsidR="004A666C">
        <w:t xml:space="preserve"> </w:t>
      </w:r>
      <w:r w:rsidR="00A76552">
        <w:t>блок № 2 Курской АЭС; в 2015г. –</w:t>
      </w:r>
      <w:r w:rsidR="003446CC">
        <w:t xml:space="preserve"> </w:t>
      </w:r>
      <w:r w:rsidR="00A76552">
        <w:t xml:space="preserve">блок № 1 Курской АЭС; в 2017г. - </w:t>
      </w:r>
      <w:r w:rsidR="003446CC">
        <w:t xml:space="preserve"> б</w:t>
      </w:r>
      <w:r w:rsidR="00A76552">
        <w:t>лок</w:t>
      </w:r>
      <w:r w:rsidR="003446CC">
        <w:t xml:space="preserve"> № 3</w:t>
      </w:r>
      <w:r w:rsidR="00A76552">
        <w:t xml:space="preserve"> Нововоронежской АЭС</w:t>
      </w:r>
      <w:r w:rsidR="003446CC">
        <w:t xml:space="preserve">; 2018 -  блок № 4 Нововоронежской АЭС. </w:t>
      </w:r>
      <w:r w:rsidR="00A76552">
        <w:t xml:space="preserve"> </w:t>
      </w:r>
    </w:p>
    <w:p w:rsidR="00A57179" w:rsidRDefault="00D73FCA" w:rsidP="00EE1A61">
      <w:pPr>
        <w:ind w:firstLine="709"/>
        <w:jc w:val="both"/>
      </w:pPr>
      <w:r>
        <w:t xml:space="preserve">По </w:t>
      </w:r>
      <w:r w:rsidR="00A57179">
        <w:t xml:space="preserve"> </w:t>
      </w:r>
      <w:r>
        <w:t xml:space="preserve">прогнозу </w:t>
      </w:r>
      <w:r w:rsidR="00A57179">
        <w:t>Минэнерго 2012</w:t>
      </w:r>
      <w:r>
        <w:t xml:space="preserve"> планировалось вывести из эксплуатации энергоблоки АЭС мощностью </w:t>
      </w:r>
      <w:r w:rsidRPr="00D73FCA">
        <w:rPr>
          <w:b/>
        </w:rPr>
        <w:t>3,27 ГВт</w:t>
      </w:r>
      <w:r w:rsidR="00A57179" w:rsidRPr="00D73FCA">
        <w:rPr>
          <w:b/>
        </w:rPr>
        <w:t>:</w:t>
      </w:r>
    </w:p>
    <w:p w:rsidR="00A57179" w:rsidRDefault="00A57179" w:rsidP="00EE1A61">
      <w:pPr>
        <w:ind w:firstLine="709"/>
        <w:jc w:val="both"/>
      </w:pPr>
      <w:r>
        <w:t>- ОЭС Северо-Запада: энергоблок №1 и №2 Ленинградской АЭС</w:t>
      </w:r>
      <w:r w:rsidR="00D73FCA">
        <w:t xml:space="preserve"> (2*1000 МВт)</w:t>
      </w:r>
      <w:r w:rsidR="00D73FCA" w:rsidRPr="00A81F9F">
        <w:t xml:space="preserve"> </w:t>
      </w:r>
      <w:r>
        <w:t xml:space="preserve"> </w:t>
      </w:r>
      <w:r w:rsidR="00D73FCA">
        <w:t xml:space="preserve">и </w:t>
      </w:r>
      <w:r w:rsidRPr="00A81F9F">
        <w:t>энергоблок</w:t>
      </w:r>
      <w:r>
        <w:t xml:space="preserve"> №1 Кольской АЭС (440 МВт);</w:t>
      </w:r>
    </w:p>
    <w:p w:rsidR="00B958BD" w:rsidRDefault="00A57179" w:rsidP="00B958BD">
      <w:pPr>
        <w:ind w:firstLine="709"/>
        <w:jc w:val="both"/>
      </w:pPr>
      <w:r>
        <w:t xml:space="preserve">- </w:t>
      </w:r>
      <w:r w:rsidR="00D73FCA">
        <w:t xml:space="preserve"> </w:t>
      </w:r>
      <w:r w:rsidR="00D73FCA" w:rsidRPr="00A81F9F">
        <w:t>в ОЭС Центра</w:t>
      </w:r>
      <w:r w:rsidR="00D73FCA">
        <w:t>:</w:t>
      </w:r>
      <w:r w:rsidR="00D73FCA" w:rsidRPr="00A81F9F">
        <w:t xml:space="preserve"> </w:t>
      </w:r>
      <w:r w:rsidR="00D73FCA">
        <w:t xml:space="preserve">только </w:t>
      </w:r>
      <w:r w:rsidR="00D73FCA" w:rsidRPr="00A81F9F">
        <w:t>энергоблок</w:t>
      </w:r>
      <w:r w:rsidR="00D73FCA">
        <w:t>и</w:t>
      </w:r>
      <w:r w:rsidR="00D73FCA" w:rsidRPr="00A81F9F">
        <w:t xml:space="preserve"> № 3 и 4 на Нововоронежской АЭС (2*417 МВт)</w:t>
      </w:r>
      <w:r w:rsidR="00D73FCA">
        <w:t>.</w:t>
      </w:r>
    </w:p>
    <w:p w:rsidR="00B958BD" w:rsidRDefault="00B958BD" w:rsidP="00FA612A">
      <w:pPr>
        <w:jc w:val="both"/>
      </w:pPr>
    </w:p>
    <w:p w:rsidR="00D73FCA" w:rsidRDefault="00D73FCA" w:rsidP="00D73FCA">
      <w:pPr>
        <w:ind w:firstLine="709"/>
        <w:jc w:val="both"/>
      </w:pPr>
      <w:r>
        <w:t xml:space="preserve">Разница между прогнозами Минэнерго 2012 и 2013 составляет </w:t>
      </w:r>
      <w:r w:rsidRPr="00D73FCA">
        <w:rPr>
          <w:b/>
        </w:rPr>
        <w:t>5 ГВт.</w:t>
      </w:r>
    </w:p>
    <w:p w:rsidR="00B958BD" w:rsidRDefault="00B958BD" w:rsidP="00EE1A61">
      <w:pPr>
        <w:ind w:firstLine="709"/>
        <w:jc w:val="both"/>
      </w:pPr>
    </w:p>
    <w:p w:rsidR="00B958BD" w:rsidRPr="00B958BD" w:rsidRDefault="00E46BB4" w:rsidP="00EE1A61">
      <w:pPr>
        <w:ind w:firstLine="709"/>
        <w:jc w:val="both"/>
      </w:pPr>
      <w:r>
        <w:t>В прогнозе СПЭ 2012</w:t>
      </w:r>
      <w:r w:rsidR="002F580D">
        <w:t xml:space="preserve"> </w:t>
      </w:r>
      <w:r>
        <w:t xml:space="preserve"> объем вывода из эксплуатации </w:t>
      </w:r>
      <w:r w:rsidR="00C60356">
        <w:t xml:space="preserve">энергоблоков АЭС определен </w:t>
      </w:r>
      <w:r>
        <w:t xml:space="preserve">в размере </w:t>
      </w:r>
      <w:r w:rsidRPr="00E46BB4">
        <w:rPr>
          <w:b/>
        </w:rPr>
        <w:t>6,27 ГВт.</w:t>
      </w:r>
      <w:r w:rsidR="00C60356">
        <w:rPr>
          <w:b/>
        </w:rPr>
        <w:t xml:space="preserve"> </w:t>
      </w:r>
      <w:r w:rsidR="00B958BD">
        <w:t xml:space="preserve"> Считалось, что </w:t>
      </w:r>
      <w:r w:rsidR="002F580D">
        <w:t xml:space="preserve">в период 2012-2018гг. </w:t>
      </w:r>
    </w:p>
    <w:p w:rsidR="00B958BD" w:rsidRDefault="00B958BD" w:rsidP="00B958BD">
      <w:pPr>
        <w:ind w:firstLine="709"/>
        <w:jc w:val="both"/>
      </w:pPr>
      <w:r>
        <w:t xml:space="preserve">- </w:t>
      </w:r>
      <w:r w:rsidR="00D142E5">
        <w:t xml:space="preserve"> </w:t>
      </w:r>
      <w:r>
        <w:t>ОЭ</w:t>
      </w:r>
      <w:r w:rsidR="00D142E5">
        <w:t xml:space="preserve">С Северо-Запада: энергоблок №1, </w:t>
      </w:r>
      <w:r>
        <w:t>№2</w:t>
      </w:r>
      <w:r w:rsidR="00D142E5">
        <w:t xml:space="preserve"> и №3</w:t>
      </w:r>
      <w:r>
        <w:t xml:space="preserve"> Ленинградской АЭС (2*1000 МВт)</w:t>
      </w:r>
      <w:r w:rsidRPr="00A81F9F">
        <w:t xml:space="preserve"> </w:t>
      </w:r>
      <w:r>
        <w:t xml:space="preserve"> и </w:t>
      </w:r>
      <w:r w:rsidRPr="00A81F9F">
        <w:t>энергоблок</w:t>
      </w:r>
      <w:r>
        <w:t xml:space="preserve"> №1 Кольской АЭС (440 МВт);</w:t>
      </w:r>
    </w:p>
    <w:p w:rsidR="00B958BD" w:rsidRDefault="00B958BD" w:rsidP="00B958BD">
      <w:pPr>
        <w:ind w:firstLine="709"/>
        <w:jc w:val="both"/>
      </w:pPr>
      <w:r>
        <w:t xml:space="preserve">-  </w:t>
      </w:r>
      <w:r w:rsidRPr="00A81F9F">
        <w:t>в ОЭС Центра</w:t>
      </w:r>
      <w:r>
        <w:t>:</w:t>
      </w:r>
      <w:r w:rsidRPr="00A81F9F">
        <w:t xml:space="preserve"> энергоблок</w:t>
      </w:r>
      <w:r>
        <w:t>и</w:t>
      </w:r>
      <w:r w:rsidRPr="00A81F9F">
        <w:t xml:space="preserve"> № 3 и 4 на Нововоронежской АЭС (2*417 МВт)</w:t>
      </w:r>
      <w:r w:rsidR="00D142E5">
        <w:t>,</w:t>
      </w:r>
      <w:r w:rsidR="00D142E5" w:rsidRPr="00D142E5">
        <w:t xml:space="preserve"> </w:t>
      </w:r>
      <w:r w:rsidR="00D142E5">
        <w:t>энергоблоки №1 и №2 на Курской АЭС (2*1000 МВт),</w:t>
      </w:r>
    </w:p>
    <w:p w:rsidR="00DF7D37" w:rsidRDefault="00D142E5" w:rsidP="00552FD3">
      <w:pPr>
        <w:ind w:firstLine="709"/>
        <w:jc w:val="both"/>
      </w:pPr>
      <w:r>
        <w:t xml:space="preserve">Разница между прогнозами Минэнерго 2012 и СПЭ 2012 составляет </w:t>
      </w:r>
      <w:r>
        <w:rPr>
          <w:b/>
        </w:rPr>
        <w:t>3</w:t>
      </w:r>
      <w:r w:rsidRPr="00D73FCA">
        <w:rPr>
          <w:b/>
        </w:rPr>
        <w:t xml:space="preserve"> ГВт.</w:t>
      </w:r>
      <w:r w:rsidR="00DA029B">
        <w:rPr>
          <w:b/>
        </w:rPr>
        <w:t xml:space="preserve"> </w:t>
      </w:r>
      <w:r w:rsidR="00DA029B">
        <w:t>Дополнительно</w:t>
      </w:r>
      <w:r w:rsidR="002F580D">
        <w:t xml:space="preserve"> в СПЭ 2012г.</w:t>
      </w:r>
      <w:r w:rsidR="00DA029B">
        <w:t xml:space="preserve"> предполагался вывод из эксплуатации энергоблока №3 Ленинградской АЭС и энергоблоки №1 и №2 Курской АЭС. </w:t>
      </w:r>
      <w:r w:rsidR="00054723">
        <w:t>При этом</w:t>
      </w:r>
      <w:r w:rsidR="00DA029B">
        <w:t xml:space="preserve"> </w:t>
      </w:r>
      <w:r w:rsidR="00F47728">
        <w:t>принимался</w:t>
      </w:r>
      <w:r w:rsidR="00DA029B">
        <w:t xml:space="preserve"> сценарий</w:t>
      </w:r>
      <w:r w:rsidR="00F47728">
        <w:t xml:space="preserve">, </w:t>
      </w:r>
      <w:r w:rsidR="00DF7D37">
        <w:t xml:space="preserve">который учитывал, </w:t>
      </w:r>
      <w:r w:rsidR="00F47728">
        <w:t>что при достижении  35 лет эксплуатации накопленные напряжения в графитовой кладке реакторов РБМК вызывают необратимые деформации и появление трещин.</w:t>
      </w:r>
      <w:r w:rsidR="00DA029B">
        <w:t xml:space="preserve"> </w:t>
      </w:r>
      <w:r w:rsidR="00552FD3">
        <w:t xml:space="preserve">В результате возникает силовое воздействие на технологические каналы и каналы СУЗ, приводящие к их искривлению. Предельная величина их выработки достигает в пределах 1-4 лет, после чего их эксплуатация невозможна, далее необходимо либо дорогостоящий капитальный ремонт активной зоны с риском высокой радиационной нагрузки на персонал, либо вывод энергоблока из эксплуатации. В прогнозе СПЭ 2012 рассматривался сценарий, когда осуществлялся вывод этих </w:t>
      </w:r>
      <w:r w:rsidR="008A257C">
        <w:t>мощностей из эксплуатации при достижении предельной величины искривления каналов.</w:t>
      </w:r>
      <w:r w:rsidR="00B1552C">
        <w:t xml:space="preserve"> </w:t>
      </w:r>
    </w:p>
    <w:p w:rsidR="00B958BD" w:rsidRDefault="00DF7D37" w:rsidP="00787B21">
      <w:pPr>
        <w:ind w:firstLine="709"/>
        <w:jc w:val="both"/>
      </w:pPr>
      <w:r>
        <w:t>Однако в период 07.2012 – 10.2013гг. был проведен ка</w:t>
      </w:r>
      <w:r w:rsidR="001461F6">
        <w:t>п</w:t>
      </w:r>
      <w:r>
        <w:t>итальный ремонт графитовой кладки блока № 1 Ленинградской АЭС. Он показал возможность восстановлен</w:t>
      </w:r>
      <w:r w:rsidR="001461F6">
        <w:t>П</w:t>
      </w:r>
      <w:r>
        <w:t xml:space="preserve">ия </w:t>
      </w:r>
      <w:r w:rsidR="00903F56">
        <w:t>графитовой кладки</w:t>
      </w:r>
      <w:r w:rsidR="00513392">
        <w:t xml:space="preserve"> до</w:t>
      </w:r>
      <w:r w:rsidR="00142181">
        <w:t xml:space="preserve"> практически полного</w:t>
      </w:r>
      <w:r w:rsidR="00513392">
        <w:t xml:space="preserve"> </w:t>
      </w:r>
      <w:r w:rsidR="00142181">
        <w:t>снятия</w:t>
      </w:r>
      <w:r w:rsidR="00513392">
        <w:t xml:space="preserve"> искривления технол</w:t>
      </w:r>
      <w:r w:rsidR="00142181">
        <w:t xml:space="preserve">огических каналов и каналов СУЗ. Соответственно появляется возможность </w:t>
      </w:r>
      <w:r w:rsidR="00903F56">
        <w:t xml:space="preserve">продления </w:t>
      </w:r>
      <w:r w:rsidR="00142181">
        <w:t>эксплуатации этого энергоблока на</w:t>
      </w:r>
      <w:r w:rsidR="00903F56">
        <w:t xml:space="preserve"> 3-4 лет</w:t>
      </w:r>
      <w:r w:rsidR="00B1552C">
        <w:t>.</w:t>
      </w:r>
      <w:r w:rsidR="00142181">
        <w:t xml:space="preserve"> Технологии, разработанные и внедренные при капитальном ремонте энергоблока № 1 Ленинградской АЭС, являются референтными, </w:t>
      </w:r>
      <w:r w:rsidR="00D819DF">
        <w:t>и могут быть использованы на других энергоблоках с РБМК -1000.</w:t>
      </w:r>
      <w:r w:rsidR="00142181">
        <w:t xml:space="preserve"> </w:t>
      </w:r>
      <w:r w:rsidR="00D819DF">
        <w:t xml:space="preserve">В настоящее время </w:t>
      </w:r>
      <w:r w:rsidR="00513392">
        <w:t xml:space="preserve">Росэнергоатом планирует продлить эксплуатацию </w:t>
      </w:r>
      <w:r w:rsidR="00D819DF">
        <w:t>всех</w:t>
      </w:r>
      <w:r w:rsidR="00513392">
        <w:t xml:space="preserve"> блоков</w:t>
      </w:r>
      <w:r w:rsidR="00D819DF">
        <w:t xml:space="preserve"> РБМК сверх 35-летнего срока </w:t>
      </w:r>
      <w:r w:rsidR="001461F6">
        <w:t>эксплуатации</w:t>
      </w:r>
      <w:r w:rsidR="00513392">
        <w:t xml:space="preserve"> минимум на 3 года.</w:t>
      </w:r>
      <w:r w:rsidR="00054D79">
        <w:t xml:space="preserve"> </w:t>
      </w:r>
      <w:r w:rsidR="001461F6">
        <w:t>П</w:t>
      </w:r>
      <w:r w:rsidR="00054D79">
        <w:t>оэтому реальный объем мощностей АЭС, выводимой из эксплуатации,</w:t>
      </w:r>
      <w:r w:rsidR="007D1E3E">
        <w:t xml:space="preserve"> будет ниже, чем в СПЭ 201</w:t>
      </w:r>
      <w:r w:rsidR="0023471B">
        <w:t>2 и, тем более, Минэнерго 2013г.</w:t>
      </w:r>
      <w:r w:rsidR="007D1E3E">
        <w:t xml:space="preserve"> и</w:t>
      </w:r>
      <w:r w:rsidR="00676B46">
        <w:t>, скорее всего,</w:t>
      </w:r>
      <w:r w:rsidR="007D1E3E">
        <w:t xml:space="preserve"> составит </w:t>
      </w:r>
      <w:r w:rsidR="007D1E3E" w:rsidRPr="007D1E3E">
        <w:rPr>
          <w:b/>
        </w:rPr>
        <w:t>4,27 ГВт</w:t>
      </w:r>
      <w:r w:rsidR="00676B46">
        <w:rPr>
          <w:b/>
        </w:rPr>
        <w:t xml:space="preserve">. </w:t>
      </w:r>
      <w:r w:rsidR="00676B46" w:rsidRPr="00676B46">
        <w:t>Э</w:t>
      </w:r>
      <w:r w:rsidR="007D1E3E" w:rsidRPr="007D1E3E">
        <w:t>нергоблок</w:t>
      </w:r>
      <w:r w:rsidR="00676B46">
        <w:t>и</w:t>
      </w:r>
      <w:r w:rsidR="007D1E3E" w:rsidRPr="007D1E3E">
        <w:t xml:space="preserve"> № </w:t>
      </w:r>
      <w:r w:rsidR="00676B46">
        <w:t xml:space="preserve">3, 4 </w:t>
      </w:r>
      <w:r w:rsidR="007D1E3E" w:rsidRPr="007D1E3E">
        <w:t>Ленинградской АЭС,</w:t>
      </w:r>
      <w:r w:rsidR="00676B46">
        <w:t xml:space="preserve"> энергоблок № 1 Смоленской АЭС, </w:t>
      </w:r>
      <w:r w:rsidR="007D1E3E" w:rsidRPr="007D1E3E">
        <w:t>энергоблок № 1 Курской АЭС</w:t>
      </w:r>
      <w:r w:rsidR="000F3B7A">
        <w:t>, по-видимому,</w:t>
      </w:r>
      <w:r w:rsidR="007D1E3E" w:rsidRPr="007D1E3E">
        <w:t xml:space="preserve"> смогут эксплуатироваться за пределами 2019 г.</w:t>
      </w:r>
    </w:p>
    <w:p w:rsidR="0010769E" w:rsidRPr="0010769E" w:rsidRDefault="0010769E" w:rsidP="00787B21">
      <w:pPr>
        <w:ind w:firstLine="709"/>
        <w:jc w:val="both"/>
      </w:pPr>
      <w:r>
        <w:t xml:space="preserve">Тогда разница в объемах вывода из эксплуатации энергоблоков АЭС по прогнозу Минэнерго 2013 и СПЭ 2013 составит </w:t>
      </w:r>
      <w:r w:rsidRPr="0010769E">
        <w:rPr>
          <w:b/>
        </w:rPr>
        <w:t>4 ГВт</w:t>
      </w:r>
      <w:r>
        <w:rPr>
          <w:b/>
        </w:rPr>
        <w:t>.</w:t>
      </w:r>
    </w:p>
    <w:p w:rsidR="0010769E" w:rsidRPr="00787B21" w:rsidRDefault="0010769E" w:rsidP="00787B21">
      <w:pPr>
        <w:ind w:firstLine="709"/>
        <w:jc w:val="both"/>
      </w:pPr>
    </w:p>
    <w:p w:rsidR="00D73FCA" w:rsidRDefault="00AF1447" w:rsidP="00EE1A61">
      <w:pPr>
        <w:ind w:firstLine="709"/>
        <w:jc w:val="both"/>
      </w:pPr>
      <w:r>
        <w:t>Т</w:t>
      </w:r>
      <w:r w:rsidR="00692213">
        <w:t>ем не менее,</w:t>
      </w:r>
      <w:r w:rsidR="000F3B7A">
        <w:t xml:space="preserve"> в СПЭ 2013 </w:t>
      </w:r>
      <w:r w:rsidR="00692213">
        <w:t xml:space="preserve">принимается </w:t>
      </w:r>
      <w:r w:rsidR="00692213" w:rsidRPr="00787B21">
        <w:rPr>
          <w:b/>
        </w:rPr>
        <w:t>тот же объем</w:t>
      </w:r>
      <w:r w:rsidR="00692213">
        <w:t xml:space="preserve"> вывода из эксплуатации мощностей АЭС и ТЭС, что и в прогноз</w:t>
      </w:r>
      <w:r w:rsidR="000F3B7A">
        <w:t>е</w:t>
      </w:r>
      <w:r w:rsidR="00692213">
        <w:t xml:space="preserve"> Минэнерго </w:t>
      </w:r>
      <w:r w:rsidR="00E57257">
        <w:t>2013. Дополнительные</w:t>
      </w:r>
      <w:r w:rsidR="00692213">
        <w:t xml:space="preserve"> </w:t>
      </w:r>
      <w:r w:rsidR="000F3B7A">
        <w:t>4</w:t>
      </w:r>
      <w:r w:rsidR="00692213">
        <w:t xml:space="preserve"> ГВт</w:t>
      </w:r>
      <w:r w:rsidR="000F3B7A">
        <w:t xml:space="preserve"> АЭС</w:t>
      </w:r>
      <w:r w:rsidR="00692213">
        <w:t xml:space="preserve"> </w:t>
      </w:r>
      <w:r w:rsidR="00E57257">
        <w:t xml:space="preserve">могут </w:t>
      </w:r>
      <w:r w:rsidR="002C10AA">
        <w:t>рассма</w:t>
      </w:r>
      <w:r w:rsidR="00E57257">
        <w:t>тр</w:t>
      </w:r>
      <w:r w:rsidR="002C10AA">
        <w:t>иваться</w:t>
      </w:r>
      <w:r w:rsidR="00911C69">
        <w:t xml:space="preserve"> </w:t>
      </w:r>
      <w:r w:rsidR="00E57257">
        <w:t xml:space="preserve">как </w:t>
      </w:r>
      <w:r w:rsidR="00911C69">
        <w:t>резерв</w:t>
      </w:r>
      <w:r w:rsidR="00CC54C9">
        <w:t xml:space="preserve"> свыше 20,5%</w:t>
      </w:r>
      <w:r w:rsidR="00911C69">
        <w:t xml:space="preserve"> </w:t>
      </w:r>
      <w:r w:rsidR="00E57257">
        <w:t xml:space="preserve">в </w:t>
      </w:r>
      <w:r w:rsidR="00CC54C9">
        <w:t>величине</w:t>
      </w:r>
      <w:r w:rsidR="002C10AA">
        <w:t xml:space="preserve"> располагаемых</w:t>
      </w:r>
      <w:r w:rsidR="00911C69">
        <w:t xml:space="preserve"> мощност</w:t>
      </w:r>
      <w:r w:rsidR="002C10AA">
        <w:t>ей</w:t>
      </w:r>
      <w:r w:rsidR="00911C69">
        <w:t xml:space="preserve"> в ЕЭС России.</w:t>
      </w:r>
    </w:p>
    <w:p w:rsidR="00667369" w:rsidRPr="00C60356" w:rsidRDefault="00667369" w:rsidP="00EE1A61">
      <w:pPr>
        <w:ind w:firstLine="709"/>
        <w:jc w:val="both"/>
      </w:pPr>
    </w:p>
    <w:p w:rsidR="00C60356" w:rsidRDefault="00C60356" w:rsidP="00EE1A61">
      <w:pPr>
        <w:ind w:firstLine="709"/>
        <w:jc w:val="both"/>
      </w:pPr>
    </w:p>
    <w:p w:rsidR="009478DB" w:rsidRPr="00A81F9F" w:rsidRDefault="009478DB" w:rsidP="00EE1A61">
      <w:pPr>
        <w:ind w:firstLine="709"/>
        <w:jc w:val="both"/>
        <w:rPr>
          <w:b/>
          <w:bCs/>
          <w:i/>
          <w:iCs/>
          <w:sz w:val="26"/>
          <w:szCs w:val="26"/>
        </w:rPr>
      </w:pPr>
    </w:p>
    <w:p w:rsidR="009478DB" w:rsidRPr="00A81F9F" w:rsidRDefault="009478DB" w:rsidP="00B569D3">
      <w:pPr>
        <w:pStyle w:val="3"/>
      </w:pPr>
      <w:r w:rsidRPr="00A81F9F">
        <w:br w:type="page"/>
      </w:r>
      <w:bookmarkStart w:id="65" w:name="_Toc370759787"/>
      <w:bookmarkStart w:id="66" w:name="_Toc374557794"/>
      <w:r w:rsidRPr="00A81F9F">
        <w:t xml:space="preserve">5.2. </w:t>
      </w:r>
      <w:r w:rsidR="00BD7131">
        <w:t>Анализ п</w:t>
      </w:r>
      <w:r w:rsidRPr="00A81F9F">
        <w:t>рогноз</w:t>
      </w:r>
      <w:r w:rsidR="00BD7131">
        <w:t>ов</w:t>
      </w:r>
      <w:r w:rsidRPr="00A81F9F">
        <w:t xml:space="preserve"> вводов новых генерирующих мощностей в ЕЭС России по данным Минэнерго </w:t>
      </w:r>
      <w:smartTag w:uri="urn:schemas-microsoft-com:office:smarttags" w:element="metricconverter">
        <w:smartTagPr>
          <w:attr w:name="ProductID" w:val="2011 г"/>
        </w:smartTagPr>
        <w:r w:rsidRPr="00A81F9F">
          <w:t>2011 г</w:t>
        </w:r>
      </w:smartTag>
      <w:r w:rsidRPr="00A81F9F">
        <w:t>., 2012 г</w:t>
      </w:r>
      <w:r w:rsidR="00787B21">
        <w:t>, 2013</w:t>
      </w:r>
      <w:r w:rsidRPr="00A81F9F">
        <w:t xml:space="preserve">. и </w:t>
      </w:r>
      <w:r w:rsidR="00787B21">
        <w:t>СПЭ 2013</w:t>
      </w:r>
      <w:r w:rsidRPr="00A81F9F">
        <w:t xml:space="preserve">г. </w:t>
      </w:r>
      <w:r w:rsidR="00F80151">
        <w:t>в период 201</w:t>
      </w:r>
      <w:r w:rsidR="00787B21">
        <w:t>1</w:t>
      </w:r>
      <w:r w:rsidR="00F80151">
        <w:t>-2019</w:t>
      </w:r>
      <w:r w:rsidRPr="00A81F9F">
        <w:t>гг.</w:t>
      </w:r>
      <w:bookmarkEnd w:id="65"/>
      <w:bookmarkEnd w:id="66"/>
    </w:p>
    <w:p w:rsidR="00D6357D" w:rsidRDefault="00D6357D" w:rsidP="003B07A0">
      <w:pPr>
        <w:ind w:firstLine="709"/>
        <w:jc w:val="both"/>
      </w:pPr>
    </w:p>
    <w:p w:rsidR="00D6357D" w:rsidRDefault="00D6357D" w:rsidP="003B07A0">
      <w:pPr>
        <w:ind w:firstLine="709"/>
        <w:jc w:val="both"/>
      </w:pPr>
      <w:r>
        <w:t>Для</w:t>
      </w:r>
      <w:r w:rsidR="00E7277B">
        <w:t xml:space="preserve"> обоснования прогнозов вводов мощностей ЕЭС по СПЭ 2013 проанализируем эти вводы по прогнозам Минэнерго 2011, 2012</w:t>
      </w:r>
      <w:r w:rsidR="00433F9C">
        <w:t>, 2013</w:t>
      </w:r>
      <w:r w:rsidR="00E7277B">
        <w:t xml:space="preserve">.  </w:t>
      </w:r>
      <w:r w:rsidR="00433F9C">
        <w:rPr>
          <w:u w:val="single"/>
        </w:rPr>
        <w:t>(</w:t>
      </w:r>
      <w:r w:rsidR="00433F9C" w:rsidRPr="00EA3B74">
        <w:rPr>
          <w:u w:val="single"/>
        </w:rPr>
        <w:t>Для справки</w:t>
      </w:r>
      <w:r w:rsidR="00433F9C">
        <w:t xml:space="preserve"> в 2010 г. было введено в эксплуатацию </w:t>
      </w:r>
      <w:r w:rsidR="00433F9C" w:rsidRPr="00802BD5">
        <w:rPr>
          <w:b/>
        </w:rPr>
        <w:t>2,89 ГВт</w:t>
      </w:r>
      <w:r w:rsidR="00433F9C">
        <w:t>.)</w:t>
      </w:r>
    </w:p>
    <w:p w:rsidR="00CA549E" w:rsidRDefault="00CA549E" w:rsidP="00EE1A61">
      <w:pPr>
        <w:ind w:firstLine="709"/>
        <w:jc w:val="both"/>
      </w:pPr>
    </w:p>
    <w:p w:rsidR="009478DB" w:rsidRPr="00A81F9F" w:rsidRDefault="00E7277B" w:rsidP="00E7277B">
      <w:pPr>
        <w:jc w:val="both"/>
      </w:pPr>
      <w:r w:rsidRPr="00E7277B">
        <w:rPr>
          <w:u w:val="single"/>
        </w:rPr>
        <w:t>Прогноз Минэнерго 2011</w:t>
      </w:r>
      <w:r w:rsidR="009E4FB3">
        <w:t>.</w:t>
      </w:r>
      <w:r w:rsidR="009478DB" w:rsidRPr="00A81F9F">
        <w:t xml:space="preserve"> </w:t>
      </w:r>
    </w:p>
    <w:p w:rsidR="00CA549E" w:rsidRDefault="00CA549E" w:rsidP="00EE1A61">
      <w:pPr>
        <w:ind w:firstLine="709"/>
        <w:jc w:val="both"/>
      </w:pPr>
    </w:p>
    <w:p w:rsidR="0068504F" w:rsidRPr="00A81F9F" w:rsidRDefault="0068504F" w:rsidP="0068504F">
      <w:pPr>
        <w:ind w:firstLine="709"/>
        <w:jc w:val="both"/>
      </w:pPr>
      <w:r>
        <w:t>В прогнозе Минэнерго 2011</w:t>
      </w:r>
      <w:r w:rsidRPr="00A81F9F">
        <w:t xml:space="preserve"> г. </w:t>
      </w:r>
      <w:r>
        <w:t>в период 201</w:t>
      </w:r>
      <w:r w:rsidR="00823740">
        <w:t>1</w:t>
      </w:r>
      <w:r>
        <w:t>-201</w:t>
      </w:r>
      <w:r w:rsidR="00823740">
        <w:t>7</w:t>
      </w:r>
      <w:r w:rsidRPr="00A81F9F">
        <w:t xml:space="preserve"> гг. предусмотрены вводы новых генерирующих мощностей в объеме </w:t>
      </w:r>
      <w:r>
        <w:rPr>
          <w:rStyle w:val="af5"/>
          <w:rFonts w:eastAsia="Calibri"/>
          <w:sz w:val="30"/>
        </w:rPr>
        <w:t>41</w:t>
      </w:r>
      <w:r w:rsidR="00823740">
        <w:rPr>
          <w:rStyle w:val="af5"/>
          <w:rFonts w:eastAsia="Calibri"/>
          <w:sz w:val="30"/>
        </w:rPr>
        <w:t>,</w:t>
      </w:r>
      <w:r w:rsidR="004C66F7">
        <w:rPr>
          <w:rStyle w:val="af5"/>
          <w:rFonts w:eastAsia="Calibri"/>
          <w:sz w:val="30"/>
        </w:rPr>
        <w:t>83</w:t>
      </w:r>
      <w:r w:rsidRPr="00A81F9F">
        <w:rPr>
          <w:rStyle w:val="af5"/>
          <w:rFonts w:eastAsia="Calibri"/>
          <w:sz w:val="30"/>
        </w:rPr>
        <w:t xml:space="preserve"> ГВт</w:t>
      </w:r>
      <w:r w:rsidRPr="00A81F9F">
        <w:t xml:space="preserve">, в т.ч. </w:t>
      </w:r>
      <w:r w:rsidR="00823740" w:rsidRPr="00A81F9F">
        <w:t xml:space="preserve">ТЭС – </w:t>
      </w:r>
      <w:r w:rsidR="004C66F7">
        <w:rPr>
          <w:rStyle w:val="af5"/>
          <w:rFonts w:eastAsia="Calibri"/>
          <w:sz w:val="30"/>
        </w:rPr>
        <w:t>26</w:t>
      </w:r>
      <w:r w:rsidR="00823740">
        <w:rPr>
          <w:rStyle w:val="af5"/>
          <w:rFonts w:eastAsia="Calibri"/>
          <w:sz w:val="30"/>
        </w:rPr>
        <w:t>,</w:t>
      </w:r>
      <w:r w:rsidR="004C66F7">
        <w:rPr>
          <w:rStyle w:val="af5"/>
          <w:rFonts w:eastAsia="Calibri"/>
          <w:sz w:val="30"/>
        </w:rPr>
        <w:t>21</w:t>
      </w:r>
      <w:r w:rsidR="00823740" w:rsidRPr="00A81F9F">
        <w:rPr>
          <w:rStyle w:val="af5"/>
          <w:rFonts w:eastAsia="Calibri"/>
          <w:sz w:val="30"/>
        </w:rPr>
        <w:t xml:space="preserve"> ГВт</w:t>
      </w:r>
      <w:r w:rsidR="00823740">
        <w:rPr>
          <w:rStyle w:val="af5"/>
          <w:rFonts w:eastAsia="Calibri"/>
          <w:sz w:val="30"/>
        </w:rPr>
        <w:t>,</w:t>
      </w:r>
      <w:r w:rsidR="00823740">
        <w:rPr>
          <w:rStyle w:val="af5"/>
          <w:rFonts w:eastAsia="Calibri"/>
          <w:sz w:val="30"/>
        </w:rPr>
        <w:br/>
      </w:r>
      <w:r w:rsidRPr="00A81F9F">
        <w:t xml:space="preserve">на АЭС – </w:t>
      </w:r>
      <w:r w:rsidR="00823740">
        <w:rPr>
          <w:rStyle w:val="af5"/>
          <w:rFonts w:eastAsia="Calibri"/>
          <w:sz w:val="30"/>
        </w:rPr>
        <w:t>9,89</w:t>
      </w:r>
      <w:r w:rsidRPr="00A81F9F">
        <w:rPr>
          <w:rStyle w:val="af5"/>
          <w:rFonts w:eastAsia="Calibri"/>
          <w:sz w:val="30"/>
        </w:rPr>
        <w:t xml:space="preserve"> ГВт</w:t>
      </w:r>
      <w:r w:rsidRPr="00A81F9F">
        <w:t xml:space="preserve">, на ГЭС – </w:t>
      </w:r>
      <w:r w:rsidR="00823740">
        <w:rPr>
          <w:rStyle w:val="af5"/>
          <w:rFonts w:eastAsia="Calibri"/>
          <w:sz w:val="30"/>
        </w:rPr>
        <w:t>4,09</w:t>
      </w:r>
      <w:r w:rsidRPr="00A81F9F">
        <w:rPr>
          <w:rStyle w:val="af5"/>
          <w:rFonts w:eastAsia="Calibri"/>
          <w:sz w:val="30"/>
        </w:rPr>
        <w:t xml:space="preserve"> ГВт</w:t>
      </w:r>
      <w:r w:rsidRPr="00A81F9F">
        <w:t xml:space="preserve">, на ГАЭС – </w:t>
      </w:r>
      <w:r w:rsidR="00823740">
        <w:rPr>
          <w:rStyle w:val="af5"/>
          <w:rFonts w:eastAsia="Calibri"/>
          <w:sz w:val="30"/>
        </w:rPr>
        <w:t>0,98</w:t>
      </w:r>
      <w:r w:rsidRPr="00A81F9F">
        <w:rPr>
          <w:rStyle w:val="af5"/>
          <w:rFonts w:eastAsia="Calibri"/>
          <w:sz w:val="30"/>
        </w:rPr>
        <w:t xml:space="preserve"> ГВт</w:t>
      </w:r>
      <w:r w:rsidR="00823740">
        <w:t>,</w:t>
      </w:r>
      <w:r w:rsidRPr="00A81F9F">
        <w:t xml:space="preserve"> </w:t>
      </w:r>
      <w:r w:rsidR="00823740">
        <w:t xml:space="preserve"> и </w:t>
      </w:r>
      <w:r w:rsidRPr="00A81F9F">
        <w:t xml:space="preserve">на </w:t>
      </w:r>
      <w:r w:rsidR="00823740" w:rsidRPr="00823740">
        <w:rPr>
          <w:rStyle w:val="af5"/>
          <w:rFonts w:eastAsia="Calibri"/>
          <w:b w:val="0"/>
          <w:sz w:val="24"/>
        </w:rPr>
        <w:t>ВИЭ</w:t>
      </w:r>
      <w:r w:rsidR="00823740" w:rsidRPr="00823740">
        <w:rPr>
          <w:rStyle w:val="af5"/>
          <w:rFonts w:eastAsia="Calibri"/>
          <w:sz w:val="28"/>
        </w:rPr>
        <w:t xml:space="preserve"> </w:t>
      </w:r>
      <w:r w:rsidR="00823740">
        <w:rPr>
          <w:rStyle w:val="af5"/>
          <w:rFonts w:eastAsia="Calibri"/>
          <w:sz w:val="30"/>
        </w:rPr>
        <w:t>– 0,66 ГВт</w:t>
      </w:r>
      <w:r w:rsidRPr="00A81F9F">
        <w:t>.</w:t>
      </w:r>
    </w:p>
    <w:p w:rsidR="0068504F" w:rsidRDefault="0068504F" w:rsidP="0068504F">
      <w:pPr>
        <w:jc w:val="both"/>
      </w:pPr>
    </w:p>
    <w:p w:rsidR="009E4FB3" w:rsidRDefault="009478DB" w:rsidP="00EE1A61">
      <w:pPr>
        <w:ind w:firstLine="709"/>
        <w:jc w:val="both"/>
      </w:pPr>
      <w:r w:rsidRPr="00A81F9F">
        <w:t xml:space="preserve">Вводы мощности на электростанциях  ОЭС и ЕЭС России, ГВт, по прогнозу Минэнерго 2011г., в период 2011 – 2017гг. </w:t>
      </w:r>
    </w:p>
    <w:p w:rsidR="009478DB" w:rsidRPr="00A81F9F" w:rsidRDefault="009E4FB3" w:rsidP="009E4FB3">
      <w:pPr>
        <w:ind w:firstLine="709"/>
        <w:jc w:val="right"/>
      </w:pPr>
      <w:r>
        <w:t>Таблица 6</w:t>
      </w:r>
      <w:r w:rsidRPr="00A81F9F">
        <w:t>.</w:t>
      </w:r>
    </w:p>
    <w:p w:rsidR="009478DB" w:rsidRPr="00A81F9F" w:rsidRDefault="009478DB" w:rsidP="00EE1A61">
      <w:pPr>
        <w:ind w:firstLine="709"/>
        <w:jc w:val="both"/>
      </w:pPr>
    </w:p>
    <w:tbl>
      <w:tblPr>
        <w:tblW w:w="1080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91"/>
        <w:gridCol w:w="1046"/>
        <w:gridCol w:w="1046"/>
        <w:gridCol w:w="1046"/>
        <w:gridCol w:w="1046"/>
        <w:gridCol w:w="1046"/>
        <w:gridCol w:w="1046"/>
        <w:gridCol w:w="1046"/>
        <w:gridCol w:w="1187"/>
      </w:tblGrid>
      <w:tr w:rsidR="009478DB" w:rsidRPr="00A81F9F" w:rsidTr="00185AE3">
        <w:tc>
          <w:tcPr>
            <w:tcW w:w="2291" w:type="dxa"/>
          </w:tcPr>
          <w:p w:rsidR="009478DB" w:rsidRPr="00A81F9F" w:rsidRDefault="009478DB" w:rsidP="00EE1A61">
            <w:pPr>
              <w:ind w:firstLine="709"/>
              <w:jc w:val="both"/>
              <w:rPr>
                <w:b/>
                <w:bCs/>
              </w:rPr>
            </w:pPr>
          </w:p>
        </w:tc>
        <w:tc>
          <w:tcPr>
            <w:tcW w:w="1046" w:type="dxa"/>
          </w:tcPr>
          <w:p w:rsidR="009478DB" w:rsidRPr="00A81F9F" w:rsidRDefault="009478DB" w:rsidP="00EE1A61">
            <w:pPr>
              <w:jc w:val="center"/>
              <w:rPr>
                <w:b/>
                <w:bCs/>
              </w:rPr>
            </w:pPr>
            <w:r w:rsidRPr="00A81F9F">
              <w:rPr>
                <w:b/>
                <w:bCs/>
              </w:rPr>
              <w:t>2011</w:t>
            </w:r>
          </w:p>
        </w:tc>
        <w:tc>
          <w:tcPr>
            <w:tcW w:w="1046" w:type="dxa"/>
          </w:tcPr>
          <w:p w:rsidR="009478DB" w:rsidRPr="00A81F9F" w:rsidRDefault="009478DB" w:rsidP="00EE1A61">
            <w:pPr>
              <w:jc w:val="center"/>
              <w:rPr>
                <w:b/>
                <w:bCs/>
              </w:rPr>
            </w:pPr>
            <w:r w:rsidRPr="00A81F9F">
              <w:rPr>
                <w:b/>
                <w:bCs/>
              </w:rPr>
              <w:t>2012</w:t>
            </w:r>
          </w:p>
        </w:tc>
        <w:tc>
          <w:tcPr>
            <w:tcW w:w="1046" w:type="dxa"/>
          </w:tcPr>
          <w:p w:rsidR="009478DB" w:rsidRPr="00A81F9F" w:rsidRDefault="009478DB" w:rsidP="00EE1A61">
            <w:pPr>
              <w:jc w:val="center"/>
              <w:rPr>
                <w:b/>
                <w:bCs/>
              </w:rPr>
            </w:pPr>
            <w:r w:rsidRPr="00A81F9F">
              <w:rPr>
                <w:b/>
                <w:bCs/>
              </w:rPr>
              <w:t>2013</w:t>
            </w:r>
          </w:p>
        </w:tc>
        <w:tc>
          <w:tcPr>
            <w:tcW w:w="1046" w:type="dxa"/>
          </w:tcPr>
          <w:p w:rsidR="009478DB" w:rsidRPr="00A81F9F" w:rsidRDefault="009478DB" w:rsidP="00EE1A61">
            <w:pPr>
              <w:jc w:val="center"/>
              <w:rPr>
                <w:b/>
                <w:bCs/>
              </w:rPr>
            </w:pPr>
            <w:r w:rsidRPr="00A81F9F">
              <w:rPr>
                <w:b/>
                <w:bCs/>
              </w:rPr>
              <w:t>2014</w:t>
            </w:r>
          </w:p>
        </w:tc>
        <w:tc>
          <w:tcPr>
            <w:tcW w:w="1046" w:type="dxa"/>
          </w:tcPr>
          <w:p w:rsidR="009478DB" w:rsidRPr="00A81F9F" w:rsidRDefault="009478DB" w:rsidP="00EE1A61">
            <w:pPr>
              <w:jc w:val="center"/>
              <w:rPr>
                <w:b/>
                <w:bCs/>
              </w:rPr>
            </w:pPr>
            <w:r w:rsidRPr="00A81F9F">
              <w:rPr>
                <w:b/>
                <w:bCs/>
              </w:rPr>
              <w:t>2015</w:t>
            </w:r>
          </w:p>
        </w:tc>
        <w:tc>
          <w:tcPr>
            <w:tcW w:w="1046" w:type="dxa"/>
          </w:tcPr>
          <w:p w:rsidR="009478DB" w:rsidRPr="00A81F9F" w:rsidRDefault="009478DB" w:rsidP="00EE1A61">
            <w:pPr>
              <w:jc w:val="center"/>
              <w:rPr>
                <w:b/>
                <w:bCs/>
              </w:rPr>
            </w:pPr>
            <w:r w:rsidRPr="00A81F9F">
              <w:rPr>
                <w:b/>
                <w:bCs/>
              </w:rPr>
              <w:t>2016</w:t>
            </w:r>
          </w:p>
        </w:tc>
        <w:tc>
          <w:tcPr>
            <w:tcW w:w="1046" w:type="dxa"/>
          </w:tcPr>
          <w:p w:rsidR="009478DB" w:rsidRPr="00A81F9F" w:rsidRDefault="009478DB" w:rsidP="00EE1A61">
            <w:pPr>
              <w:jc w:val="center"/>
              <w:rPr>
                <w:b/>
                <w:bCs/>
              </w:rPr>
            </w:pPr>
            <w:r w:rsidRPr="00A81F9F">
              <w:rPr>
                <w:b/>
                <w:bCs/>
              </w:rPr>
              <w:t>2017</w:t>
            </w:r>
          </w:p>
        </w:tc>
        <w:tc>
          <w:tcPr>
            <w:tcW w:w="1187" w:type="dxa"/>
          </w:tcPr>
          <w:p w:rsidR="009478DB" w:rsidRPr="00A81F9F" w:rsidRDefault="009478DB" w:rsidP="00EE1A61">
            <w:pPr>
              <w:jc w:val="center"/>
              <w:rPr>
                <w:b/>
                <w:bCs/>
              </w:rPr>
            </w:pPr>
            <w:r w:rsidRPr="00A81F9F">
              <w:rPr>
                <w:b/>
                <w:bCs/>
              </w:rPr>
              <w:t>Всего за 2011 – 2017гг.</w:t>
            </w:r>
          </w:p>
        </w:tc>
      </w:tr>
      <w:tr w:rsidR="009478DB" w:rsidRPr="00A81F9F" w:rsidTr="00185AE3">
        <w:tc>
          <w:tcPr>
            <w:tcW w:w="2291" w:type="dxa"/>
          </w:tcPr>
          <w:p w:rsidR="009478DB" w:rsidRPr="00A81F9F" w:rsidRDefault="009478DB" w:rsidP="00EE1A61">
            <w:pPr>
              <w:jc w:val="both"/>
              <w:rPr>
                <w:b/>
                <w:bCs/>
              </w:rPr>
            </w:pPr>
            <w:r w:rsidRPr="00A81F9F">
              <w:rPr>
                <w:b/>
                <w:bCs/>
              </w:rPr>
              <w:t>ЕЭС России с высокой вероятностью реализации</w:t>
            </w:r>
          </w:p>
        </w:tc>
        <w:tc>
          <w:tcPr>
            <w:tcW w:w="1046" w:type="dxa"/>
          </w:tcPr>
          <w:p w:rsidR="009478DB" w:rsidRPr="00A81F9F" w:rsidRDefault="009478DB" w:rsidP="00EE1A61">
            <w:pPr>
              <w:jc w:val="center"/>
              <w:rPr>
                <w:b/>
                <w:bCs/>
              </w:rPr>
            </w:pPr>
            <w:r w:rsidRPr="00A81F9F">
              <w:rPr>
                <w:b/>
                <w:bCs/>
              </w:rPr>
              <w:t>7,66</w:t>
            </w:r>
          </w:p>
        </w:tc>
        <w:tc>
          <w:tcPr>
            <w:tcW w:w="1046" w:type="dxa"/>
          </w:tcPr>
          <w:p w:rsidR="009478DB" w:rsidRPr="00A81F9F" w:rsidRDefault="009478DB" w:rsidP="00EE1A61">
            <w:pPr>
              <w:jc w:val="center"/>
              <w:rPr>
                <w:b/>
                <w:bCs/>
              </w:rPr>
            </w:pPr>
            <w:r w:rsidRPr="00A81F9F">
              <w:rPr>
                <w:b/>
                <w:bCs/>
              </w:rPr>
              <w:t>5,84</w:t>
            </w:r>
          </w:p>
        </w:tc>
        <w:tc>
          <w:tcPr>
            <w:tcW w:w="1046" w:type="dxa"/>
          </w:tcPr>
          <w:p w:rsidR="009478DB" w:rsidRPr="00A81F9F" w:rsidRDefault="009478DB" w:rsidP="00EE1A61">
            <w:pPr>
              <w:jc w:val="center"/>
              <w:rPr>
                <w:b/>
                <w:bCs/>
              </w:rPr>
            </w:pPr>
            <w:r w:rsidRPr="00A81F9F">
              <w:rPr>
                <w:b/>
                <w:bCs/>
              </w:rPr>
              <w:t>6,53</w:t>
            </w:r>
          </w:p>
        </w:tc>
        <w:tc>
          <w:tcPr>
            <w:tcW w:w="1046" w:type="dxa"/>
          </w:tcPr>
          <w:p w:rsidR="009478DB" w:rsidRPr="00A81F9F" w:rsidRDefault="009478DB" w:rsidP="00EE1A61">
            <w:pPr>
              <w:jc w:val="center"/>
              <w:rPr>
                <w:b/>
                <w:bCs/>
              </w:rPr>
            </w:pPr>
            <w:r w:rsidRPr="00A81F9F">
              <w:rPr>
                <w:b/>
                <w:bCs/>
              </w:rPr>
              <w:t>8,58</w:t>
            </w:r>
          </w:p>
        </w:tc>
        <w:tc>
          <w:tcPr>
            <w:tcW w:w="1046" w:type="dxa"/>
          </w:tcPr>
          <w:p w:rsidR="009478DB" w:rsidRPr="00A81F9F" w:rsidRDefault="009478DB" w:rsidP="00EE1A61">
            <w:pPr>
              <w:jc w:val="center"/>
              <w:rPr>
                <w:b/>
                <w:bCs/>
              </w:rPr>
            </w:pPr>
            <w:r w:rsidRPr="00A81F9F">
              <w:rPr>
                <w:b/>
                <w:bCs/>
              </w:rPr>
              <w:t>7,98</w:t>
            </w:r>
          </w:p>
        </w:tc>
        <w:tc>
          <w:tcPr>
            <w:tcW w:w="1046" w:type="dxa"/>
          </w:tcPr>
          <w:p w:rsidR="009478DB" w:rsidRPr="00A81F9F" w:rsidRDefault="009478DB" w:rsidP="00EE1A61">
            <w:pPr>
              <w:jc w:val="center"/>
              <w:rPr>
                <w:b/>
                <w:bCs/>
              </w:rPr>
            </w:pPr>
            <w:r w:rsidRPr="00A81F9F">
              <w:rPr>
                <w:b/>
                <w:bCs/>
              </w:rPr>
              <w:t>3,31</w:t>
            </w:r>
          </w:p>
        </w:tc>
        <w:tc>
          <w:tcPr>
            <w:tcW w:w="1046" w:type="dxa"/>
          </w:tcPr>
          <w:p w:rsidR="009478DB" w:rsidRPr="00A81F9F" w:rsidRDefault="009478DB" w:rsidP="00EE1A61">
            <w:pPr>
              <w:jc w:val="center"/>
              <w:rPr>
                <w:b/>
                <w:bCs/>
              </w:rPr>
            </w:pPr>
            <w:r w:rsidRPr="00A81F9F">
              <w:rPr>
                <w:b/>
                <w:bCs/>
              </w:rPr>
              <w:t>1,27</w:t>
            </w:r>
          </w:p>
        </w:tc>
        <w:tc>
          <w:tcPr>
            <w:tcW w:w="1187" w:type="dxa"/>
          </w:tcPr>
          <w:p w:rsidR="009478DB" w:rsidRPr="00A81F9F" w:rsidRDefault="009478DB" w:rsidP="00EE1A61">
            <w:pPr>
              <w:rPr>
                <w:rStyle w:val="af5"/>
                <w:rFonts w:eastAsia="Calibri"/>
                <w:sz w:val="30"/>
              </w:rPr>
            </w:pPr>
            <w:r w:rsidRPr="00A81F9F">
              <w:rPr>
                <w:rStyle w:val="af5"/>
                <w:rFonts w:eastAsia="Calibri"/>
                <w:sz w:val="30"/>
              </w:rPr>
              <w:t>41,17</w:t>
            </w:r>
          </w:p>
        </w:tc>
      </w:tr>
      <w:tr w:rsidR="009478DB" w:rsidRPr="00A81F9F" w:rsidTr="00185AE3">
        <w:tc>
          <w:tcPr>
            <w:tcW w:w="2291" w:type="dxa"/>
          </w:tcPr>
          <w:p w:rsidR="009478DB" w:rsidRPr="00A81F9F" w:rsidRDefault="009478DB" w:rsidP="00EE1A61">
            <w:pPr>
              <w:jc w:val="both"/>
              <w:rPr>
                <w:b/>
                <w:bCs/>
              </w:rPr>
            </w:pPr>
            <w:r w:rsidRPr="00A81F9F">
              <w:rPr>
                <w:b/>
                <w:bCs/>
              </w:rPr>
              <w:t>АЭС</w:t>
            </w:r>
          </w:p>
        </w:tc>
        <w:tc>
          <w:tcPr>
            <w:tcW w:w="1046" w:type="dxa"/>
          </w:tcPr>
          <w:p w:rsidR="009478DB" w:rsidRPr="00A81F9F" w:rsidRDefault="009478DB" w:rsidP="00EE1A61">
            <w:pPr>
              <w:jc w:val="center"/>
            </w:pPr>
            <w:r w:rsidRPr="00A81F9F">
              <w:t>1,0</w:t>
            </w:r>
          </w:p>
        </w:tc>
        <w:tc>
          <w:tcPr>
            <w:tcW w:w="1046" w:type="dxa"/>
          </w:tcPr>
          <w:p w:rsidR="009478DB" w:rsidRPr="00A81F9F" w:rsidRDefault="009478DB" w:rsidP="00EE1A61">
            <w:pPr>
              <w:jc w:val="center"/>
            </w:pPr>
          </w:p>
        </w:tc>
        <w:tc>
          <w:tcPr>
            <w:tcW w:w="1046" w:type="dxa"/>
          </w:tcPr>
          <w:p w:rsidR="009478DB" w:rsidRPr="00A81F9F" w:rsidRDefault="009478DB" w:rsidP="00EE1A61">
            <w:pPr>
              <w:jc w:val="center"/>
            </w:pPr>
            <w:r w:rsidRPr="00A81F9F">
              <w:t>1,18</w:t>
            </w:r>
          </w:p>
        </w:tc>
        <w:tc>
          <w:tcPr>
            <w:tcW w:w="1046" w:type="dxa"/>
          </w:tcPr>
          <w:p w:rsidR="009478DB" w:rsidRPr="00A81F9F" w:rsidRDefault="009478DB" w:rsidP="00EE1A61">
            <w:pPr>
              <w:jc w:val="center"/>
            </w:pPr>
            <w:r w:rsidRPr="00A81F9F">
              <w:t>3,13</w:t>
            </w:r>
          </w:p>
        </w:tc>
        <w:tc>
          <w:tcPr>
            <w:tcW w:w="1046" w:type="dxa"/>
          </w:tcPr>
          <w:p w:rsidR="009478DB" w:rsidRPr="00A81F9F" w:rsidRDefault="009478DB" w:rsidP="00EE1A61">
            <w:pPr>
              <w:jc w:val="center"/>
            </w:pPr>
            <w:r w:rsidRPr="00A81F9F">
              <w:t>1,18</w:t>
            </w:r>
          </w:p>
        </w:tc>
        <w:tc>
          <w:tcPr>
            <w:tcW w:w="1046" w:type="dxa"/>
          </w:tcPr>
          <w:p w:rsidR="009478DB" w:rsidRPr="00A81F9F" w:rsidRDefault="009478DB" w:rsidP="00EE1A61">
            <w:pPr>
              <w:jc w:val="center"/>
            </w:pPr>
            <w:r w:rsidRPr="00A81F9F">
              <w:t>2,33</w:t>
            </w:r>
          </w:p>
        </w:tc>
        <w:tc>
          <w:tcPr>
            <w:tcW w:w="1046" w:type="dxa"/>
          </w:tcPr>
          <w:p w:rsidR="009478DB" w:rsidRPr="00A81F9F" w:rsidRDefault="009478DB" w:rsidP="00EE1A61">
            <w:pPr>
              <w:jc w:val="center"/>
            </w:pPr>
            <w:r w:rsidRPr="00A81F9F">
              <w:t>1,07</w:t>
            </w:r>
          </w:p>
        </w:tc>
        <w:tc>
          <w:tcPr>
            <w:tcW w:w="1187" w:type="dxa"/>
          </w:tcPr>
          <w:p w:rsidR="009478DB" w:rsidRPr="00A81F9F" w:rsidRDefault="009478DB" w:rsidP="00EE1A61">
            <w:pPr>
              <w:jc w:val="center"/>
            </w:pPr>
            <w:r w:rsidRPr="00A81F9F">
              <w:t>9,89</w:t>
            </w:r>
          </w:p>
        </w:tc>
      </w:tr>
      <w:tr w:rsidR="009478DB" w:rsidRPr="00A81F9F" w:rsidTr="00185AE3">
        <w:tc>
          <w:tcPr>
            <w:tcW w:w="2291" w:type="dxa"/>
          </w:tcPr>
          <w:p w:rsidR="009478DB" w:rsidRPr="00A81F9F" w:rsidRDefault="009478DB" w:rsidP="00EE1A61">
            <w:pPr>
              <w:jc w:val="both"/>
              <w:rPr>
                <w:b/>
                <w:bCs/>
              </w:rPr>
            </w:pPr>
            <w:r w:rsidRPr="00A81F9F">
              <w:rPr>
                <w:b/>
                <w:bCs/>
              </w:rPr>
              <w:t>ГЭС</w:t>
            </w:r>
          </w:p>
        </w:tc>
        <w:tc>
          <w:tcPr>
            <w:tcW w:w="1046" w:type="dxa"/>
          </w:tcPr>
          <w:p w:rsidR="009478DB" w:rsidRPr="00A81F9F" w:rsidRDefault="009478DB" w:rsidP="00EE1A61">
            <w:pPr>
              <w:jc w:val="center"/>
            </w:pPr>
          </w:p>
        </w:tc>
        <w:tc>
          <w:tcPr>
            <w:tcW w:w="1046" w:type="dxa"/>
          </w:tcPr>
          <w:p w:rsidR="009478DB" w:rsidRPr="00A81F9F" w:rsidRDefault="009478DB" w:rsidP="00EE1A61">
            <w:pPr>
              <w:jc w:val="center"/>
            </w:pPr>
            <w:r w:rsidRPr="00A81F9F">
              <w:t>2,0</w:t>
            </w:r>
          </w:p>
        </w:tc>
        <w:tc>
          <w:tcPr>
            <w:tcW w:w="1046" w:type="dxa"/>
          </w:tcPr>
          <w:p w:rsidR="009478DB" w:rsidRPr="00A81F9F" w:rsidRDefault="009478DB" w:rsidP="00EE1A61">
            <w:pPr>
              <w:jc w:val="center"/>
            </w:pPr>
            <w:r w:rsidRPr="00A81F9F">
              <w:t>1,44</w:t>
            </w:r>
          </w:p>
        </w:tc>
        <w:tc>
          <w:tcPr>
            <w:tcW w:w="1046" w:type="dxa"/>
          </w:tcPr>
          <w:p w:rsidR="009478DB" w:rsidRPr="00A81F9F" w:rsidRDefault="009478DB" w:rsidP="00EE1A61">
            <w:pPr>
              <w:jc w:val="center"/>
            </w:pPr>
            <w:r w:rsidRPr="00A81F9F">
              <w:t>0,16</w:t>
            </w:r>
          </w:p>
        </w:tc>
        <w:tc>
          <w:tcPr>
            <w:tcW w:w="1046" w:type="dxa"/>
          </w:tcPr>
          <w:p w:rsidR="009478DB" w:rsidRPr="00A81F9F" w:rsidRDefault="009478DB" w:rsidP="00EE1A61">
            <w:pPr>
              <w:jc w:val="center"/>
            </w:pPr>
            <w:r w:rsidRPr="00A81F9F">
              <w:t>0,40</w:t>
            </w:r>
          </w:p>
        </w:tc>
        <w:tc>
          <w:tcPr>
            <w:tcW w:w="1046" w:type="dxa"/>
          </w:tcPr>
          <w:p w:rsidR="009478DB" w:rsidRPr="00A81F9F" w:rsidRDefault="009478DB" w:rsidP="00EE1A61">
            <w:pPr>
              <w:jc w:val="center"/>
            </w:pPr>
          </w:p>
        </w:tc>
        <w:tc>
          <w:tcPr>
            <w:tcW w:w="1046" w:type="dxa"/>
          </w:tcPr>
          <w:p w:rsidR="009478DB" w:rsidRPr="00A81F9F" w:rsidRDefault="009478DB" w:rsidP="00EE1A61">
            <w:pPr>
              <w:jc w:val="center"/>
            </w:pPr>
            <w:r w:rsidRPr="00A81F9F">
              <w:t>0,09</w:t>
            </w:r>
          </w:p>
        </w:tc>
        <w:tc>
          <w:tcPr>
            <w:tcW w:w="1187" w:type="dxa"/>
          </w:tcPr>
          <w:p w:rsidR="009478DB" w:rsidRPr="00A81F9F" w:rsidRDefault="009478DB" w:rsidP="00EE1A61">
            <w:pPr>
              <w:jc w:val="center"/>
            </w:pPr>
            <w:r w:rsidRPr="00A81F9F">
              <w:t>4,09</w:t>
            </w:r>
          </w:p>
        </w:tc>
      </w:tr>
      <w:tr w:rsidR="009478DB" w:rsidRPr="00A81F9F" w:rsidTr="00185AE3">
        <w:trPr>
          <w:trHeight w:val="264"/>
        </w:trPr>
        <w:tc>
          <w:tcPr>
            <w:tcW w:w="2291" w:type="dxa"/>
          </w:tcPr>
          <w:p w:rsidR="009478DB" w:rsidRPr="00A81F9F" w:rsidRDefault="009478DB" w:rsidP="00EE1A61">
            <w:pPr>
              <w:jc w:val="both"/>
              <w:rPr>
                <w:b/>
                <w:bCs/>
              </w:rPr>
            </w:pPr>
            <w:r w:rsidRPr="00A81F9F">
              <w:rPr>
                <w:b/>
                <w:bCs/>
              </w:rPr>
              <w:t>ГАЭС</w:t>
            </w:r>
          </w:p>
        </w:tc>
        <w:tc>
          <w:tcPr>
            <w:tcW w:w="1046" w:type="dxa"/>
          </w:tcPr>
          <w:p w:rsidR="009478DB" w:rsidRPr="00A81F9F" w:rsidRDefault="009478DB" w:rsidP="00EE1A61">
            <w:pPr>
              <w:jc w:val="center"/>
            </w:pPr>
          </w:p>
        </w:tc>
        <w:tc>
          <w:tcPr>
            <w:tcW w:w="1046" w:type="dxa"/>
          </w:tcPr>
          <w:p w:rsidR="009478DB" w:rsidRPr="00A81F9F" w:rsidRDefault="009478DB" w:rsidP="00EE1A61">
            <w:pPr>
              <w:jc w:val="center"/>
            </w:pPr>
            <w:r w:rsidRPr="00A81F9F">
              <w:t>0,42</w:t>
            </w:r>
          </w:p>
        </w:tc>
        <w:tc>
          <w:tcPr>
            <w:tcW w:w="1046" w:type="dxa"/>
          </w:tcPr>
          <w:p w:rsidR="009478DB" w:rsidRPr="00A81F9F" w:rsidRDefault="009478DB" w:rsidP="00EE1A61">
            <w:pPr>
              <w:jc w:val="center"/>
            </w:pPr>
            <w:r w:rsidRPr="00A81F9F">
              <w:t>0,35</w:t>
            </w:r>
          </w:p>
        </w:tc>
        <w:tc>
          <w:tcPr>
            <w:tcW w:w="1046" w:type="dxa"/>
          </w:tcPr>
          <w:p w:rsidR="009478DB" w:rsidRPr="00A81F9F" w:rsidRDefault="009478DB" w:rsidP="00EE1A61">
            <w:pPr>
              <w:jc w:val="center"/>
            </w:pPr>
            <w:r w:rsidRPr="00A81F9F">
              <w:t>0,21</w:t>
            </w:r>
          </w:p>
        </w:tc>
        <w:tc>
          <w:tcPr>
            <w:tcW w:w="1046" w:type="dxa"/>
          </w:tcPr>
          <w:p w:rsidR="009478DB" w:rsidRPr="00A81F9F" w:rsidRDefault="009478DB" w:rsidP="00EE1A61">
            <w:pPr>
              <w:jc w:val="center"/>
            </w:pPr>
          </w:p>
        </w:tc>
        <w:tc>
          <w:tcPr>
            <w:tcW w:w="1046" w:type="dxa"/>
          </w:tcPr>
          <w:p w:rsidR="009478DB" w:rsidRPr="00A81F9F" w:rsidRDefault="009478DB" w:rsidP="00EE1A61">
            <w:pPr>
              <w:jc w:val="center"/>
            </w:pPr>
          </w:p>
        </w:tc>
        <w:tc>
          <w:tcPr>
            <w:tcW w:w="1046" w:type="dxa"/>
          </w:tcPr>
          <w:p w:rsidR="009478DB" w:rsidRPr="00A81F9F" w:rsidRDefault="009478DB" w:rsidP="00EE1A61">
            <w:pPr>
              <w:jc w:val="center"/>
            </w:pPr>
          </w:p>
        </w:tc>
        <w:tc>
          <w:tcPr>
            <w:tcW w:w="1187" w:type="dxa"/>
          </w:tcPr>
          <w:p w:rsidR="009478DB" w:rsidRPr="00A81F9F" w:rsidRDefault="009478DB" w:rsidP="00EE1A61">
            <w:pPr>
              <w:jc w:val="center"/>
            </w:pPr>
            <w:r w:rsidRPr="00A81F9F">
              <w:t>0,98</w:t>
            </w:r>
          </w:p>
        </w:tc>
      </w:tr>
      <w:tr w:rsidR="009478DB" w:rsidRPr="00A81F9F" w:rsidTr="00185AE3">
        <w:tc>
          <w:tcPr>
            <w:tcW w:w="2291" w:type="dxa"/>
          </w:tcPr>
          <w:p w:rsidR="009478DB" w:rsidRPr="00A81F9F" w:rsidRDefault="009478DB" w:rsidP="00EE1A61">
            <w:pPr>
              <w:jc w:val="both"/>
              <w:rPr>
                <w:b/>
                <w:bCs/>
              </w:rPr>
            </w:pPr>
            <w:r w:rsidRPr="00A81F9F">
              <w:rPr>
                <w:b/>
                <w:bCs/>
              </w:rPr>
              <w:t>ТЭС</w:t>
            </w:r>
          </w:p>
        </w:tc>
        <w:tc>
          <w:tcPr>
            <w:tcW w:w="1046" w:type="dxa"/>
          </w:tcPr>
          <w:p w:rsidR="009478DB" w:rsidRPr="00A81F9F" w:rsidRDefault="009478DB" w:rsidP="00EE1A61">
            <w:pPr>
              <w:jc w:val="center"/>
            </w:pPr>
            <w:r w:rsidRPr="00A81F9F">
              <w:t>6,66</w:t>
            </w:r>
          </w:p>
        </w:tc>
        <w:tc>
          <w:tcPr>
            <w:tcW w:w="1046" w:type="dxa"/>
          </w:tcPr>
          <w:p w:rsidR="009478DB" w:rsidRPr="00A81F9F" w:rsidRDefault="009478DB" w:rsidP="00EE1A61">
            <w:pPr>
              <w:jc w:val="center"/>
            </w:pPr>
            <w:r w:rsidRPr="00A81F9F">
              <w:t>3,42</w:t>
            </w:r>
          </w:p>
        </w:tc>
        <w:tc>
          <w:tcPr>
            <w:tcW w:w="1046" w:type="dxa"/>
          </w:tcPr>
          <w:p w:rsidR="009478DB" w:rsidRPr="00A81F9F" w:rsidRDefault="009478DB" w:rsidP="00EE1A61">
            <w:pPr>
              <w:jc w:val="center"/>
            </w:pPr>
            <w:r w:rsidRPr="00A81F9F">
              <w:t>3,56</w:t>
            </w:r>
          </w:p>
        </w:tc>
        <w:tc>
          <w:tcPr>
            <w:tcW w:w="1046" w:type="dxa"/>
          </w:tcPr>
          <w:p w:rsidR="009478DB" w:rsidRPr="00A81F9F" w:rsidRDefault="009478DB" w:rsidP="00EE1A61">
            <w:pPr>
              <w:jc w:val="center"/>
            </w:pPr>
            <w:r w:rsidRPr="00A81F9F">
              <w:t>5,08</w:t>
            </w:r>
          </w:p>
        </w:tc>
        <w:tc>
          <w:tcPr>
            <w:tcW w:w="1046" w:type="dxa"/>
          </w:tcPr>
          <w:p w:rsidR="009478DB" w:rsidRPr="00A81F9F" w:rsidRDefault="009478DB" w:rsidP="00EE1A61">
            <w:pPr>
              <w:jc w:val="center"/>
            </w:pPr>
            <w:r w:rsidRPr="00A81F9F">
              <w:t>6,40</w:t>
            </w:r>
          </w:p>
        </w:tc>
        <w:tc>
          <w:tcPr>
            <w:tcW w:w="1046" w:type="dxa"/>
          </w:tcPr>
          <w:p w:rsidR="009478DB" w:rsidRPr="00A81F9F" w:rsidRDefault="009478DB" w:rsidP="00EE1A61">
            <w:pPr>
              <w:jc w:val="center"/>
            </w:pPr>
            <w:r w:rsidRPr="00A81F9F">
              <w:t>0,98</w:t>
            </w:r>
          </w:p>
        </w:tc>
        <w:tc>
          <w:tcPr>
            <w:tcW w:w="1046" w:type="dxa"/>
          </w:tcPr>
          <w:p w:rsidR="009478DB" w:rsidRPr="00A81F9F" w:rsidRDefault="009478DB" w:rsidP="00EE1A61">
            <w:pPr>
              <w:jc w:val="center"/>
            </w:pPr>
            <w:r w:rsidRPr="00A81F9F">
              <w:t>0,11</w:t>
            </w:r>
          </w:p>
        </w:tc>
        <w:tc>
          <w:tcPr>
            <w:tcW w:w="1187" w:type="dxa"/>
          </w:tcPr>
          <w:p w:rsidR="009478DB" w:rsidRPr="00A81F9F" w:rsidRDefault="009478DB" w:rsidP="00EE1A61">
            <w:pPr>
              <w:jc w:val="center"/>
            </w:pPr>
            <w:r w:rsidRPr="00A81F9F">
              <w:t>26,21</w:t>
            </w:r>
          </w:p>
        </w:tc>
      </w:tr>
    </w:tbl>
    <w:p w:rsidR="009478DB" w:rsidRPr="00A81F9F" w:rsidRDefault="009478DB" w:rsidP="00EE1A61">
      <w:pPr>
        <w:ind w:firstLine="709"/>
        <w:jc w:val="both"/>
      </w:pPr>
    </w:p>
    <w:p w:rsidR="009478DB" w:rsidRPr="00A81F9F" w:rsidRDefault="000F6D38" w:rsidP="00185AE3">
      <w:pPr>
        <w:ind w:firstLine="709"/>
        <w:jc w:val="both"/>
      </w:pPr>
      <w:r>
        <w:t>На рис. 3</w:t>
      </w:r>
      <w:r w:rsidR="00B9470D">
        <w:t>4</w:t>
      </w:r>
      <w:r>
        <w:t xml:space="preserve"> показана динамика вводов мощностей</w:t>
      </w:r>
      <w:r w:rsidR="009478DB" w:rsidRPr="00A81F9F">
        <w:t xml:space="preserve"> </w:t>
      </w:r>
      <w:r w:rsidR="000E6804">
        <w:t>по годам</w:t>
      </w:r>
      <w:r w:rsidR="000E6804" w:rsidRPr="00A81F9F">
        <w:t xml:space="preserve"> </w:t>
      </w:r>
      <w:r w:rsidR="009478DB" w:rsidRPr="00A81F9F">
        <w:t>на электростанциях ЕЭС России</w:t>
      </w:r>
      <w:r>
        <w:t xml:space="preserve"> </w:t>
      </w:r>
      <w:r w:rsidR="009478DB" w:rsidRPr="00A81F9F">
        <w:t xml:space="preserve">в соответствии с прогнозом Минэнерго 2011г. в период 2011-2017гг. и фактический ввод генерирующих мощностей в 2011г. </w:t>
      </w:r>
    </w:p>
    <w:p w:rsidR="009478DB" w:rsidRPr="00A81F9F" w:rsidRDefault="009478DB" w:rsidP="00EE1A61">
      <w:pPr>
        <w:ind w:firstLine="709"/>
        <w:jc w:val="both"/>
      </w:pPr>
    </w:p>
    <w:p w:rsidR="009478DB" w:rsidRPr="00A81F9F" w:rsidRDefault="007C1ADE" w:rsidP="00EE1A61">
      <w:pPr>
        <w:ind w:hanging="360"/>
        <w:jc w:val="both"/>
      </w:pPr>
      <w:r>
        <w:rPr>
          <w:noProof/>
        </w:rPr>
        <w:drawing>
          <wp:inline distT="0" distB="0" distL="0" distR="0">
            <wp:extent cx="6372225" cy="4076700"/>
            <wp:effectExtent l="19050" t="19050" r="28575" b="19050"/>
            <wp:docPr id="61"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49" cstate="print"/>
                    <a:srcRect/>
                    <a:stretch>
                      <a:fillRect/>
                    </a:stretch>
                  </pic:blipFill>
                  <pic:spPr bwMode="auto">
                    <a:xfrm>
                      <a:off x="0" y="0"/>
                      <a:ext cx="6372225" cy="4076700"/>
                    </a:xfrm>
                    <a:prstGeom prst="rect">
                      <a:avLst/>
                    </a:prstGeom>
                    <a:noFill/>
                    <a:ln w="6350" cmpd="sng">
                      <a:solidFill>
                        <a:srgbClr val="000000"/>
                      </a:solidFill>
                      <a:miter lim="800000"/>
                      <a:headEnd/>
                      <a:tailEnd/>
                    </a:ln>
                    <a:effectLst/>
                  </pic:spPr>
                </pic:pic>
              </a:graphicData>
            </a:graphic>
          </wp:inline>
        </w:drawing>
      </w:r>
    </w:p>
    <w:p w:rsidR="009478DB" w:rsidRPr="00A81F9F" w:rsidRDefault="009478DB" w:rsidP="00EE1A61">
      <w:pPr>
        <w:ind w:firstLine="709"/>
        <w:jc w:val="both"/>
      </w:pPr>
    </w:p>
    <w:p w:rsidR="009478DB" w:rsidRPr="00A81F9F" w:rsidRDefault="009478DB" w:rsidP="00185AE3">
      <w:pPr>
        <w:ind w:firstLine="709"/>
        <w:jc w:val="both"/>
      </w:pPr>
      <w:r w:rsidRPr="00A81F9F">
        <w:t>Рис. 3</w:t>
      </w:r>
      <w:r w:rsidR="00B9470D">
        <w:t>4</w:t>
      </w:r>
      <w:r w:rsidRPr="00A81F9F">
        <w:t xml:space="preserve">. </w:t>
      </w:r>
      <w:r w:rsidR="00A23165">
        <w:t>Динамика вводов</w:t>
      </w:r>
      <w:r w:rsidRPr="00A81F9F">
        <w:t xml:space="preserve"> мощности ЕЭС России по прогнозу Минэнерго 2011 в период 2011-2017гг. </w:t>
      </w:r>
    </w:p>
    <w:p w:rsidR="009478DB" w:rsidRPr="00A81F9F" w:rsidRDefault="009478DB" w:rsidP="00EE1A61">
      <w:pPr>
        <w:ind w:firstLine="709"/>
        <w:jc w:val="both"/>
      </w:pPr>
    </w:p>
    <w:p w:rsidR="00EA3B74" w:rsidRPr="00EA3B74" w:rsidRDefault="009E4FB3" w:rsidP="00EA3B74">
      <w:pPr>
        <w:ind w:firstLine="709"/>
        <w:jc w:val="both"/>
        <w:rPr>
          <w:u w:val="single"/>
        </w:rPr>
      </w:pPr>
      <w:r>
        <w:t xml:space="preserve">Видно, что в 2011 г. </w:t>
      </w:r>
      <w:r w:rsidR="00802BD5">
        <w:t xml:space="preserve">в </w:t>
      </w:r>
      <w:r w:rsidR="00A74AB1">
        <w:t xml:space="preserve">прогнозе Минэнерго 2011 </w:t>
      </w:r>
      <w:r w:rsidR="00802BD5">
        <w:t>предусмотре</w:t>
      </w:r>
      <w:r w:rsidR="00A74AB1">
        <w:t xml:space="preserve">н ввод генерирующих мощностей </w:t>
      </w:r>
      <w:r w:rsidR="00802BD5">
        <w:t xml:space="preserve">в объеме </w:t>
      </w:r>
      <w:r w:rsidR="00A74AB1" w:rsidRPr="00EA3B74">
        <w:rPr>
          <w:b/>
        </w:rPr>
        <w:t>7,66 ГВт</w:t>
      </w:r>
      <w:r w:rsidR="00A74AB1">
        <w:t xml:space="preserve">, а </w:t>
      </w:r>
      <w:r>
        <w:t>ф</w:t>
      </w:r>
      <w:r w:rsidR="00A74AB1">
        <w:t>актически</w:t>
      </w:r>
      <w:r w:rsidR="00802BD5">
        <w:t xml:space="preserve"> он</w:t>
      </w:r>
      <w:r w:rsidR="00A74AB1">
        <w:t xml:space="preserve"> составил</w:t>
      </w:r>
      <w:r w:rsidR="00802BD5">
        <w:t xml:space="preserve"> всего</w:t>
      </w:r>
      <w:r w:rsidR="00A74AB1">
        <w:t xml:space="preserve"> </w:t>
      </w:r>
      <w:r w:rsidR="00A74AB1" w:rsidRPr="00EA3B74">
        <w:rPr>
          <w:b/>
        </w:rPr>
        <w:t xml:space="preserve">4,7 ГВт </w:t>
      </w:r>
      <w:r w:rsidR="00A74AB1">
        <w:t xml:space="preserve">или на </w:t>
      </w:r>
      <w:r w:rsidR="00A74AB1" w:rsidRPr="00A74AB1">
        <w:rPr>
          <w:b/>
        </w:rPr>
        <w:t>39% меньше</w:t>
      </w:r>
      <w:r w:rsidR="00A74AB1">
        <w:t>.</w:t>
      </w:r>
      <w:r w:rsidR="00EA3B74">
        <w:rPr>
          <w:b/>
        </w:rPr>
        <w:t xml:space="preserve"> </w:t>
      </w:r>
      <w:r w:rsidR="00EA3B74" w:rsidRPr="00EA3B74">
        <w:rPr>
          <w:u w:val="single"/>
        </w:rPr>
        <w:t xml:space="preserve"> </w:t>
      </w:r>
    </w:p>
    <w:p w:rsidR="00EA3B74" w:rsidRDefault="00EA3B74" w:rsidP="00EA3B74">
      <w:pPr>
        <w:jc w:val="both"/>
        <w:rPr>
          <w:u w:val="single"/>
        </w:rPr>
      </w:pPr>
    </w:p>
    <w:p w:rsidR="00EA3B74" w:rsidRPr="00A81F9F" w:rsidRDefault="00EA3B74" w:rsidP="00EA3B74">
      <w:pPr>
        <w:jc w:val="both"/>
      </w:pPr>
      <w:r w:rsidRPr="00E7277B">
        <w:rPr>
          <w:u w:val="single"/>
        </w:rPr>
        <w:t>Прогноз Минэнерго 201</w:t>
      </w:r>
      <w:r>
        <w:rPr>
          <w:u w:val="single"/>
        </w:rPr>
        <w:t>2</w:t>
      </w:r>
      <w:r>
        <w:t>.</w:t>
      </w:r>
      <w:r w:rsidRPr="00A81F9F">
        <w:t xml:space="preserve"> </w:t>
      </w:r>
    </w:p>
    <w:p w:rsidR="00EA3B74" w:rsidRDefault="00EA3B74" w:rsidP="00EE1A61">
      <w:pPr>
        <w:ind w:firstLine="709"/>
        <w:jc w:val="both"/>
      </w:pPr>
    </w:p>
    <w:p w:rsidR="009478DB" w:rsidRPr="00A81F9F" w:rsidRDefault="009478DB" w:rsidP="000F6D38">
      <w:pPr>
        <w:ind w:firstLine="709"/>
        <w:jc w:val="both"/>
      </w:pPr>
      <w:r w:rsidRPr="00A81F9F">
        <w:t xml:space="preserve">В прогнозе Минэнерго </w:t>
      </w:r>
      <w:smartTag w:uri="urn:schemas-microsoft-com:office:smarttags" w:element="metricconverter">
        <w:smartTagPr>
          <w:attr w:name="ProductID" w:val="2012 г"/>
        </w:smartTagPr>
        <w:r w:rsidRPr="00A81F9F">
          <w:t>2012 г</w:t>
        </w:r>
      </w:smartTag>
      <w:r w:rsidRPr="00A81F9F">
        <w:t xml:space="preserve">. </w:t>
      </w:r>
      <w:r w:rsidR="0068504F">
        <w:t>в период 2012-2018</w:t>
      </w:r>
      <w:r w:rsidRPr="00A81F9F">
        <w:t xml:space="preserve"> гг. предусмотрены вводы новых генерирующих мощностей в объеме </w:t>
      </w:r>
      <w:r w:rsidRPr="00A81F9F">
        <w:rPr>
          <w:rStyle w:val="af5"/>
          <w:rFonts w:eastAsia="Calibri"/>
          <w:sz w:val="30"/>
        </w:rPr>
        <w:t>40,</w:t>
      </w:r>
      <w:r w:rsidR="000F6D38">
        <w:rPr>
          <w:rStyle w:val="af5"/>
          <w:rFonts w:eastAsia="Calibri"/>
          <w:sz w:val="30"/>
        </w:rPr>
        <w:t>11</w:t>
      </w:r>
      <w:r w:rsidRPr="00A81F9F">
        <w:rPr>
          <w:rStyle w:val="af5"/>
          <w:rFonts w:eastAsia="Calibri"/>
          <w:sz w:val="30"/>
        </w:rPr>
        <w:t xml:space="preserve"> ГВт</w:t>
      </w:r>
      <w:r w:rsidRPr="00A81F9F">
        <w:t xml:space="preserve">, в т.ч. </w:t>
      </w:r>
      <w:r w:rsidR="000074F2" w:rsidRPr="00A81F9F">
        <w:t xml:space="preserve">на ТЭС – </w:t>
      </w:r>
      <w:r w:rsidR="000F6D38">
        <w:rPr>
          <w:rStyle w:val="af5"/>
          <w:rFonts w:eastAsia="Calibri"/>
          <w:sz w:val="30"/>
        </w:rPr>
        <w:t>22,</w:t>
      </w:r>
      <w:r w:rsidR="000074F2" w:rsidRPr="00A81F9F">
        <w:rPr>
          <w:rStyle w:val="af5"/>
          <w:rFonts w:eastAsia="Calibri"/>
          <w:sz w:val="30"/>
        </w:rPr>
        <w:t>9</w:t>
      </w:r>
      <w:r w:rsidR="000F6D38">
        <w:rPr>
          <w:rStyle w:val="af5"/>
          <w:rFonts w:eastAsia="Calibri"/>
          <w:sz w:val="30"/>
        </w:rPr>
        <w:t>8</w:t>
      </w:r>
      <w:r w:rsidR="000074F2" w:rsidRPr="00A81F9F">
        <w:rPr>
          <w:rStyle w:val="af5"/>
          <w:rFonts w:eastAsia="Calibri"/>
          <w:sz w:val="30"/>
        </w:rPr>
        <w:t xml:space="preserve"> ГВт</w:t>
      </w:r>
      <w:r w:rsidR="000074F2">
        <w:rPr>
          <w:rStyle w:val="af5"/>
          <w:rFonts w:eastAsia="Calibri"/>
          <w:sz w:val="30"/>
        </w:rPr>
        <w:t>,</w:t>
      </w:r>
      <w:r w:rsidR="000074F2" w:rsidRPr="00A81F9F">
        <w:t xml:space="preserve"> </w:t>
      </w:r>
      <w:r w:rsidRPr="00A81F9F">
        <w:t xml:space="preserve">на АЭС – </w:t>
      </w:r>
      <w:r w:rsidRPr="00A81F9F">
        <w:rPr>
          <w:rStyle w:val="af5"/>
          <w:rFonts w:eastAsia="Calibri"/>
          <w:sz w:val="30"/>
        </w:rPr>
        <w:t>12,32 ГВт</w:t>
      </w:r>
      <w:r w:rsidRPr="00A81F9F">
        <w:t xml:space="preserve">, на ГЭС – </w:t>
      </w:r>
      <w:r w:rsidRPr="00A81F9F">
        <w:rPr>
          <w:rStyle w:val="af5"/>
          <w:rFonts w:eastAsia="Calibri"/>
          <w:sz w:val="30"/>
        </w:rPr>
        <w:t>3,83 ГВт</w:t>
      </w:r>
      <w:r w:rsidRPr="00A81F9F">
        <w:t xml:space="preserve">, на ГАЭС – </w:t>
      </w:r>
      <w:r w:rsidRPr="00A81F9F">
        <w:rPr>
          <w:rStyle w:val="af5"/>
          <w:rFonts w:eastAsia="Calibri"/>
          <w:sz w:val="30"/>
        </w:rPr>
        <w:t>0,98 ГВт</w:t>
      </w:r>
      <w:r w:rsidRPr="00A81F9F">
        <w:t>.</w:t>
      </w:r>
    </w:p>
    <w:p w:rsidR="00A2715A" w:rsidRPr="00A81F9F" w:rsidRDefault="00A2715A" w:rsidP="00A2715A">
      <w:pPr>
        <w:ind w:firstLine="709"/>
        <w:jc w:val="right"/>
      </w:pPr>
      <w:r>
        <w:t>Таблица 7</w:t>
      </w:r>
      <w:r w:rsidRPr="00A81F9F">
        <w:t>.</w:t>
      </w:r>
    </w:p>
    <w:p w:rsidR="009478DB" w:rsidRPr="00A81F9F" w:rsidRDefault="009478DB" w:rsidP="00EE1A61">
      <w:pPr>
        <w:ind w:firstLine="709"/>
        <w:jc w:val="both"/>
      </w:pPr>
    </w:p>
    <w:p w:rsidR="000E6804" w:rsidRPr="00A81F9F" w:rsidRDefault="009478DB" w:rsidP="000E6804">
      <w:pPr>
        <w:ind w:firstLine="709"/>
        <w:jc w:val="both"/>
      </w:pPr>
      <w:r w:rsidRPr="00A81F9F">
        <w:t xml:space="preserve">Вводы мощности на электростанциях ЕЭС России, ГВт, прогноз Минэнерго </w:t>
      </w:r>
      <w:smartTag w:uri="urn:schemas-microsoft-com:office:smarttags" w:element="metricconverter">
        <w:smartTagPr>
          <w:attr w:name="ProductID" w:val="2012 г"/>
        </w:smartTagPr>
        <w:r w:rsidRPr="00A81F9F">
          <w:t>2012 г</w:t>
        </w:r>
      </w:smartTag>
      <w:r w:rsidRPr="00A81F9F">
        <w:t xml:space="preserve">. В период 2012 – 2018гг. </w:t>
      </w:r>
      <w:r w:rsidR="000E6804" w:rsidRPr="00A81F9F">
        <w:t>и фактический вв</w:t>
      </w:r>
      <w:r w:rsidR="000E6804">
        <w:t>од генерирующих мощностей в 2012</w:t>
      </w:r>
      <w:r w:rsidR="000E6804" w:rsidRPr="00A81F9F">
        <w:t xml:space="preserve">г. </w:t>
      </w:r>
    </w:p>
    <w:p w:rsidR="009478DB" w:rsidRPr="00A81F9F" w:rsidRDefault="009478DB" w:rsidP="00EE1A61">
      <w:pPr>
        <w:ind w:firstLine="709"/>
        <w:jc w:val="both"/>
      </w:pPr>
    </w:p>
    <w:tbl>
      <w:tblPr>
        <w:tblW w:w="1060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8"/>
        <w:gridCol w:w="1062"/>
        <w:gridCol w:w="1152"/>
        <w:gridCol w:w="1152"/>
        <w:gridCol w:w="1152"/>
        <w:gridCol w:w="1152"/>
        <w:gridCol w:w="1153"/>
        <w:gridCol w:w="1153"/>
        <w:gridCol w:w="1153"/>
      </w:tblGrid>
      <w:tr w:rsidR="009478DB" w:rsidRPr="00A81F9F" w:rsidTr="00EE1A61">
        <w:tc>
          <w:tcPr>
            <w:tcW w:w="1478" w:type="dxa"/>
          </w:tcPr>
          <w:p w:rsidR="009478DB" w:rsidRPr="00A81F9F" w:rsidRDefault="009478DB" w:rsidP="00EE1A61">
            <w:pPr>
              <w:ind w:firstLine="709"/>
              <w:jc w:val="both"/>
            </w:pPr>
          </w:p>
        </w:tc>
        <w:tc>
          <w:tcPr>
            <w:tcW w:w="1062" w:type="dxa"/>
          </w:tcPr>
          <w:p w:rsidR="009478DB" w:rsidRPr="00A81F9F" w:rsidRDefault="009478DB" w:rsidP="00EE1A61">
            <w:pPr>
              <w:jc w:val="both"/>
            </w:pPr>
            <w:smartTag w:uri="urn:schemas-microsoft-com:office:smarttags" w:element="metricconverter">
              <w:smartTagPr>
                <w:attr w:name="ProductID" w:val="2012 г"/>
              </w:smartTagPr>
              <w:r w:rsidRPr="00A81F9F">
                <w:t>2012 г</w:t>
              </w:r>
            </w:smartTag>
            <w:r w:rsidRPr="00A81F9F">
              <w:t>.</w:t>
            </w:r>
          </w:p>
        </w:tc>
        <w:tc>
          <w:tcPr>
            <w:tcW w:w="1152" w:type="dxa"/>
          </w:tcPr>
          <w:p w:rsidR="009478DB" w:rsidRPr="00A81F9F" w:rsidRDefault="009478DB" w:rsidP="00EE1A61">
            <w:pPr>
              <w:jc w:val="both"/>
            </w:pPr>
            <w:smartTag w:uri="urn:schemas-microsoft-com:office:smarttags" w:element="metricconverter">
              <w:smartTagPr>
                <w:attr w:name="ProductID" w:val="2013 г"/>
              </w:smartTagPr>
              <w:r w:rsidRPr="00A81F9F">
                <w:t>2013 г</w:t>
              </w:r>
            </w:smartTag>
            <w:r w:rsidRPr="00A81F9F">
              <w:t>.</w:t>
            </w:r>
          </w:p>
        </w:tc>
        <w:tc>
          <w:tcPr>
            <w:tcW w:w="1152" w:type="dxa"/>
          </w:tcPr>
          <w:p w:rsidR="009478DB" w:rsidRPr="00A81F9F" w:rsidRDefault="009478DB" w:rsidP="00EE1A61">
            <w:pPr>
              <w:jc w:val="both"/>
            </w:pPr>
            <w:smartTag w:uri="urn:schemas-microsoft-com:office:smarttags" w:element="metricconverter">
              <w:smartTagPr>
                <w:attr w:name="ProductID" w:val="2014 г"/>
              </w:smartTagPr>
              <w:r w:rsidRPr="00A81F9F">
                <w:t>2014 г</w:t>
              </w:r>
            </w:smartTag>
            <w:r w:rsidRPr="00A81F9F">
              <w:t>.</w:t>
            </w:r>
          </w:p>
        </w:tc>
        <w:tc>
          <w:tcPr>
            <w:tcW w:w="1152" w:type="dxa"/>
          </w:tcPr>
          <w:p w:rsidR="009478DB" w:rsidRPr="00A81F9F" w:rsidRDefault="009478DB" w:rsidP="00EE1A61">
            <w:pPr>
              <w:jc w:val="both"/>
            </w:pPr>
            <w:smartTag w:uri="urn:schemas-microsoft-com:office:smarttags" w:element="metricconverter">
              <w:smartTagPr>
                <w:attr w:name="ProductID" w:val="2015 г"/>
              </w:smartTagPr>
              <w:r w:rsidRPr="00A81F9F">
                <w:t>2015 г</w:t>
              </w:r>
            </w:smartTag>
            <w:r w:rsidRPr="00A81F9F">
              <w:t>.</w:t>
            </w:r>
          </w:p>
        </w:tc>
        <w:tc>
          <w:tcPr>
            <w:tcW w:w="1152" w:type="dxa"/>
          </w:tcPr>
          <w:p w:rsidR="009478DB" w:rsidRPr="00A81F9F" w:rsidRDefault="009478DB" w:rsidP="00EE1A61">
            <w:pPr>
              <w:jc w:val="both"/>
            </w:pPr>
            <w:smartTag w:uri="urn:schemas-microsoft-com:office:smarttags" w:element="metricconverter">
              <w:smartTagPr>
                <w:attr w:name="ProductID" w:val="2016 г"/>
              </w:smartTagPr>
              <w:r w:rsidRPr="00A81F9F">
                <w:t>2016 г</w:t>
              </w:r>
            </w:smartTag>
            <w:r w:rsidRPr="00A81F9F">
              <w:t>.</w:t>
            </w:r>
          </w:p>
        </w:tc>
        <w:tc>
          <w:tcPr>
            <w:tcW w:w="1153" w:type="dxa"/>
          </w:tcPr>
          <w:p w:rsidR="009478DB" w:rsidRPr="00A81F9F" w:rsidRDefault="009478DB" w:rsidP="00EE1A61">
            <w:pPr>
              <w:jc w:val="both"/>
            </w:pPr>
            <w:smartTag w:uri="urn:schemas-microsoft-com:office:smarttags" w:element="metricconverter">
              <w:smartTagPr>
                <w:attr w:name="ProductID" w:val="2017 г"/>
              </w:smartTagPr>
              <w:r w:rsidRPr="00A81F9F">
                <w:t>2017 г</w:t>
              </w:r>
            </w:smartTag>
            <w:r w:rsidRPr="00A81F9F">
              <w:t>.</w:t>
            </w:r>
          </w:p>
        </w:tc>
        <w:tc>
          <w:tcPr>
            <w:tcW w:w="1153" w:type="dxa"/>
          </w:tcPr>
          <w:p w:rsidR="009478DB" w:rsidRPr="00A81F9F" w:rsidRDefault="009478DB" w:rsidP="00EE1A61">
            <w:pPr>
              <w:jc w:val="both"/>
            </w:pPr>
            <w:smartTag w:uri="urn:schemas-microsoft-com:office:smarttags" w:element="metricconverter">
              <w:smartTagPr>
                <w:attr w:name="ProductID" w:val="2018 г"/>
              </w:smartTagPr>
              <w:r w:rsidRPr="00A81F9F">
                <w:t>2018 г</w:t>
              </w:r>
            </w:smartTag>
            <w:r w:rsidRPr="00A81F9F">
              <w:t>.</w:t>
            </w:r>
          </w:p>
        </w:tc>
        <w:tc>
          <w:tcPr>
            <w:tcW w:w="1153" w:type="dxa"/>
          </w:tcPr>
          <w:p w:rsidR="009478DB" w:rsidRPr="00A81F9F" w:rsidRDefault="009478DB" w:rsidP="00EE1A61">
            <w:pPr>
              <w:jc w:val="both"/>
            </w:pPr>
            <w:r w:rsidRPr="00A81F9F">
              <w:t>Всего за 2012-2018 гг.</w:t>
            </w:r>
          </w:p>
        </w:tc>
      </w:tr>
      <w:tr w:rsidR="009478DB" w:rsidRPr="00A81F9F" w:rsidTr="00EE1A61">
        <w:tc>
          <w:tcPr>
            <w:tcW w:w="1478" w:type="dxa"/>
          </w:tcPr>
          <w:p w:rsidR="009478DB" w:rsidRPr="00A81F9F" w:rsidRDefault="009478DB" w:rsidP="00EE1A61">
            <w:pPr>
              <w:jc w:val="both"/>
            </w:pPr>
            <w:r w:rsidRPr="00A81F9F">
              <w:t>ЕЭС России</w:t>
            </w:r>
          </w:p>
        </w:tc>
        <w:tc>
          <w:tcPr>
            <w:tcW w:w="1062" w:type="dxa"/>
          </w:tcPr>
          <w:p w:rsidR="009478DB" w:rsidRPr="00A81F9F" w:rsidRDefault="009478DB" w:rsidP="00EE1A61">
            <w:pPr>
              <w:jc w:val="both"/>
            </w:pPr>
            <w:bookmarkStart w:id="67" w:name="OLE_LINK1"/>
            <w:bookmarkStart w:id="68" w:name="OLE_LINK2"/>
            <w:r w:rsidRPr="00A81F9F">
              <w:t>10,7</w:t>
            </w:r>
            <w:bookmarkEnd w:id="67"/>
            <w:bookmarkEnd w:id="68"/>
            <w:r w:rsidRPr="00A81F9F">
              <w:t>5</w:t>
            </w:r>
          </w:p>
        </w:tc>
        <w:tc>
          <w:tcPr>
            <w:tcW w:w="1152" w:type="dxa"/>
          </w:tcPr>
          <w:p w:rsidR="009478DB" w:rsidRPr="00A81F9F" w:rsidRDefault="009478DB" w:rsidP="00EE1A61">
            <w:pPr>
              <w:jc w:val="both"/>
            </w:pPr>
            <w:r w:rsidRPr="00A81F9F">
              <w:t>7,27</w:t>
            </w:r>
          </w:p>
        </w:tc>
        <w:tc>
          <w:tcPr>
            <w:tcW w:w="1152" w:type="dxa"/>
          </w:tcPr>
          <w:p w:rsidR="009478DB" w:rsidRPr="00A81F9F" w:rsidRDefault="009478DB" w:rsidP="00EE1A61">
            <w:pPr>
              <w:jc w:val="both"/>
            </w:pPr>
            <w:r w:rsidRPr="00A81F9F">
              <w:t>9,14</w:t>
            </w:r>
          </w:p>
        </w:tc>
        <w:tc>
          <w:tcPr>
            <w:tcW w:w="1152" w:type="dxa"/>
          </w:tcPr>
          <w:p w:rsidR="009478DB" w:rsidRPr="00A81F9F" w:rsidRDefault="009478DB" w:rsidP="00EE1A61">
            <w:pPr>
              <w:jc w:val="both"/>
            </w:pPr>
            <w:r w:rsidRPr="00A81F9F">
              <w:t>4,84</w:t>
            </w:r>
          </w:p>
        </w:tc>
        <w:tc>
          <w:tcPr>
            <w:tcW w:w="1152" w:type="dxa"/>
          </w:tcPr>
          <w:p w:rsidR="009478DB" w:rsidRPr="00A81F9F" w:rsidRDefault="009478DB" w:rsidP="00EE1A61">
            <w:pPr>
              <w:jc w:val="both"/>
            </w:pPr>
            <w:r w:rsidRPr="00A81F9F">
              <w:t>3,34</w:t>
            </w:r>
          </w:p>
        </w:tc>
        <w:tc>
          <w:tcPr>
            <w:tcW w:w="1153" w:type="dxa"/>
          </w:tcPr>
          <w:p w:rsidR="009478DB" w:rsidRPr="00A81F9F" w:rsidRDefault="009478DB" w:rsidP="00EE1A61">
            <w:pPr>
              <w:jc w:val="both"/>
            </w:pPr>
            <w:r w:rsidRPr="00A81F9F">
              <w:t>1,62</w:t>
            </w:r>
          </w:p>
        </w:tc>
        <w:tc>
          <w:tcPr>
            <w:tcW w:w="1153" w:type="dxa"/>
          </w:tcPr>
          <w:p w:rsidR="009478DB" w:rsidRPr="00A81F9F" w:rsidRDefault="009478DB" w:rsidP="00EE1A61">
            <w:pPr>
              <w:jc w:val="both"/>
            </w:pPr>
            <w:r w:rsidRPr="00A81F9F">
              <w:t>3,15</w:t>
            </w:r>
          </w:p>
        </w:tc>
        <w:tc>
          <w:tcPr>
            <w:tcW w:w="1153" w:type="dxa"/>
          </w:tcPr>
          <w:p w:rsidR="009478DB" w:rsidRPr="00A81F9F" w:rsidRDefault="000F6D38" w:rsidP="00EE1A61">
            <w:pPr>
              <w:jc w:val="both"/>
            </w:pPr>
            <w:r>
              <w:t>40,11</w:t>
            </w:r>
          </w:p>
        </w:tc>
      </w:tr>
      <w:tr w:rsidR="009478DB" w:rsidRPr="00A81F9F" w:rsidTr="00EE1A61">
        <w:tc>
          <w:tcPr>
            <w:tcW w:w="1478" w:type="dxa"/>
          </w:tcPr>
          <w:p w:rsidR="009478DB" w:rsidRPr="00A81F9F" w:rsidRDefault="009478DB" w:rsidP="00EE1A61">
            <w:pPr>
              <w:jc w:val="both"/>
            </w:pPr>
            <w:r w:rsidRPr="00A81F9F">
              <w:t>АЭС</w:t>
            </w:r>
          </w:p>
        </w:tc>
        <w:tc>
          <w:tcPr>
            <w:tcW w:w="1062" w:type="dxa"/>
          </w:tcPr>
          <w:p w:rsidR="009478DB" w:rsidRPr="00A81F9F" w:rsidRDefault="009478DB" w:rsidP="00EE1A61">
            <w:pPr>
              <w:jc w:val="both"/>
            </w:pPr>
            <w:r w:rsidRPr="00A81F9F">
              <w:t>1,00</w:t>
            </w:r>
          </w:p>
        </w:tc>
        <w:tc>
          <w:tcPr>
            <w:tcW w:w="1152" w:type="dxa"/>
          </w:tcPr>
          <w:p w:rsidR="009478DB" w:rsidRPr="00A81F9F" w:rsidRDefault="009478DB" w:rsidP="00EE1A61">
            <w:pPr>
              <w:jc w:val="both"/>
            </w:pPr>
          </w:p>
        </w:tc>
        <w:tc>
          <w:tcPr>
            <w:tcW w:w="1152" w:type="dxa"/>
          </w:tcPr>
          <w:p w:rsidR="009478DB" w:rsidRPr="00A81F9F" w:rsidRDefault="009478DB" w:rsidP="00EE1A61">
            <w:pPr>
              <w:jc w:val="both"/>
            </w:pPr>
            <w:r w:rsidRPr="00A81F9F">
              <w:t>3,15</w:t>
            </w:r>
          </w:p>
        </w:tc>
        <w:tc>
          <w:tcPr>
            <w:tcW w:w="1152" w:type="dxa"/>
          </w:tcPr>
          <w:p w:rsidR="009478DB" w:rsidRPr="00A81F9F" w:rsidRDefault="009478DB" w:rsidP="00EE1A61">
            <w:pPr>
              <w:jc w:val="both"/>
            </w:pPr>
            <w:r w:rsidRPr="00A81F9F">
              <w:t>2,37</w:t>
            </w:r>
          </w:p>
        </w:tc>
        <w:tc>
          <w:tcPr>
            <w:tcW w:w="1152" w:type="dxa"/>
          </w:tcPr>
          <w:p w:rsidR="009478DB" w:rsidRPr="00A81F9F" w:rsidRDefault="009478DB" w:rsidP="00EE1A61">
            <w:pPr>
              <w:jc w:val="both"/>
            </w:pPr>
            <w:r w:rsidRPr="00A81F9F">
              <w:t>2,36</w:t>
            </w:r>
          </w:p>
        </w:tc>
        <w:tc>
          <w:tcPr>
            <w:tcW w:w="1153" w:type="dxa"/>
          </w:tcPr>
          <w:p w:rsidR="009478DB" w:rsidRPr="00A81F9F" w:rsidRDefault="009478DB" w:rsidP="00EE1A61">
            <w:pPr>
              <w:jc w:val="both"/>
            </w:pPr>
            <w:r w:rsidRPr="00A81F9F">
              <w:t>1,07</w:t>
            </w:r>
          </w:p>
        </w:tc>
        <w:tc>
          <w:tcPr>
            <w:tcW w:w="1153" w:type="dxa"/>
          </w:tcPr>
          <w:p w:rsidR="009478DB" w:rsidRPr="00A81F9F" w:rsidRDefault="009478DB" w:rsidP="00EE1A61">
            <w:pPr>
              <w:jc w:val="both"/>
            </w:pPr>
            <w:r w:rsidRPr="00A81F9F">
              <w:t>2,36</w:t>
            </w:r>
          </w:p>
        </w:tc>
        <w:tc>
          <w:tcPr>
            <w:tcW w:w="1153" w:type="dxa"/>
          </w:tcPr>
          <w:p w:rsidR="009478DB" w:rsidRPr="00A81F9F" w:rsidRDefault="000F6D38" w:rsidP="00EE1A61">
            <w:pPr>
              <w:jc w:val="both"/>
            </w:pPr>
            <w:r>
              <w:t>12,32</w:t>
            </w:r>
          </w:p>
        </w:tc>
      </w:tr>
      <w:tr w:rsidR="009478DB" w:rsidRPr="00A81F9F" w:rsidTr="00EE1A61">
        <w:tc>
          <w:tcPr>
            <w:tcW w:w="1478" w:type="dxa"/>
          </w:tcPr>
          <w:p w:rsidR="009478DB" w:rsidRPr="00A81F9F" w:rsidRDefault="009478DB" w:rsidP="00EE1A61">
            <w:pPr>
              <w:jc w:val="both"/>
            </w:pPr>
            <w:r w:rsidRPr="00A81F9F">
              <w:t>ГЭС. в т.ч. ГАЭС</w:t>
            </w:r>
          </w:p>
        </w:tc>
        <w:tc>
          <w:tcPr>
            <w:tcW w:w="1062" w:type="dxa"/>
          </w:tcPr>
          <w:p w:rsidR="009478DB" w:rsidRPr="00A81F9F" w:rsidRDefault="009478DB" w:rsidP="00EE1A61">
            <w:pPr>
              <w:jc w:val="both"/>
            </w:pPr>
            <w:r w:rsidRPr="00A81F9F">
              <w:t>2,42</w:t>
            </w:r>
          </w:p>
          <w:p w:rsidR="009478DB" w:rsidRPr="00A81F9F" w:rsidRDefault="009478DB" w:rsidP="00EE1A61">
            <w:pPr>
              <w:jc w:val="both"/>
            </w:pPr>
            <w:r w:rsidRPr="00A81F9F">
              <w:t>0,42</w:t>
            </w:r>
          </w:p>
        </w:tc>
        <w:tc>
          <w:tcPr>
            <w:tcW w:w="1152" w:type="dxa"/>
          </w:tcPr>
          <w:p w:rsidR="009478DB" w:rsidRPr="00A81F9F" w:rsidRDefault="009478DB" w:rsidP="00EE1A61">
            <w:pPr>
              <w:jc w:val="both"/>
            </w:pPr>
            <w:r w:rsidRPr="00A81F9F">
              <w:t>1,48</w:t>
            </w:r>
          </w:p>
          <w:p w:rsidR="009478DB" w:rsidRPr="00A81F9F" w:rsidRDefault="009478DB" w:rsidP="00EE1A61">
            <w:pPr>
              <w:jc w:val="both"/>
            </w:pPr>
            <w:r w:rsidRPr="00A81F9F">
              <w:t>0,35</w:t>
            </w:r>
          </w:p>
        </w:tc>
        <w:tc>
          <w:tcPr>
            <w:tcW w:w="1152" w:type="dxa"/>
          </w:tcPr>
          <w:p w:rsidR="009478DB" w:rsidRPr="00A81F9F" w:rsidRDefault="009478DB" w:rsidP="00EE1A61">
            <w:pPr>
              <w:jc w:val="both"/>
            </w:pPr>
            <w:r w:rsidRPr="00A81F9F">
              <w:t>0,37</w:t>
            </w:r>
          </w:p>
          <w:p w:rsidR="009478DB" w:rsidRPr="00A81F9F" w:rsidRDefault="009478DB" w:rsidP="00EE1A61">
            <w:pPr>
              <w:jc w:val="both"/>
            </w:pPr>
            <w:r w:rsidRPr="00A81F9F">
              <w:t>0,21</w:t>
            </w:r>
          </w:p>
        </w:tc>
        <w:tc>
          <w:tcPr>
            <w:tcW w:w="1152" w:type="dxa"/>
          </w:tcPr>
          <w:p w:rsidR="009478DB" w:rsidRPr="00A81F9F" w:rsidRDefault="009478DB" w:rsidP="00EE1A61">
            <w:pPr>
              <w:jc w:val="both"/>
            </w:pPr>
            <w:r w:rsidRPr="00A81F9F">
              <w:t>0,16</w:t>
            </w:r>
          </w:p>
          <w:p w:rsidR="009478DB" w:rsidRPr="00A81F9F" w:rsidRDefault="009478DB" w:rsidP="00EE1A61">
            <w:pPr>
              <w:jc w:val="both"/>
            </w:pPr>
          </w:p>
        </w:tc>
        <w:tc>
          <w:tcPr>
            <w:tcW w:w="1152" w:type="dxa"/>
          </w:tcPr>
          <w:p w:rsidR="009478DB" w:rsidRPr="00A81F9F" w:rsidRDefault="009478DB" w:rsidP="00EE1A61">
            <w:pPr>
              <w:jc w:val="both"/>
            </w:pPr>
          </w:p>
        </w:tc>
        <w:tc>
          <w:tcPr>
            <w:tcW w:w="1153" w:type="dxa"/>
          </w:tcPr>
          <w:p w:rsidR="009478DB" w:rsidRPr="00A81F9F" w:rsidRDefault="009478DB" w:rsidP="00EE1A61">
            <w:pPr>
              <w:jc w:val="both"/>
            </w:pPr>
            <w:r w:rsidRPr="00A81F9F">
              <w:t>0,03</w:t>
            </w:r>
          </w:p>
        </w:tc>
        <w:tc>
          <w:tcPr>
            <w:tcW w:w="1153" w:type="dxa"/>
          </w:tcPr>
          <w:p w:rsidR="009478DB" w:rsidRPr="00A81F9F" w:rsidRDefault="009478DB" w:rsidP="00EE1A61">
            <w:pPr>
              <w:jc w:val="both"/>
            </w:pPr>
            <w:r w:rsidRPr="00A81F9F">
              <w:t>0,34</w:t>
            </w:r>
          </w:p>
        </w:tc>
        <w:tc>
          <w:tcPr>
            <w:tcW w:w="1153" w:type="dxa"/>
          </w:tcPr>
          <w:p w:rsidR="009478DB" w:rsidRDefault="009478DB" w:rsidP="00EE1A61">
            <w:pPr>
              <w:jc w:val="both"/>
            </w:pPr>
            <w:r w:rsidRPr="00A81F9F">
              <w:t>4,80</w:t>
            </w:r>
          </w:p>
          <w:p w:rsidR="000F6D38" w:rsidRPr="00A81F9F" w:rsidRDefault="000F6D38" w:rsidP="00EE1A61">
            <w:pPr>
              <w:jc w:val="both"/>
            </w:pPr>
            <w:r>
              <w:t>0,98</w:t>
            </w:r>
          </w:p>
        </w:tc>
      </w:tr>
      <w:tr w:rsidR="009478DB" w:rsidRPr="00A81F9F" w:rsidTr="00EE1A61">
        <w:tc>
          <w:tcPr>
            <w:tcW w:w="1478" w:type="dxa"/>
          </w:tcPr>
          <w:p w:rsidR="009478DB" w:rsidRPr="00A81F9F" w:rsidRDefault="009478DB" w:rsidP="00EE1A61">
            <w:pPr>
              <w:jc w:val="both"/>
            </w:pPr>
            <w:r w:rsidRPr="00A81F9F">
              <w:t>ТЭС</w:t>
            </w:r>
          </w:p>
        </w:tc>
        <w:tc>
          <w:tcPr>
            <w:tcW w:w="1062" w:type="dxa"/>
          </w:tcPr>
          <w:p w:rsidR="009478DB" w:rsidRPr="00A81F9F" w:rsidRDefault="009478DB" w:rsidP="00EE1A61">
            <w:pPr>
              <w:jc w:val="both"/>
            </w:pPr>
            <w:r w:rsidRPr="00A81F9F">
              <w:t>7,32</w:t>
            </w:r>
          </w:p>
        </w:tc>
        <w:tc>
          <w:tcPr>
            <w:tcW w:w="1152" w:type="dxa"/>
          </w:tcPr>
          <w:p w:rsidR="009478DB" w:rsidRPr="00A81F9F" w:rsidRDefault="009478DB" w:rsidP="00EE1A61">
            <w:pPr>
              <w:jc w:val="both"/>
            </w:pPr>
            <w:r w:rsidRPr="00A81F9F">
              <w:t>5,79</w:t>
            </w:r>
          </w:p>
        </w:tc>
        <w:tc>
          <w:tcPr>
            <w:tcW w:w="1152" w:type="dxa"/>
          </w:tcPr>
          <w:p w:rsidR="009478DB" w:rsidRPr="00A81F9F" w:rsidRDefault="009478DB" w:rsidP="00EE1A61">
            <w:pPr>
              <w:jc w:val="both"/>
            </w:pPr>
            <w:r w:rsidRPr="00A81F9F">
              <w:t>5,61</w:t>
            </w:r>
          </w:p>
        </w:tc>
        <w:tc>
          <w:tcPr>
            <w:tcW w:w="1152" w:type="dxa"/>
          </w:tcPr>
          <w:p w:rsidR="009478DB" w:rsidRPr="00A81F9F" w:rsidRDefault="009478DB" w:rsidP="00EE1A61">
            <w:pPr>
              <w:jc w:val="both"/>
            </w:pPr>
            <w:r w:rsidRPr="00A81F9F">
              <w:t>2,32</w:t>
            </w:r>
          </w:p>
        </w:tc>
        <w:tc>
          <w:tcPr>
            <w:tcW w:w="1152" w:type="dxa"/>
          </w:tcPr>
          <w:p w:rsidR="009478DB" w:rsidRPr="00A81F9F" w:rsidRDefault="009478DB" w:rsidP="00EE1A61">
            <w:pPr>
              <w:jc w:val="both"/>
            </w:pPr>
            <w:r w:rsidRPr="00A81F9F">
              <w:t>0,98</w:t>
            </w:r>
          </w:p>
        </w:tc>
        <w:tc>
          <w:tcPr>
            <w:tcW w:w="1153" w:type="dxa"/>
          </w:tcPr>
          <w:p w:rsidR="009478DB" w:rsidRPr="00A81F9F" w:rsidRDefault="009478DB" w:rsidP="00EE1A61">
            <w:pPr>
              <w:jc w:val="both"/>
            </w:pPr>
            <w:r w:rsidRPr="00A81F9F">
              <w:t>0,52</w:t>
            </w:r>
          </w:p>
        </w:tc>
        <w:tc>
          <w:tcPr>
            <w:tcW w:w="1153" w:type="dxa"/>
          </w:tcPr>
          <w:p w:rsidR="009478DB" w:rsidRPr="00A81F9F" w:rsidRDefault="009478DB" w:rsidP="00EE1A61">
            <w:pPr>
              <w:jc w:val="both"/>
            </w:pPr>
            <w:r w:rsidRPr="00A81F9F">
              <w:t>0,44</w:t>
            </w:r>
          </w:p>
        </w:tc>
        <w:tc>
          <w:tcPr>
            <w:tcW w:w="1153" w:type="dxa"/>
          </w:tcPr>
          <w:p w:rsidR="009478DB" w:rsidRPr="00A81F9F" w:rsidRDefault="009478DB" w:rsidP="00EE1A61">
            <w:pPr>
              <w:jc w:val="both"/>
            </w:pPr>
            <w:r w:rsidRPr="00A81F9F">
              <w:t>22,98</w:t>
            </w:r>
          </w:p>
        </w:tc>
      </w:tr>
    </w:tbl>
    <w:p w:rsidR="009478DB" w:rsidRPr="00A81F9F" w:rsidRDefault="009478DB" w:rsidP="00EE1A61">
      <w:pPr>
        <w:ind w:firstLine="709"/>
        <w:jc w:val="both"/>
      </w:pPr>
    </w:p>
    <w:p w:rsidR="009478DB" w:rsidRPr="00A81F9F" w:rsidRDefault="009478DB" w:rsidP="00185AE3">
      <w:pPr>
        <w:ind w:firstLine="709"/>
        <w:jc w:val="both"/>
      </w:pPr>
      <w:r w:rsidRPr="00A81F9F">
        <w:t>На рис. 3</w:t>
      </w:r>
      <w:r w:rsidR="00103AE8">
        <w:t>4</w:t>
      </w:r>
      <w:r w:rsidRPr="00A81F9F">
        <w:t xml:space="preserve"> показан</w:t>
      </w:r>
      <w:r w:rsidR="000F6D38">
        <w:t>а динамика вводов мощностей по годам</w:t>
      </w:r>
      <w:r w:rsidRPr="00A81F9F">
        <w:t xml:space="preserve"> на электростанциях ЕЭС России в соответствии с прогнозом Минэнерго 2012г. </w:t>
      </w:r>
      <w:r w:rsidR="00F80151">
        <w:t>в период 2013-2019</w:t>
      </w:r>
      <w:r w:rsidRPr="00A81F9F">
        <w:t xml:space="preserve">гг. </w:t>
      </w:r>
    </w:p>
    <w:p w:rsidR="009478DB" w:rsidRPr="00A81F9F" w:rsidRDefault="009478DB" w:rsidP="00EE1A61">
      <w:pPr>
        <w:ind w:firstLine="709"/>
        <w:jc w:val="both"/>
      </w:pPr>
    </w:p>
    <w:p w:rsidR="009478DB" w:rsidRPr="00A81F9F" w:rsidRDefault="007C1ADE" w:rsidP="00185AE3">
      <w:pPr>
        <w:ind w:hanging="540"/>
        <w:jc w:val="both"/>
      </w:pPr>
      <w:r>
        <w:rPr>
          <w:noProof/>
        </w:rPr>
        <w:drawing>
          <wp:inline distT="0" distB="0" distL="0" distR="0">
            <wp:extent cx="6543675" cy="4800600"/>
            <wp:effectExtent l="19050" t="0" r="9525" b="0"/>
            <wp:docPr id="36"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0" cstate="print"/>
                    <a:srcRect l="23936" t="22266" r="9729" b="17188"/>
                    <a:stretch>
                      <a:fillRect/>
                    </a:stretch>
                  </pic:blipFill>
                  <pic:spPr bwMode="auto">
                    <a:xfrm>
                      <a:off x="0" y="0"/>
                      <a:ext cx="6543675" cy="4800600"/>
                    </a:xfrm>
                    <a:prstGeom prst="rect">
                      <a:avLst/>
                    </a:prstGeom>
                    <a:noFill/>
                    <a:ln w="9525">
                      <a:noFill/>
                      <a:miter lim="800000"/>
                      <a:headEnd/>
                      <a:tailEnd/>
                    </a:ln>
                  </pic:spPr>
                </pic:pic>
              </a:graphicData>
            </a:graphic>
          </wp:inline>
        </w:drawing>
      </w:r>
    </w:p>
    <w:p w:rsidR="009478DB" w:rsidRPr="00A81F9F" w:rsidRDefault="009478DB" w:rsidP="00802BD5">
      <w:pPr>
        <w:ind w:firstLine="709"/>
        <w:jc w:val="both"/>
      </w:pPr>
      <w:r w:rsidRPr="00A81F9F">
        <w:t>Рис. 3</w:t>
      </w:r>
      <w:r w:rsidR="00B9470D">
        <w:t>5</w:t>
      </w:r>
      <w:r w:rsidRPr="00A81F9F">
        <w:t xml:space="preserve">. </w:t>
      </w:r>
      <w:r w:rsidR="00605101">
        <w:t>Динамика вводов</w:t>
      </w:r>
      <w:r w:rsidRPr="00A81F9F">
        <w:t xml:space="preserve"> мощностей на электростанциях ЕЭС России, ГВт, прогноз Минэнерго, 2012г., в период 2012 – 2018гг. </w:t>
      </w:r>
      <w:r w:rsidR="000E6804">
        <w:t>и фактический ввод мощностей в 2012 г.</w:t>
      </w:r>
    </w:p>
    <w:p w:rsidR="00802BD5" w:rsidRDefault="00802BD5" w:rsidP="00EE1A61">
      <w:pPr>
        <w:ind w:firstLine="709"/>
        <w:jc w:val="both"/>
      </w:pPr>
    </w:p>
    <w:p w:rsidR="007E5591" w:rsidRDefault="00802BD5" w:rsidP="00802BD5">
      <w:pPr>
        <w:ind w:firstLine="709"/>
        <w:jc w:val="both"/>
        <w:rPr>
          <w:u w:val="single"/>
        </w:rPr>
      </w:pPr>
      <w:r>
        <w:t xml:space="preserve">Видно, что в 2012 г. в прогнозе Минэнерго 2012 предусмотрен ввод генерирующих мощностей в объеме </w:t>
      </w:r>
      <w:r>
        <w:rPr>
          <w:b/>
        </w:rPr>
        <w:t>10</w:t>
      </w:r>
      <w:r w:rsidRPr="00EA3B74">
        <w:rPr>
          <w:b/>
        </w:rPr>
        <w:t>,</w:t>
      </w:r>
      <w:r>
        <w:rPr>
          <w:b/>
        </w:rPr>
        <w:t>75</w:t>
      </w:r>
      <w:r w:rsidRPr="00EA3B74">
        <w:rPr>
          <w:b/>
        </w:rPr>
        <w:t xml:space="preserve"> ГВт</w:t>
      </w:r>
      <w:r>
        <w:t xml:space="preserve">, а фактически он составил всего </w:t>
      </w:r>
      <w:r>
        <w:rPr>
          <w:b/>
        </w:rPr>
        <w:t>6,13</w:t>
      </w:r>
      <w:r w:rsidRPr="00EA3B74">
        <w:rPr>
          <w:b/>
        </w:rPr>
        <w:t xml:space="preserve"> ГВт </w:t>
      </w:r>
      <w:r>
        <w:t xml:space="preserve">или на </w:t>
      </w:r>
      <w:r>
        <w:rPr>
          <w:b/>
        </w:rPr>
        <w:t>43</w:t>
      </w:r>
      <w:r w:rsidRPr="00A74AB1">
        <w:rPr>
          <w:b/>
        </w:rPr>
        <w:t>% меньше</w:t>
      </w:r>
      <w:r>
        <w:t>.</w:t>
      </w:r>
      <w:r>
        <w:rPr>
          <w:u w:val="single"/>
        </w:rPr>
        <w:t xml:space="preserve"> </w:t>
      </w:r>
    </w:p>
    <w:p w:rsidR="00802BD5" w:rsidRPr="00EA3B74" w:rsidRDefault="007E5591" w:rsidP="00802BD5">
      <w:pPr>
        <w:ind w:firstLine="709"/>
        <w:jc w:val="both"/>
        <w:rPr>
          <w:u w:val="single"/>
        </w:rPr>
      </w:pPr>
      <w:r>
        <w:t>Отсюда следует, что в прогнозах 2011 и 2012 г. предусмотренный объем вводов генерирующих мощностей</w:t>
      </w:r>
      <w:r w:rsidR="00433F9C">
        <w:t xml:space="preserve"> </w:t>
      </w:r>
      <w:r>
        <w:t>в 2011, 2012 г. завышен</w:t>
      </w:r>
      <w:r w:rsidR="00433F9C">
        <w:t>,</w:t>
      </w:r>
      <w:r>
        <w:t xml:space="preserve"> </w:t>
      </w:r>
      <w:r w:rsidR="00433F9C">
        <w:t xml:space="preserve">соответственно, </w:t>
      </w:r>
      <w:r>
        <w:t>по отношению к фактическим</w:t>
      </w:r>
      <w:r w:rsidRPr="007E5591">
        <w:t xml:space="preserve"> </w:t>
      </w:r>
      <w:r>
        <w:t xml:space="preserve">на 39% и 43% или, в среднем, на </w:t>
      </w:r>
      <w:r w:rsidRPr="007E5591">
        <w:rPr>
          <w:b/>
        </w:rPr>
        <w:t>41%.</w:t>
      </w:r>
    </w:p>
    <w:p w:rsidR="00E36D17" w:rsidRDefault="00E36D17" w:rsidP="00E36D17">
      <w:pPr>
        <w:jc w:val="both"/>
        <w:rPr>
          <w:u w:val="single"/>
        </w:rPr>
      </w:pPr>
    </w:p>
    <w:p w:rsidR="00E36D17" w:rsidRPr="00A81F9F" w:rsidRDefault="00E36D17" w:rsidP="00E36D17">
      <w:pPr>
        <w:jc w:val="both"/>
      </w:pPr>
      <w:r w:rsidRPr="00E7277B">
        <w:rPr>
          <w:u w:val="single"/>
        </w:rPr>
        <w:t>Прогноз Минэнерго 201</w:t>
      </w:r>
      <w:r>
        <w:rPr>
          <w:u w:val="single"/>
        </w:rPr>
        <w:t>3</w:t>
      </w:r>
      <w:r>
        <w:t>.</w:t>
      </w:r>
      <w:r w:rsidRPr="00A81F9F">
        <w:t xml:space="preserve"> </w:t>
      </w:r>
    </w:p>
    <w:p w:rsidR="00E36D17" w:rsidRDefault="00E36D17" w:rsidP="00802BD5">
      <w:pPr>
        <w:jc w:val="both"/>
      </w:pPr>
    </w:p>
    <w:p w:rsidR="00433F9C" w:rsidRDefault="00433F9C" w:rsidP="00433F9C">
      <w:pPr>
        <w:ind w:firstLine="709"/>
        <w:jc w:val="both"/>
      </w:pPr>
      <w:r w:rsidRPr="00A81F9F">
        <w:t>В прогнозе Минэнерго 201</w:t>
      </w:r>
      <w:r>
        <w:t>3</w:t>
      </w:r>
      <w:r w:rsidRPr="00A81F9F">
        <w:t>г. в период 201</w:t>
      </w:r>
      <w:r>
        <w:t>3</w:t>
      </w:r>
      <w:r w:rsidRPr="00A81F9F">
        <w:t xml:space="preserve"> – 201</w:t>
      </w:r>
      <w:r>
        <w:t>9</w:t>
      </w:r>
      <w:r w:rsidRPr="00A81F9F">
        <w:t xml:space="preserve">гг. предусмотрены вводы новых генерирующих мощностей, с высокой вероятностью реализации, в объеме </w:t>
      </w:r>
      <w:r>
        <w:rPr>
          <w:rStyle w:val="af5"/>
          <w:rFonts w:eastAsia="Calibri"/>
          <w:sz w:val="30"/>
        </w:rPr>
        <w:t>33,14 ГВт</w:t>
      </w:r>
      <w:r w:rsidRPr="00A81F9F">
        <w:t>, из них:</w:t>
      </w:r>
      <w:r w:rsidR="00E36D17">
        <w:t xml:space="preserve"> на</w:t>
      </w:r>
      <w:r w:rsidRPr="00A81F9F">
        <w:t xml:space="preserve"> </w:t>
      </w:r>
      <w:r w:rsidR="00E36D17" w:rsidRPr="00A81F9F">
        <w:t xml:space="preserve">ТЭС – </w:t>
      </w:r>
      <w:r w:rsidR="00E36D17">
        <w:rPr>
          <w:rStyle w:val="af5"/>
          <w:rFonts w:eastAsia="Calibri"/>
          <w:sz w:val="30"/>
        </w:rPr>
        <w:t>18,39</w:t>
      </w:r>
      <w:r w:rsidR="00E36D17" w:rsidRPr="00A81F9F">
        <w:rPr>
          <w:rStyle w:val="af5"/>
          <w:rFonts w:eastAsia="Calibri"/>
          <w:sz w:val="30"/>
        </w:rPr>
        <w:t xml:space="preserve"> ГВт</w:t>
      </w:r>
      <w:r w:rsidR="00E36D17">
        <w:rPr>
          <w:rStyle w:val="af5"/>
          <w:rFonts w:eastAsia="Calibri"/>
          <w:sz w:val="30"/>
        </w:rPr>
        <w:t>,</w:t>
      </w:r>
      <w:r w:rsidR="00E36D17" w:rsidRPr="00A81F9F">
        <w:t xml:space="preserve"> </w:t>
      </w:r>
      <w:r w:rsidRPr="00A81F9F">
        <w:t xml:space="preserve">на АЭС – </w:t>
      </w:r>
      <w:r>
        <w:rPr>
          <w:rStyle w:val="af5"/>
          <w:rFonts w:eastAsia="Calibri"/>
          <w:sz w:val="30"/>
        </w:rPr>
        <w:t>11,27</w:t>
      </w:r>
      <w:r w:rsidRPr="00A81F9F">
        <w:rPr>
          <w:rStyle w:val="af5"/>
          <w:rFonts w:eastAsia="Calibri"/>
          <w:sz w:val="30"/>
        </w:rPr>
        <w:t xml:space="preserve"> ГВт</w:t>
      </w:r>
      <w:r w:rsidRPr="00A81F9F">
        <w:t xml:space="preserve">; на ГЭС – </w:t>
      </w:r>
      <w:r>
        <w:rPr>
          <w:rStyle w:val="af5"/>
          <w:rFonts w:eastAsia="Calibri"/>
          <w:sz w:val="30"/>
        </w:rPr>
        <w:t>2,48</w:t>
      </w:r>
      <w:r w:rsidRPr="00A81F9F">
        <w:rPr>
          <w:rStyle w:val="af5"/>
          <w:rFonts w:eastAsia="Calibri"/>
          <w:sz w:val="30"/>
        </w:rPr>
        <w:t>ГВт</w:t>
      </w:r>
      <w:r w:rsidRPr="00A81F9F">
        <w:t xml:space="preserve">; на ГАЭС – </w:t>
      </w:r>
      <w:r w:rsidRPr="00A81F9F">
        <w:rPr>
          <w:rStyle w:val="af5"/>
          <w:rFonts w:eastAsia="Calibri"/>
          <w:sz w:val="30"/>
        </w:rPr>
        <w:t>0,98 ГВт</w:t>
      </w:r>
      <w:r w:rsidRPr="00A81F9F">
        <w:t xml:space="preserve">; на ВИЭ – </w:t>
      </w:r>
      <w:r w:rsidRPr="00A81F9F">
        <w:rPr>
          <w:rStyle w:val="af5"/>
          <w:rFonts w:eastAsia="Calibri"/>
          <w:sz w:val="30"/>
        </w:rPr>
        <w:t>0,</w:t>
      </w:r>
      <w:r>
        <w:rPr>
          <w:rStyle w:val="af5"/>
          <w:rFonts w:eastAsia="Calibri"/>
          <w:sz w:val="30"/>
        </w:rPr>
        <w:t>012</w:t>
      </w:r>
      <w:r w:rsidRPr="00A81F9F">
        <w:rPr>
          <w:rStyle w:val="af5"/>
          <w:rFonts w:eastAsia="Calibri"/>
          <w:sz w:val="30"/>
        </w:rPr>
        <w:t xml:space="preserve"> ГВт</w:t>
      </w:r>
      <w:r w:rsidRPr="00A81F9F">
        <w:t xml:space="preserve">. </w:t>
      </w:r>
      <w:r>
        <w:t xml:space="preserve">При этом планируется ввести </w:t>
      </w:r>
      <w:r w:rsidRPr="00307B5D">
        <w:rPr>
          <w:b/>
        </w:rPr>
        <w:t>0,36 ГВт</w:t>
      </w:r>
      <w:r>
        <w:t xml:space="preserve"> на замену устаревшего оборудования. </w:t>
      </w:r>
    </w:p>
    <w:p w:rsidR="00103AE8" w:rsidRDefault="00103AE8" w:rsidP="00433F9C">
      <w:pPr>
        <w:ind w:firstLine="709"/>
        <w:jc w:val="both"/>
      </w:pPr>
    </w:p>
    <w:p w:rsidR="00A2715A" w:rsidRPr="00A81F9F" w:rsidRDefault="00E95947" w:rsidP="00A2715A">
      <w:pPr>
        <w:ind w:firstLine="709"/>
        <w:jc w:val="right"/>
      </w:pPr>
      <w:r>
        <w:br w:type="page"/>
      </w:r>
      <w:r w:rsidR="00A2715A">
        <w:t xml:space="preserve">Таблица </w:t>
      </w:r>
      <w:r w:rsidR="009A1BCB">
        <w:t>8</w:t>
      </w:r>
      <w:r w:rsidR="00A2715A" w:rsidRPr="00A81F9F">
        <w:t>.</w:t>
      </w:r>
    </w:p>
    <w:p w:rsidR="00E36D17" w:rsidRPr="00A81F9F" w:rsidRDefault="00E36D17" w:rsidP="00E36D17">
      <w:pPr>
        <w:ind w:firstLine="709"/>
        <w:jc w:val="both"/>
      </w:pPr>
      <w:r w:rsidRPr="00A81F9F">
        <w:t>Вводы мощности на электростанциях ЕЭС России, ГВт, прогноз Минэнерго 201</w:t>
      </w:r>
      <w:r w:rsidR="002632A4">
        <w:t>3</w:t>
      </w:r>
      <w:r w:rsidRPr="00A81F9F">
        <w:t xml:space="preserve"> г. В период 201</w:t>
      </w:r>
      <w:r w:rsidR="002632A4">
        <w:t>3</w:t>
      </w:r>
      <w:r w:rsidRPr="00A81F9F">
        <w:t xml:space="preserve"> – 201</w:t>
      </w:r>
      <w:r w:rsidR="002632A4">
        <w:t>9</w:t>
      </w:r>
      <w:r w:rsidRPr="00A81F9F">
        <w:t>гг. и фактический вв</w:t>
      </w:r>
      <w:r>
        <w:t>од генерирующих мощностей в 2012</w:t>
      </w:r>
      <w:r w:rsidRPr="00A81F9F">
        <w:t xml:space="preserve">г. </w:t>
      </w:r>
    </w:p>
    <w:p w:rsidR="00E36D17" w:rsidRPr="00A81F9F" w:rsidRDefault="00E36D17" w:rsidP="00E36D17">
      <w:pPr>
        <w:ind w:firstLine="709"/>
        <w:jc w:val="both"/>
      </w:pPr>
    </w:p>
    <w:p w:rsidR="00E36D17" w:rsidRDefault="00E36D17" w:rsidP="00433F9C">
      <w:pPr>
        <w:ind w:firstLine="709"/>
        <w:jc w:val="both"/>
      </w:pPr>
    </w:p>
    <w:tbl>
      <w:tblPr>
        <w:tblW w:w="1057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13"/>
        <w:gridCol w:w="992"/>
        <w:gridCol w:w="1126"/>
        <w:gridCol w:w="1126"/>
        <w:gridCol w:w="1126"/>
        <w:gridCol w:w="1127"/>
        <w:gridCol w:w="1127"/>
        <w:gridCol w:w="1101"/>
        <w:gridCol w:w="1134"/>
      </w:tblGrid>
      <w:tr w:rsidR="000865B5" w:rsidRPr="00A81F9F" w:rsidTr="0077227E">
        <w:tc>
          <w:tcPr>
            <w:tcW w:w="1713" w:type="dxa"/>
          </w:tcPr>
          <w:p w:rsidR="000865B5" w:rsidRPr="00A81F9F" w:rsidRDefault="000865B5" w:rsidP="009113E0">
            <w:pPr>
              <w:ind w:firstLine="709"/>
              <w:jc w:val="both"/>
            </w:pPr>
          </w:p>
        </w:tc>
        <w:tc>
          <w:tcPr>
            <w:tcW w:w="992" w:type="dxa"/>
          </w:tcPr>
          <w:p w:rsidR="000865B5" w:rsidRPr="00A81F9F" w:rsidRDefault="000865B5" w:rsidP="009113E0">
            <w:pPr>
              <w:jc w:val="both"/>
            </w:pPr>
            <w:r w:rsidRPr="00A81F9F">
              <w:t>2013 г.</w:t>
            </w:r>
          </w:p>
        </w:tc>
        <w:tc>
          <w:tcPr>
            <w:tcW w:w="1126" w:type="dxa"/>
          </w:tcPr>
          <w:p w:rsidR="000865B5" w:rsidRPr="00A81F9F" w:rsidRDefault="000865B5" w:rsidP="009113E0">
            <w:pPr>
              <w:jc w:val="both"/>
            </w:pPr>
            <w:smartTag w:uri="urn:schemas-microsoft-com:office:smarttags" w:element="metricconverter">
              <w:smartTagPr>
                <w:attr w:name="ProductID" w:val="2014 г"/>
              </w:smartTagPr>
              <w:r w:rsidRPr="00A81F9F">
                <w:t>2014 г</w:t>
              </w:r>
            </w:smartTag>
            <w:r w:rsidRPr="00A81F9F">
              <w:t>.</w:t>
            </w:r>
          </w:p>
        </w:tc>
        <w:tc>
          <w:tcPr>
            <w:tcW w:w="1126" w:type="dxa"/>
          </w:tcPr>
          <w:p w:rsidR="000865B5" w:rsidRPr="00A81F9F" w:rsidRDefault="000865B5" w:rsidP="009113E0">
            <w:pPr>
              <w:jc w:val="both"/>
            </w:pPr>
            <w:smartTag w:uri="urn:schemas-microsoft-com:office:smarttags" w:element="metricconverter">
              <w:smartTagPr>
                <w:attr w:name="ProductID" w:val="2015 г"/>
              </w:smartTagPr>
              <w:r w:rsidRPr="00A81F9F">
                <w:t>2015 г</w:t>
              </w:r>
            </w:smartTag>
            <w:r w:rsidRPr="00A81F9F">
              <w:t>.</w:t>
            </w:r>
          </w:p>
        </w:tc>
        <w:tc>
          <w:tcPr>
            <w:tcW w:w="1126" w:type="dxa"/>
          </w:tcPr>
          <w:p w:rsidR="000865B5" w:rsidRPr="00A81F9F" w:rsidRDefault="000865B5" w:rsidP="009113E0">
            <w:pPr>
              <w:jc w:val="both"/>
            </w:pPr>
            <w:smartTag w:uri="urn:schemas-microsoft-com:office:smarttags" w:element="metricconverter">
              <w:smartTagPr>
                <w:attr w:name="ProductID" w:val="2016 г"/>
              </w:smartTagPr>
              <w:r w:rsidRPr="00A81F9F">
                <w:t>2016 г</w:t>
              </w:r>
            </w:smartTag>
            <w:r w:rsidRPr="00A81F9F">
              <w:t>.</w:t>
            </w:r>
          </w:p>
        </w:tc>
        <w:tc>
          <w:tcPr>
            <w:tcW w:w="1127" w:type="dxa"/>
          </w:tcPr>
          <w:p w:rsidR="000865B5" w:rsidRPr="00A81F9F" w:rsidRDefault="000865B5" w:rsidP="009113E0">
            <w:pPr>
              <w:jc w:val="both"/>
            </w:pPr>
            <w:smartTag w:uri="urn:schemas-microsoft-com:office:smarttags" w:element="metricconverter">
              <w:smartTagPr>
                <w:attr w:name="ProductID" w:val="2017 г"/>
              </w:smartTagPr>
              <w:r w:rsidRPr="00A81F9F">
                <w:t>2017 г</w:t>
              </w:r>
            </w:smartTag>
            <w:r w:rsidRPr="00A81F9F">
              <w:t>.</w:t>
            </w:r>
          </w:p>
        </w:tc>
        <w:tc>
          <w:tcPr>
            <w:tcW w:w="1127" w:type="dxa"/>
          </w:tcPr>
          <w:p w:rsidR="000865B5" w:rsidRPr="00A81F9F" w:rsidRDefault="000865B5" w:rsidP="009113E0">
            <w:pPr>
              <w:jc w:val="both"/>
            </w:pPr>
            <w:smartTag w:uri="urn:schemas-microsoft-com:office:smarttags" w:element="metricconverter">
              <w:smartTagPr>
                <w:attr w:name="ProductID" w:val="2018 г"/>
              </w:smartTagPr>
              <w:r w:rsidRPr="00A81F9F">
                <w:t>2018 г</w:t>
              </w:r>
            </w:smartTag>
            <w:r w:rsidRPr="00A81F9F">
              <w:t>.</w:t>
            </w:r>
          </w:p>
        </w:tc>
        <w:tc>
          <w:tcPr>
            <w:tcW w:w="1101" w:type="dxa"/>
          </w:tcPr>
          <w:p w:rsidR="000865B5" w:rsidRPr="00A81F9F" w:rsidRDefault="000865B5" w:rsidP="009113E0">
            <w:pPr>
              <w:jc w:val="both"/>
            </w:pPr>
            <w:r>
              <w:t>2019 г.</w:t>
            </w:r>
          </w:p>
        </w:tc>
        <w:tc>
          <w:tcPr>
            <w:tcW w:w="1134" w:type="dxa"/>
          </w:tcPr>
          <w:p w:rsidR="000865B5" w:rsidRPr="00A81F9F" w:rsidRDefault="000865B5" w:rsidP="009113E0">
            <w:pPr>
              <w:jc w:val="both"/>
            </w:pPr>
            <w:r>
              <w:t>Всего за 2013-2019</w:t>
            </w:r>
            <w:r w:rsidRPr="00A81F9F">
              <w:t xml:space="preserve"> гг.</w:t>
            </w:r>
          </w:p>
        </w:tc>
      </w:tr>
      <w:tr w:rsidR="000865B5" w:rsidRPr="0077227E" w:rsidTr="0077227E">
        <w:tc>
          <w:tcPr>
            <w:tcW w:w="1713" w:type="dxa"/>
          </w:tcPr>
          <w:p w:rsidR="000865B5" w:rsidRPr="0077227E" w:rsidRDefault="000865B5" w:rsidP="009113E0">
            <w:pPr>
              <w:jc w:val="both"/>
              <w:rPr>
                <w:b/>
              </w:rPr>
            </w:pPr>
            <w:r w:rsidRPr="0077227E">
              <w:rPr>
                <w:b/>
              </w:rPr>
              <w:t>ЕЭС России</w:t>
            </w:r>
          </w:p>
        </w:tc>
        <w:tc>
          <w:tcPr>
            <w:tcW w:w="992" w:type="dxa"/>
          </w:tcPr>
          <w:p w:rsidR="000865B5" w:rsidRPr="0077227E" w:rsidRDefault="000865B5" w:rsidP="0077227E">
            <w:pPr>
              <w:jc w:val="center"/>
              <w:rPr>
                <w:b/>
              </w:rPr>
            </w:pPr>
            <w:r w:rsidRPr="0077227E">
              <w:rPr>
                <w:b/>
              </w:rPr>
              <w:t>6,74</w:t>
            </w:r>
          </w:p>
        </w:tc>
        <w:tc>
          <w:tcPr>
            <w:tcW w:w="1126" w:type="dxa"/>
          </w:tcPr>
          <w:p w:rsidR="000865B5" w:rsidRPr="0077227E" w:rsidRDefault="000865B5" w:rsidP="0077227E">
            <w:pPr>
              <w:jc w:val="center"/>
              <w:rPr>
                <w:b/>
              </w:rPr>
            </w:pPr>
            <w:r w:rsidRPr="0077227E">
              <w:rPr>
                <w:b/>
              </w:rPr>
              <w:t>9,34</w:t>
            </w:r>
          </w:p>
        </w:tc>
        <w:tc>
          <w:tcPr>
            <w:tcW w:w="1126" w:type="dxa"/>
          </w:tcPr>
          <w:p w:rsidR="000865B5" w:rsidRPr="0077227E" w:rsidRDefault="000865B5" w:rsidP="0077227E">
            <w:pPr>
              <w:jc w:val="center"/>
              <w:rPr>
                <w:b/>
              </w:rPr>
            </w:pPr>
            <w:r w:rsidRPr="0077227E">
              <w:rPr>
                <w:b/>
              </w:rPr>
              <w:t>8,51</w:t>
            </w:r>
          </w:p>
        </w:tc>
        <w:tc>
          <w:tcPr>
            <w:tcW w:w="1126" w:type="dxa"/>
          </w:tcPr>
          <w:p w:rsidR="000865B5" w:rsidRPr="0077227E" w:rsidRDefault="000865B5" w:rsidP="0077227E">
            <w:pPr>
              <w:jc w:val="center"/>
              <w:rPr>
                <w:b/>
              </w:rPr>
            </w:pPr>
            <w:r w:rsidRPr="0077227E">
              <w:rPr>
                <w:b/>
              </w:rPr>
              <w:t>3,02</w:t>
            </w:r>
          </w:p>
        </w:tc>
        <w:tc>
          <w:tcPr>
            <w:tcW w:w="1127" w:type="dxa"/>
          </w:tcPr>
          <w:p w:rsidR="000865B5" w:rsidRPr="0077227E" w:rsidRDefault="000865B5" w:rsidP="0077227E">
            <w:pPr>
              <w:jc w:val="center"/>
              <w:rPr>
                <w:b/>
              </w:rPr>
            </w:pPr>
            <w:r w:rsidRPr="0077227E">
              <w:rPr>
                <w:b/>
              </w:rPr>
              <w:t>2,79</w:t>
            </w:r>
          </w:p>
        </w:tc>
        <w:tc>
          <w:tcPr>
            <w:tcW w:w="1127" w:type="dxa"/>
          </w:tcPr>
          <w:p w:rsidR="000865B5" w:rsidRPr="0077227E" w:rsidRDefault="000865B5" w:rsidP="0077227E">
            <w:pPr>
              <w:jc w:val="center"/>
              <w:rPr>
                <w:b/>
              </w:rPr>
            </w:pPr>
            <w:r w:rsidRPr="0077227E">
              <w:rPr>
                <w:b/>
              </w:rPr>
              <w:t>1,59</w:t>
            </w:r>
          </w:p>
        </w:tc>
        <w:tc>
          <w:tcPr>
            <w:tcW w:w="1101" w:type="dxa"/>
          </w:tcPr>
          <w:p w:rsidR="000865B5" w:rsidRPr="0077227E" w:rsidRDefault="000865B5" w:rsidP="0077227E">
            <w:pPr>
              <w:jc w:val="center"/>
              <w:rPr>
                <w:b/>
              </w:rPr>
            </w:pPr>
            <w:r w:rsidRPr="0077227E">
              <w:rPr>
                <w:b/>
              </w:rPr>
              <w:t>1,15</w:t>
            </w:r>
          </w:p>
        </w:tc>
        <w:tc>
          <w:tcPr>
            <w:tcW w:w="1134" w:type="dxa"/>
          </w:tcPr>
          <w:p w:rsidR="000865B5" w:rsidRPr="0077227E" w:rsidRDefault="000865B5" w:rsidP="0077227E">
            <w:pPr>
              <w:jc w:val="center"/>
              <w:rPr>
                <w:b/>
              </w:rPr>
            </w:pPr>
            <w:r w:rsidRPr="0077227E">
              <w:rPr>
                <w:b/>
              </w:rPr>
              <w:t>33,14</w:t>
            </w:r>
          </w:p>
        </w:tc>
      </w:tr>
      <w:tr w:rsidR="000865B5" w:rsidRPr="0077227E" w:rsidTr="0077227E">
        <w:tc>
          <w:tcPr>
            <w:tcW w:w="1713" w:type="dxa"/>
          </w:tcPr>
          <w:p w:rsidR="000865B5" w:rsidRPr="0077227E" w:rsidRDefault="000865B5" w:rsidP="009113E0">
            <w:pPr>
              <w:jc w:val="both"/>
              <w:rPr>
                <w:b/>
              </w:rPr>
            </w:pPr>
            <w:r w:rsidRPr="0077227E">
              <w:rPr>
                <w:b/>
              </w:rPr>
              <w:t>АЭС</w:t>
            </w:r>
          </w:p>
        </w:tc>
        <w:tc>
          <w:tcPr>
            <w:tcW w:w="992" w:type="dxa"/>
          </w:tcPr>
          <w:p w:rsidR="000865B5" w:rsidRPr="0077227E" w:rsidRDefault="000865B5" w:rsidP="0077227E">
            <w:pPr>
              <w:jc w:val="center"/>
              <w:rPr>
                <w:b/>
              </w:rPr>
            </w:pPr>
          </w:p>
        </w:tc>
        <w:tc>
          <w:tcPr>
            <w:tcW w:w="1126" w:type="dxa"/>
          </w:tcPr>
          <w:p w:rsidR="000865B5" w:rsidRPr="0077227E" w:rsidRDefault="000865B5" w:rsidP="0077227E">
            <w:pPr>
              <w:jc w:val="center"/>
              <w:rPr>
                <w:b/>
              </w:rPr>
            </w:pPr>
            <w:r w:rsidRPr="0077227E">
              <w:rPr>
                <w:b/>
              </w:rPr>
              <w:t>3,18</w:t>
            </w:r>
          </w:p>
        </w:tc>
        <w:tc>
          <w:tcPr>
            <w:tcW w:w="1126" w:type="dxa"/>
          </w:tcPr>
          <w:p w:rsidR="000865B5" w:rsidRPr="0077227E" w:rsidRDefault="000865B5" w:rsidP="0077227E">
            <w:pPr>
              <w:jc w:val="center"/>
              <w:rPr>
                <w:b/>
              </w:rPr>
            </w:pPr>
            <w:r w:rsidRPr="0077227E">
              <w:rPr>
                <w:b/>
              </w:rPr>
              <w:t>2,37</w:t>
            </w:r>
          </w:p>
        </w:tc>
        <w:tc>
          <w:tcPr>
            <w:tcW w:w="1126" w:type="dxa"/>
          </w:tcPr>
          <w:p w:rsidR="000865B5" w:rsidRPr="0077227E" w:rsidRDefault="000865B5" w:rsidP="0077227E">
            <w:pPr>
              <w:jc w:val="center"/>
              <w:rPr>
                <w:b/>
              </w:rPr>
            </w:pPr>
            <w:r w:rsidRPr="0077227E">
              <w:rPr>
                <w:b/>
              </w:rPr>
              <w:t>1,17</w:t>
            </w:r>
          </w:p>
        </w:tc>
        <w:tc>
          <w:tcPr>
            <w:tcW w:w="1127" w:type="dxa"/>
          </w:tcPr>
          <w:p w:rsidR="000865B5" w:rsidRPr="0077227E" w:rsidRDefault="000865B5" w:rsidP="0077227E">
            <w:pPr>
              <w:jc w:val="center"/>
              <w:rPr>
                <w:b/>
              </w:rPr>
            </w:pPr>
            <w:r w:rsidRPr="0077227E">
              <w:rPr>
                <w:b/>
              </w:rPr>
              <w:t>2,25</w:t>
            </w:r>
          </w:p>
        </w:tc>
        <w:tc>
          <w:tcPr>
            <w:tcW w:w="1127" w:type="dxa"/>
          </w:tcPr>
          <w:p w:rsidR="000865B5" w:rsidRPr="0077227E" w:rsidRDefault="000865B5" w:rsidP="0077227E">
            <w:pPr>
              <w:jc w:val="center"/>
              <w:rPr>
                <w:b/>
              </w:rPr>
            </w:pPr>
            <w:r w:rsidRPr="0077227E">
              <w:rPr>
                <w:b/>
              </w:rPr>
              <w:t>1,15</w:t>
            </w:r>
          </w:p>
        </w:tc>
        <w:tc>
          <w:tcPr>
            <w:tcW w:w="1101" w:type="dxa"/>
          </w:tcPr>
          <w:p w:rsidR="000865B5" w:rsidRPr="0077227E" w:rsidRDefault="000865B5" w:rsidP="0077227E">
            <w:pPr>
              <w:jc w:val="center"/>
              <w:rPr>
                <w:b/>
              </w:rPr>
            </w:pPr>
            <w:r w:rsidRPr="0077227E">
              <w:rPr>
                <w:b/>
              </w:rPr>
              <w:t>1,15</w:t>
            </w:r>
          </w:p>
        </w:tc>
        <w:tc>
          <w:tcPr>
            <w:tcW w:w="1134" w:type="dxa"/>
          </w:tcPr>
          <w:p w:rsidR="000865B5" w:rsidRPr="0077227E" w:rsidRDefault="000865B5" w:rsidP="0077227E">
            <w:pPr>
              <w:jc w:val="center"/>
              <w:rPr>
                <w:b/>
              </w:rPr>
            </w:pPr>
            <w:r w:rsidRPr="0077227E">
              <w:rPr>
                <w:b/>
              </w:rPr>
              <w:t>11,27</w:t>
            </w:r>
          </w:p>
        </w:tc>
      </w:tr>
      <w:tr w:rsidR="000865B5" w:rsidRPr="00A81F9F" w:rsidTr="0077227E">
        <w:tc>
          <w:tcPr>
            <w:tcW w:w="1713" w:type="dxa"/>
          </w:tcPr>
          <w:p w:rsidR="000865B5" w:rsidRPr="00A81F9F" w:rsidRDefault="000865B5" w:rsidP="009113E0">
            <w:pPr>
              <w:jc w:val="both"/>
            </w:pPr>
            <w:r w:rsidRPr="00A81F9F">
              <w:t>ГЭС. в т.ч. ГАЭС</w:t>
            </w:r>
          </w:p>
        </w:tc>
        <w:tc>
          <w:tcPr>
            <w:tcW w:w="992" w:type="dxa"/>
          </w:tcPr>
          <w:p w:rsidR="000865B5" w:rsidRPr="00A81F9F" w:rsidRDefault="0011526C" w:rsidP="0077227E">
            <w:pPr>
              <w:jc w:val="center"/>
            </w:pPr>
            <w:r>
              <w:t>1,80</w:t>
            </w:r>
          </w:p>
          <w:p w:rsidR="000865B5" w:rsidRPr="00A81F9F" w:rsidRDefault="0011526C" w:rsidP="0077227E">
            <w:pPr>
              <w:jc w:val="center"/>
            </w:pPr>
            <w:r>
              <w:t>0,63</w:t>
            </w:r>
          </w:p>
        </w:tc>
        <w:tc>
          <w:tcPr>
            <w:tcW w:w="1126" w:type="dxa"/>
          </w:tcPr>
          <w:p w:rsidR="000865B5" w:rsidRPr="00A81F9F" w:rsidRDefault="0011526C" w:rsidP="0077227E">
            <w:pPr>
              <w:jc w:val="center"/>
            </w:pPr>
            <w:r>
              <w:t>0,05</w:t>
            </w:r>
          </w:p>
          <w:p w:rsidR="000865B5" w:rsidRPr="00A81F9F" w:rsidRDefault="0011526C" w:rsidP="0077227E">
            <w:pPr>
              <w:jc w:val="center"/>
            </w:pPr>
            <w:r>
              <w:t>0,35</w:t>
            </w:r>
          </w:p>
        </w:tc>
        <w:tc>
          <w:tcPr>
            <w:tcW w:w="1126" w:type="dxa"/>
          </w:tcPr>
          <w:p w:rsidR="000865B5" w:rsidRPr="00A81F9F" w:rsidRDefault="0011526C" w:rsidP="0077227E">
            <w:pPr>
              <w:jc w:val="center"/>
            </w:pPr>
            <w:r>
              <w:t>0,17</w:t>
            </w:r>
          </w:p>
          <w:p w:rsidR="000865B5" w:rsidRPr="00A81F9F" w:rsidRDefault="000865B5" w:rsidP="0077227E">
            <w:pPr>
              <w:jc w:val="center"/>
            </w:pPr>
          </w:p>
        </w:tc>
        <w:tc>
          <w:tcPr>
            <w:tcW w:w="1126" w:type="dxa"/>
          </w:tcPr>
          <w:p w:rsidR="000865B5" w:rsidRPr="00A81F9F" w:rsidRDefault="0011526C" w:rsidP="0077227E">
            <w:pPr>
              <w:jc w:val="center"/>
            </w:pPr>
            <w:r>
              <w:t>0,17</w:t>
            </w:r>
          </w:p>
        </w:tc>
        <w:tc>
          <w:tcPr>
            <w:tcW w:w="1127" w:type="dxa"/>
          </w:tcPr>
          <w:p w:rsidR="000865B5" w:rsidRPr="00A81F9F" w:rsidRDefault="0011526C" w:rsidP="0077227E">
            <w:pPr>
              <w:jc w:val="center"/>
            </w:pPr>
            <w:r>
              <w:t>0,34</w:t>
            </w:r>
          </w:p>
        </w:tc>
        <w:tc>
          <w:tcPr>
            <w:tcW w:w="1127" w:type="dxa"/>
          </w:tcPr>
          <w:p w:rsidR="000865B5" w:rsidRPr="00A81F9F" w:rsidRDefault="000865B5" w:rsidP="0077227E">
            <w:pPr>
              <w:jc w:val="center"/>
            </w:pPr>
          </w:p>
        </w:tc>
        <w:tc>
          <w:tcPr>
            <w:tcW w:w="1101" w:type="dxa"/>
          </w:tcPr>
          <w:p w:rsidR="000865B5" w:rsidRPr="00A81F9F" w:rsidRDefault="000865B5" w:rsidP="0077227E">
            <w:pPr>
              <w:jc w:val="center"/>
            </w:pPr>
          </w:p>
        </w:tc>
        <w:tc>
          <w:tcPr>
            <w:tcW w:w="1134" w:type="dxa"/>
          </w:tcPr>
          <w:p w:rsidR="000865B5" w:rsidRDefault="0011526C" w:rsidP="0077227E">
            <w:pPr>
              <w:jc w:val="center"/>
            </w:pPr>
            <w:r>
              <w:t>2,48</w:t>
            </w:r>
          </w:p>
          <w:p w:rsidR="000865B5" w:rsidRPr="00A81F9F" w:rsidRDefault="000865B5" w:rsidP="0077227E">
            <w:pPr>
              <w:jc w:val="center"/>
            </w:pPr>
            <w:r>
              <w:t>0,98</w:t>
            </w:r>
          </w:p>
        </w:tc>
      </w:tr>
      <w:tr w:rsidR="0011526C" w:rsidRPr="0077227E" w:rsidTr="0077227E">
        <w:tc>
          <w:tcPr>
            <w:tcW w:w="1713" w:type="dxa"/>
          </w:tcPr>
          <w:p w:rsidR="0011526C" w:rsidRPr="0077227E" w:rsidRDefault="0011526C" w:rsidP="009113E0">
            <w:pPr>
              <w:jc w:val="both"/>
              <w:rPr>
                <w:b/>
              </w:rPr>
            </w:pPr>
            <w:r w:rsidRPr="0077227E">
              <w:rPr>
                <w:b/>
              </w:rPr>
              <w:t>ТЭС</w:t>
            </w:r>
            <w:r w:rsidR="00EB11E6" w:rsidRPr="0077227E">
              <w:rPr>
                <w:b/>
              </w:rPr>
              <w:t xml:space="preserve"> в т.ч.</w:t>
            </w:r>
          </w:p>
        </w:tc>
        <w:tc>
          <w:tcPr>
            <w:tcW w:w="992" w:type="dxa"/>
          </w:tcPr>
          <w:p w:rsidR="0011526C" w:rsidRPr="0077227E" w:rsidRDefault="0011526C" w:rsidP="0077227E">
            <w:pPr>
              <w:jc w:val="center"/>
              <w:rPr>
                <w:b/>
              </w:rPr>
            </w:pPr>
            <w:r w:rsidRPr="0077227E">
              <w:rPr>
                <w:b/>
              </w:rPr>
              <w:t>4,31</w:t>
            </w:r>
          </w:p>
        </w:tc>
        <w:tc>
          <w:tcPr>
            <w:tcW w:w="1126" w:type="dxa"/>
          </w:tcPr>
          <w:p w:rsidR="0011526C" w:rsidRPr="0077227E" w:rsidRDefault="0011526C" w:rsidP="0077227E">
            <w:pPr>
              <w:jc w:val="center"/>
              <w:rPr>
                <w:b/>
              </w:rPr>
            </w:pPr>
            <w:r w:rsidRPr="0077227E">
              <w:rPr>
                <w:b/>
              </w:rPr>
              <w:t>5,80</w:t>
            </w:r>
          </w:p>
        </w:tc>
        <w:tc>
          <w:tcPr>
            <w:tcW w:w="1126" w:type="dxa"/>
          </w:tcPr>
          <w:p w:rsidR="0011526C" w:rsidRPr="0077227E" w:rsidRDefault="0011526C" w:rsidP="0077227E">
            <w:pPr>
              <w:jc w:val="center"/>
              <w:rPr>
                <w:b/>
              </w:rPr>
            </w:pPr>
            <w:r w:rsidRPr="0077227E">
              <w:rPr>
                <w:b/>
              </w:rPr>
              <w:t>5,97</w:t>
            </w:r>
          </w:p>
        </w:tc>
        <w:tc>
          <w:tcPr>
            <w:tcW w:w="1126" w:type="dxa"/>
          </w:tcPr>
          <w:p w:rsidR="0011526C" w:rsidRPr="0077227E" w:rsidRDefault="0011526C" w:rsidP="0077227E">
            <w:pPr>
              <w:jc w:val="center"/>
              <w:rPr>
                <w:b/>
              </w:rPr>
            </w:pPr>
            <w:r w:rsidRPr="0077227E">
              <w:rPr>
                <w:b/>
              </w:rPr>
              <w:t>1,67</w:t>
            </w:r>
          </w:p>
        </w:tc>
        <w:tc>
          <w:tcPr>
            <w:tcW w:w="1127" w:type="dxa"/>
          </w:tcPr>
          <w:p w:rsidR="0011526C" w:rsidRPr="0077227E" w:rsidRDefault="0011526C" w:rsidP="0077227E">
            <w:pPr>
              <w:jc w:val="center"/>
              <w:rPr>
                <w:b/>
              </w:rPr>
            </w:pPr>
            <w:r w:rsidRPr="0077227E">
              <w:rPr>
                <w:b/>
              </w:rPr>
              <w:t>0,20</w:t>
            </w:r>
          </w:p>
        </w:tc>
        <w:tc>
          <w:tcPr>
            <w:tcW w:w="1127" w:type="dxa"/>
          </w:tcPr>
          <w:p w:rsidR="0011526C" w:rsidRPr="0077227E" w:rsidRDefault="0011526C" w:rsidP="0077227E">
            <w:pPr>
              <w:jc w:val="center"/>
              <w:rPr>
                <w:b/>
              </w:rPr>
            </w:pPr>
            <w:r w:rsidRPr="0077227E">
              <w:rPr>
                <w:b/>
              </w:rPr>
              <w:t>0,44</w:t>
            </w:r>
          </w:p>
        </w:tc>
        <w:tc>
          <w:tcPr>
            <w:tcW w:w="1101" w:type="dxa"/>
          </w:tcPr>
          <w:p w:rsidR="0011526C" w:rsidRPr="0077227E" w:rsidRDefault="0011526C" w:rsidP="0077227E">
            <w:pPr>
              <w:jc w:val="center"/>
              <w:rPr>
                <w:b/>
              </w:rPr>
            </w:pPr>
          </w:p>
        </w:tc>
        <w:tc>
          <w:tcPr>
            <w:tcW w:w="1134" w:type="dxa"/>
          </w:tcPr>
          <w:p w:rsidR="0011526C" w:rsidRPr="0077227E" w:rsidRDefault="0011526C" w:rsidP="0077227E">
            <w:pPr>
              <w:jc w:val="center"/>
              <w:rPr>
                <w:b/>
              </w:rPr>
            </w:pPr>
            <w:r w:rsidRPr="0077227E">
              <w:rPr>
                <w:b/>
              </w:rPr>
              <w:t>18,39</w:t>
            </w:r>
          </w:p>
        </w:tc>
      </w:tr>
      <w:tr w:rsidR="00EB11E6" w:rsidRPr="00A81F9F" w:rsidTr="0077227E">
        <w:tc>
          <w:tcPr>
            <w:tcW w:w="1713" w:type="dxa"/>
          </w:tcPr>
          <w:p w:rsidR="00EB11E6" w:rsidRPr="00A81F9F" w:rsidRDefault="00EB11E6" w:rsidP="009113E0">
            <w:pPr>
              <w:jc w:val="both"/>
            </w:pPr>
            <w:r>
              <w:t>ТЭЦ</w:t>
            </w:r>
          </w:p>
        </w:tc>
        <w:tc>
          <w:tcPr>
            <w:tcW w:w="992" w:type="dxa"/>
          </w:tcPr>
          <w:p w:rsidR="00EB11E6" w:rsidRPr="00A81F9F" w:rsidRDefault="00EB11E6" w:rsidP="0077227E">
            <w:pPr>
              <w:jc w:val="center"/>
            </w:pPr>
            <w:r>
              <w:t>2,05</w:t>
            </w:r>
          </w:p>
        </w:tc>
        <w:tc>
          <w:tcPr>
            <w:tcW w:w="1126" w:type="dxa"/>
          </w:tcPr>
          <w:p w:rsidR="00EB11E6" w:rsidRPr="00A81F9F" w:rsidRDefault="00EB11E6" w:rsidP="0077227E">
            <w:pPr>
              <w:jc w:val="center"/>
            </w:pPr>
            <w:r>
              <w:t>3,82</w:t>
            </w:r>
          </w:p>
        </w:tc>
        <w:tc>
          <w:tcPr>
            <w:tcW w:w="1126" w:type="dxa"/>
          </w:tcPr>
          <w:p w:rsidR="00EB11E6" w:rsidRPr="00A81F9F" w:rsidRDefault="00EB11E6" w:rsidP="0077227E">
            <w:pPr>
              <w:jc w:val="center"/>
            </w:pPr>
            <w:r>
              <w:t>1,79</w:t>
            </w:r>
          </w:p>
        </w:tc>
        <w:tc>
          <w:tcPr>
            <w:tcW w:w="1126" w:type="dxa"/>
          </w:tcPr>
          <w:p w:rsidR="00EB11E6" w:rsidRPr="00A81F9F" w:rsidRDefault="00EB11E6" w:rsidP="0077227E">
            <w:pPr>
              <w:jc w:val="center"/>
            </w:pPr>
            <w:r>
              <w:t>0,79</w:t>
            </w:r>
          </w:p>
        </w:tc>
        <w:tc>
          <w:tcPr>
            <w:tcW w:w="1127" w:type="dxa"/>
          </w:tcPr>
          <w:p w:rsidR="00EB11E6" w:rsidRPr="00A81F9F" w:rsidRDefault="00EB11E6" w:rsidP="0077227E">
            <w:pPr>
              <w:jc w:val="center"/>
            </w:pPr>
            <w:r>
              <w:t>0,20</w:t>
            </w:r>
          </w:p>
        </w:tc>
        <w:tc>
          <w:tcPr>
            <w:tcW w:w="1127" w:type="dxa"/>
          </w:tcPr>
          <w:p w:rsidR="00EB11E6" w:rsidRPr="00A81F9F" w:rsidRDefault="00EB11E6" w:rsidP="0077227E">
            <w:pPr>
              <w:jc w:val="center"/>
            </w:pPr>
            <w:r w:rsidRPr="00A81F9F">
              <w:t>0,44</w:t>
            </w:r>
          </w:p>
        </w:tc>
        <w:tc>
          <w:tcPr>
            <w:tcW w:w="1101" w:type="dxa"/>
          </w:tcPr>
          <w:p w:rsidR="00EB11E6" w:rsidRPr="00A81F9F" w:rsidRDefault="00EB11E6" w:rsidP="0077227E">
            <w:pPr>
              <w:jc w:val="center"/>
            </w:pPr>
          </w:p>
        </w:tc>
        <w:tc>
          <w:tcPr>
            <w:tcW w:w="1134" w:type="dxa"/>
          </w:tcPr>
          <w:p w:rsidR="00EB11E6" w:rsidRPr="00A81F9F" w:rsidRDefault="00EB11E6" w:rsidP="0077227E">
            <w:pPr>
              <w:jc w:val="center"/>
            </w:pPr>
            <w:r>
              <w:t>9,09</w:t>
            </w:r>
          </w:p>
        </w:tc>
      </w:tr>
      <w:tr w:rsidR="00EB11E6" w:rsidRPr="00A81F9F" w:rsidTr="0077227E">
        <w:tc>
          <w:tcPr>
            <w:tcW w:w="1713" w:type="dxa"/>
          </w:tcPr>
          <w:p w:rsidR="00EB11E6" w:rsidRPr="00A81F9F" w:rsidRDefault="00EB11E6" w:rsidP="009113E0">
            <w:pPr>
              <w:jc w:val="both"/>
            </w:pPr>
            <w:r>
              <w:t>КЭС</w:t>
            </w:r>
          </w:p>
        </w:tc>
        <w:tc>
          <w:tcPr>
            <w:tcW w:w="992" w:type="dxa"/>
          </w:tcPr>
          <w:p w:rsidR="00EB11E6" w:rsidRPr="00A81F9F" w:rsidRDefault="00EB11E6" w:rsidP="0077227E">
            <w:pPr>
              <w:jc w:val="center"/>
            </w:pPr>
            <w:r>
              <w:t>2,26</w:t>
            </w:r>
          </w:p>
        </w:tc>
        <w:tc>
          <w:tcPr>
            <w:tcW w:w="1126" w:type="dxa"/>
          </w:tcPr>
          <w:p w:rsidR="00EB11E6" w:rsidRPr="00A81F9F" w:rsidRDefault="00EB11E6" w:rsidP="0077227E">
            <w:pPr>
              <w:jc w:val="center"/>
            </w:pPr>
            <w:r>
              <w:t>1,98</w:t>
            </w:r>
          </w:p>
        </w:tc>
        <w:tc>
          <w:tcPr>
            <w:tcW w:w="1126" w:type="dxa"/>
          </w:tcPr>
          <w:p w:rsidR="00EB11E6" w:rsidRPr="00A81F9F" w:rsidRDefault="00EB11E6" w:rsidP="0077227E">
            <w:pPr>
              <w:jc w:val="center"/>
            </w:pPr>
            <w:r>
              <w:t>4,18</w:t>
            </w:r>
          </w:p>
        </w:tc>
        <w:tc>
          <w:tcPr>
            <w:tcW w:w="1126" w:type="dxa"/>
          </w:tcPr>
          <w:p w:rsidR="00EB11E6" w:rsidRPr="00A81F9F" w:rsidRDefault="00EB11E6" w:rsidP="0077227E">
            <w:pPr>
              <w:jc w:val="center"/>
            </w:pPr>
            <w:r>
              <w:t>0,88</w:t>
            </w:r>
          </w:p>
        </w:tc>
        <w:tc>
          <w:tcPr>
            <w:tcW w:w="1127" w:type="dxa"/>
          </w:tcPr>
          <w:p w:rsidR="00EB11E6" w:rsidRPr="00A81F9F" w:rsidRDefault="00EB11E6" w:rsidP="0077227E">
            <w:pPr>
              <w:jc w:val="center"/>
            </w:pPr>
          </w:p>
        </w:tc>
        <w:tc>
          <w:tcPr>
            <w:tcW w:w="1127" w:type="dxa"/>
          </w:tcPr>
          <w:p w:rsidR="00EB11E6" w:rsidRPr="00A81F9F" w:rsidRDefault="00EB11E6" w:rsidP="0077227E">
            <w:pPr>
              <w:jc w:val="center"/>
            </w:pPr>
          </w:p>
        </w:tc>
        <w:tc>
          <w:tcPr>
            <w:tcW w:w="1101" w:type="dxa"/>
          </w:tcPr>
          <w:p w:rsidR="00EB11E6" w:rsidRPr="00A81F9F" w:rsidRDefault="00EB11E6" w:rsidP="0077227E">
            <w:pPr>
              <w:jc w:val="center"/>
            </w:pPr>
          </w:p>
        </w:tc>
        <w:tc>
          <w:tcPr>
            <w:tcW w:w="1134" w:type="dxa"/>
          </w:tcPr>
          <w:p w:rsidR="00EB11E6" w:rsidRPr="00A81F9F" w:rsidRDefault="00EB11E6" w:rsidP="0077227E">
            <w:pPr>
              <w:jc w:val="center"/>
            </w:pPr>
            <w:r>
              <w:t>9,30</w:t>
            </w:r>
          </w:p>
        </w:tc>
      </w:tr>
      <w:tr w:rsidR="00EB11E6" w:rsidRPr="0077227E" w:rsidTr="0077227E">
        <w:tc>
          <w:tcPr>
            <w:tcW w:w="1713" w:type="dxa"/>
          </w:tcPr>
          <w:p w:rsidR="00EB11E6" w:rsidRPr="0077227E" w:rsidRDefault="00EB11E6" w:rsidP="00EB11E6">
            <w:pPr>
              <w:jc w:val="both"/>
              <w:rPr>
                <w:b/>
              </w:rPr>
            </w:pPr>
            <w:r w:rsidRPr="0077227E">
              <w:rPr>
                <w:b/>
              </w:rPr>
              <w:t>ВИЭ</w:t>
            </w:r>
          </w:p>
        </w:tc>
        <w:tc>
          <w:tcPr>
            <w:tcW w:w="992" w:type="dxa"/>
          </w:tcPr>
          <w:p w:rsidR="00EB11E6" w:rsidRPr="0077227E" w:rsidRDefault="00EB11E6" w:rsidP="0077227E">
            <w:pPr>
              <w:jc w:val="center"/>
              <w:rPr>
                <w:b/>
              </w:rPr>
            </w:pPr>
          </w:p>
        </w:tc>
        <w:tc>
          <w:tcPr>
            <w:tcW w:w="1126" w:type="dxa"/>
          </w:tcPr>
          <w:p w:rsidR="00EB11E6" w:rsidRPr="0077227E" w:rsidRDefault="00EB11E6" w:rsidP="0077227E">
            <w:pPr>
              <w:jc w:val="center"/>
              <w:rPr>
                <w:b/>
              </w:rPr>
            </w:pPr>
          </w:p>
        </w:tc>
        <w:tc>
          <w:tcPr>
            <w:tcW w:w="1126" w:type="dxa"/>
          </w:tcPr>
          <w:p w:rsidR="00EB11E6" w:rsidRPr="0077227E" w:rsidRDefault="00EB11E6" w:rsidP="0077227E">
            <w:pPr>
              <w:jc w:val="center"/>
              <w:rPr>
                <w:b/>
              </w:rPr>
            </w:pPr>
          </w:p>
        </w:tc>
        <w:tc>
          <w:tcPr>
            <w:tcW w:w="1126" w:type="dxa"/>
          </w:tcPr>
          <w:p w:rsidR="00EB11E6" w:rsidRPr="0077227E" w:rsidRDefault="00EB11E6" w:rsidP="0077227E">
            <w:pPr>
              <w:jc w:val="center"/>
              <w:rPr>
                <w:b/>
              </w:rPr>
            </w:pPr>
            <w:r w:rsidRPr="0077227E">
              <w:rPr>
                <w:b/>
              </w:rPr>
              <w:t>0,012</w:t>
            </w:r>
          </w:p>
        </w:tc>
        <w:tc>
          <w:tcPr>
            <w:tcW w:w="1127" w:type="dxa"/>
          </w:tcPr>
          <w:p w:rsidR="00EB11E6" w:rsidRPr="0077227E" w:rsidRDefault="00EB11E6" w:rsidP="0077227E">
            <w:pPr>
              <w:jc w:val="center"/>
              <w:rPr>
                <w:b/>
              </w:rPr>
            </w:pPr>
          </w:p>
        </w:tc>
        <w:tc>
          <w:tcPr>
            <w:tcW w:w="1127" w:type="dxa"/>
          </w:tcPr>
          <w:p w:rsidR="00EB11E6" w:rsidRPr="0077227E" w:rsidRDefault="00EB11E6" w:rsidP="0077227E">
            <w:pPr>
              <w:jc w:val="center"/>
              <w:rPr>
                <w:b/>
              </w:rPr>
            </w:pPr>
          </w:p>
        </w:tc>
        <w:tc>
          <w:tcPr>
            <w:tcW w:w="1101" w:type="dxa"/>
          </w:tcPr>
          <w:p w:rsidR="00EB11E6" w:rsidRPr="0077227E" w:rsidRDefault="00EB11E6" w:rsidP="0077227E">
            <w:pPr>
              <w:jc w:val="center"/>
              <w:rPr>
                <w:b/>
              </w:rPr>
            </w:pPr>
          </w:p>
        </w:tc>
        <w:tc>
          <w:tcPr>
            <w:tcW w:w="1134" w:type="dxa"/>
          </w:tcPr>
          <w:p w:rsidR="00EB11E6" w:rsidRPr="0077227E" w:rsidRDefault="00EB11E6" w:rsidP="0077227E">
            <w:pPr>
              <w:jc w:val="center"/>
              <w:rPr>
                <w:b/>
              </w:rPr>
            </w:pPr>
            <w:r w:rsidRPr="0077227E">
              <w:rPr>
                <w:b/>
              </w:rPr>
              <w:t>0,012</w:t>
            </w:r>
          </w:p>
        </w:tc>
      </w:tr>
      <w:tr w:rsidR="0077227E" w:rsidRPr="0077227E" w:rsidTr="0077227E">
        <w:tc>
          <w:tcPr>
            <w:tcW w:w="1713" w:type="dxa"/>
          </w:tcPr>
          <w:p w:rsidR="0077227E" w:rsidRPr="0077227E" w:rsidRDefault="0077227E" w:rsidP="009113E0">
            <w:pPr>
              <w:jc w:val="both"/>
            </w:pPr>
            <w:r w:rsidRPr="0077227E">
              <w:t xml:space="preserve"> в т.ч. замена </w:t>
            </w:r>
          </w:p>
        </w:tc>
        <w:tc>
          <w:tcPr>
            <w:tcW w:w="992" w:type="dxa"/>
          </w:tcPr>
          <w:p w:rsidR="0077227E" w:rsidRPr="0077227E" w:rsidRDefault="0077227E" w:rsidP="0077227E">
            <w:pPr>
              <w:jc w:val="center"/>
            </w:pPr>
            <w:r w:rsidRPr="0077227E">
              <w:t>0,062</w:t>
            </w:r>
          </w:p>
        </w:tc>
        <w:tc>
          <w:tcPr>
            <w:tcW w:w="1126" w:type="dxa"/>
          </w:tcPr>
          <w:p w:rsidR="0077227E" w:rsidRPr="0077227E" w:rsidRDefault="0077227E" w:rsidP="0077227E">
            <w:pPr>
              <w:jc w:val="center"/>
            </w:pPr>
            <w:r w:rsidRPr="0077227E">
              <w:t>0,065</w:t>
            </w:r>
          </w:p>
        </w:tc>
        <w:tc>
          <w:tcPr>
            <w:tcW w:w="1126" w:type="dxa"/>
          </w:tcPr>
          <w:p w:rsidR="0077227E" w:rsidRPr="0077227E" w:rsidRDefault="0077227E" w:rsidP="0077227E">
            <w:pPr>
              <w:jc w:val="center"/>
            </w:pPr>
            <w:r w:rsidRPr="0077227E">
              <w:t>0,12</w:t>
            </w:r>
          </w:p>
        </w:tc>
        <w:tc>
          <w:tcPr>
            <w:tcW w:w="1126" w:type="dxa"/>
          </w:tcPr>
          <w:p w:rsidR="0077227E" w:rsidRPr="0077227E" w:rsidRDefault="0077227E" w:rsidP="0077227E">
            <w:pPr>
              <w:jc w:val="center"/>
            </w:pPr>
          </w:p>
        </w:tc>
        <w:tc>
          <w:tcPr>
            <w:tcW w:w="1127" w:type="dxa"/>
          </w:tcPr>
          <w:p w:rsidR="0077227E" w:rsidRPr="0077227E" w:rsidRDefault="0077227E" w:rsidP="0077227E">
            <w:pPr>
              <w:jc w:val="center"/>
            </w:pPr>
          </w:p>
        </w:tc>
        <w:tc>
          <w:tcPr>
            <w:tcW w:w="1127" w:type="dxa"/>
          </w:tcPr>
          <w:p w:rsidR="0077227E" w:rsidRPr="0077227E" w:rsidRDefault="0077227E" w:rsidP="0077227E">
            <w:pPr>
              <w:jc w:val="center"/>
            </w:pPr>
          </w:p>
        </w:tc>
        <w:tc>
          <w:tcPr>
            <w:tcW w:w="1101" w:type="dxa"/>
          </w:tcPr>
          <w:p w:rsidR="0077227E" w:rsidRPr="0077227E" w:rsidRDefault="0077227E" w:rsidP="0077227E">
            <w:pPr>
              <w:jc w:val="center"/>
            </w:pPr>
          </w:p>
        </w:tc>
        <w:tc>
          <w:tcPr>
            <w:tcW w:w="1134" w:type="dxa"/>
          </w:tcPr>
          <w:p w:rsidR="0077227E" w:rsidRPr="0077227E" w:rsidRDefault="0077227E" w:rsidP="0077227E">
            <w:pPr>
              <w:jc w:val="center"/>
            </w:pPr>
            <w:r w:rsidRPr="0077227E">
              <w:t>0,36</w:t>
            </w:r>
          </w:p>
        </w:tc>
      </w:tr>
      <w:tr w:rsidR="0077227E" w:rsidRPr="00A81F9F" w:rsidTr="0077227E">
        <w:tc>
          <w:tcPr>
            <w:tcW w:w="1713" w:type="dxa"/>
          </w:tcPr>
          <w:p w:rsidR="0077227E" w:rsidRPr="00A81F9F" w:rsidRDefault="0077227E" w:rsidP="009113E0">
            <w:pPr>
              <w:jc w:val="both"/>
            </w:pPr>
            <w:r w:rsidRPr="00A81F9F">
              <w:t>ТЭС</w:t>
            </w:r>
            <w:r>
              <w:t xml:space="preserve"> в т.ч.</w:t>
            </w:r>
          </w:p>
        </w:tc>
        <w:tc>
          <w:tcPr>
            <w:tcW w:w="992" w:type="dxa"/>
          </w:tcPr>
          <w:p w:rsidR="0077227E" w:rsidRPr="00A81F9F" w:rsidRDefault="0077227E" w:rsidP="0077227E">
            <w:pPr>
              <w:jc w:val="center"/>
            </w:pPr>
            <w:r>
              <w:t>0,062</w:t>
            </w:r>
          </w:p>
        </w:tc>
        <w:tc>
          <w:tcPr>
            <w:tcW w:w="1126" w:type="dxa"/>
          </w:tcPr>
          <w:p w:rsidR="0077227E" w:rsidRDefault="0077227E" w:rsidP="0077227E">
            <w:pPr>
              <w:jc w:val="center"/>
            </w:pPr>
            <w:r>
              <w:t>0,065</w:t>
            </w:r>
          </w:p>
        </w:tc>
        <w:tc>
          <w:tcPr>
            <w:tcW w:w="1126" w:type="dxa"/>
          </w:tcPr>
          <w:p w:rsidR="0077227E" w:rsidRPr="00A81F9F" w:rsidRDefault="0077227E" w:rsidP="0077227E">
            <w:pPr>
              <w:jc w:val="center"/>
            </w:pPr>
            <w:r>
              <w:t>0,12</w:t>
            </w:r>
          </w:p>
        </w:tc>
        <w:tc>
          <w:tcPr>
            <w:tcW w:w="1126" w:type="dxa"/>
          </w:tcPr>
          <w:p w:rsidR="0077227E" w:rsidRDefault="0077227E" w:rsidP="0077227E">
            <w:pPr>
              <w:jc w:val="center"/>
            </w:pPr>
          </w:p>
        </w:tc>
        <w:tc>
          <w:tcPr>
            <w:tcW w:w="1127" w:type="dxa"/>
          </w:tcPr>
          <w:p w:rsidR="0077227E" w:rsidRPr="00A81F9F" w:rsidRDefault="0077227E" w:rsidP="0077227E">
            <w:pPr>
              <w:jc w:val="center"/>
            </w:pPr>
          </w:p>
        </w:tc>
        <w:tc>
          <w:tcPr>
            <w:tcW w:w="1127" w:type="dxa"/>
          </w:tcPr>
          <w:p w:rsidR="0077227E" w:rsidRPr="00A81F9F" w:rsidRDefault="0077227E" w:rsidP="0077227E">
            <w:pPr>
              <w:jc w:val="center"/>
            </w:pPr>
          </w:p>
        </w:tc>
        <w:tc>
          <w:tcPr>
            <w:tcW w:w="1101" w:type="dxa"/>
          </w:tcPr>
          <w:p w:rsidR="0077227E" w:rsidRPr="00A81F9F" w:rsidRDefault="0077227E" w:rsidP="0077227E">
            <w:pPr>
              <w:jc w:val="center"/>
            </w:pPr>
          </w:p>
        </w:tc>
        <w:tc>
          <w:tcPr>
            <w:tcW w:w="1134" w:type="dxa"/>
          </w:tcPr>
          <w:p w:rsidR="0077227E" w:rsidRDefault="0077227E" w:rsidP="0077227E">
            <w:pPr>
              <w:jc w:val="center"/>
            </w:pPr>
            <w:r>
              <w:t>0,36</w:t>
            </w:r>
          </w:p>
        </w:tc>
      </w:tr>
      <w:tr w:rsidR="0077227E" w:rsidRPr="00A81F9F" w:rsidTr="0077227E">
        <w:tc>
          <w:tcPr>
            <w:tcW w:w="1713" w:type="dxa"/>
          </w:tcPr>
          <w:p w:rsidR="0077227E" w:rsidRPr="00A81F9F" w:rsidRDefault="0077227E" w:rsidP="009113E0">
            <w:pPr>
              <w:jc w:val="both"/>
            </w:pPr>
            <w:r>
              <w:t>ТЭЦ</w:t>
            </w:r>
          </w:p>
        </w:tc>
        <w:tc>
          <w:tcPr>
            <w:tcW w:w="992" w:type="dxa"/>
          </w:tcPr>
          <w:p w:rsidR="0077227E" w:rsidRPr="00A81F9F" w:rsidRDefault="0077227E" w:rsidP="0077227E">
            <w:pPr>
              <w:jc w:val="center"/>
            </w:pPr>
            <w:r>
              <w:t>0,062</w:t>
            </w:r>
          </w:p>
        </w:tc>
        <w:tc>
          <w:tcPr>
            <w:tcW w:w="1126" w:type="dxa"/>
          </w:tcPr>
          <w:p w:rsidR="0077227E" w:rsidRDefault="0077227E" w:rsidP="0077227E">
            <w:pPr>
              <w:jc w:val="center"/>
            </w:pPr>
            <w:r>
              <w:t>0,065</w:t>
            </w:r>
          </w:p>
        </w:tc>
        <w:tc>
          <w:tcPr>
            <w:tcW w:w="1126" w:type="dxa"/>
          </w:tcPr>
          <w:p w:rsidR="0077227E" w:rsidRPr="00A81F9F" w:rsidRDefault="0077227E" w:rsidP="0077227E">
            <w:pPr>
              <w:jc w:val="center"/>
            </w:pPr>
            <w:r>
              <w:t>0,12</w:t>
            </w:r>
          </w:p>
        </w:tc>
        <w:tc>
          <w:tcPr>
            <w:tcW w:w="1126" w:type="dxa"/>
          </w:tcPr>
          <w:p w:rsidR="0077227E" w:rsidRDefault="0077227E" w:rsidP="0077227E">
            <w:pPr>
              <w:jc w:val="center"/>
            </w:pPr>
          </w:p>
        </w:tc>
        <w:tc>
          <w:tcPr>
            <w:tcW w:w="1127" w:type="dxa"/>
          </w:tcPr>
          <w:p w:rsidR="0077227E" w:rsidRPr="00A81F9F" w:rsidRDefault="0077227E" w:rsidP="0077227E">
            <w:pPr>
              <w:jc w:val="center"/>
            </w:pPr>
          </w:p>
        </w:tc>
        <w:tc>
          <w:tcPr>
            <w:tcW w:w="1127" w:type="dxa"/>
          </w:tcPr>
          <w:p w:rsidR="0077227E" w:rsidRPr="00A81F9F" w:rsidRDefault="0077227E" w:rsidP="0077227E">
            <w:pPr>
              <w:jc w:val="center"/>
            </w:pPr>
          </w:p>
        </w:tc>
        <w:tc>
          <w:tcPr>
            <w:tcW w:w="1101" w:type="dxa"/>
          </w:tcPr>
          <w:p w:rsidR="0077227E" w:rsidRPr="00A81F9F" w:rsidRDefault="0077227E" w:rsidP="0077227E">
            <w:pPr>
              <w:jc w:val="center"/>
            </w:pPr>
          </w:p>
        </w:tc>
        <w:tc>
          <w:tcPr>
            <w:tcW w:w="1134" w:type="dxa"/>
          </w:tcPr>
          <w:p w:rsidR="0077227E" w:rsidRDefault="0077227E" w:rsidP="0077227E">
            <w:pPr>
              <w:jc w:val="center"/>
            </w:pPr>
            <w:r>
              <w:t>0,36</w:t>
            </w:r>
          </w:p>
        </w:tc>
      </w:tr>
    </w:tbl>
    <w:p w:rsidR="00E36D17" w:rsidRDefault="00E36D17" w:rsidP="00433F9C">
      <w:pPr>
        <w:ind w:firstLine="709"/>
        <w:jc w:val="both"/>
      </w:pPr>
    </w:p>
    <w:p w:rsidR="00E36D17" w:rsidRDefault="00E36D17" w:rsidP="00433F9C">
      <w:pPr>
        <w:ind w:firstLine="709"/>
        <w:jc w:val="both"/>
      </w:pPr>
    </w:p>
    <w:p w:rsidR="00433F9C" w:rsidRDefault="00433F9C" w:rsidP="00433F9C">
      <w:pPr>
        <w:ind w:firstLine="709"/>
        <w:jc w:val="both"/>
      </w:pPr>
    </w:p>
    <w:p w:rsidR="00433F9C" w:rsidRPr="00A81F9F" w:rsidRDefault="007C1ADE" w:rsidP="00F704A8">
      <w:pPr>
        <w:jc w:val="both"/>
      </w:pPr>
      <w:r>
        <w:rPr>
          <w:noProof/>
        </w:rPr>
        <w:drawing>
          <wp:inline distT="0" distB="0" distL="0" distR="0">
            <wp:extent cx="5852189" cy="3621401"/>
            <wp:effectExtent l="14808" t="6851" r="9928" b="773"/>
            <wp:docPr id="3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704A8" w:rsidRDefault="00F704A8" w:rsidP="00433F9C">
      <w:pPr>
        <w:ind w:firstLine="709"/>
        <w:jc w:val="both"/>
      </w:pPr>
    </w:p>
    <w:p w:rsidR="00433F9C" w:rsidRDefault="00433F9C" w:rsidP="00433F9C">
      <w:pPr>
        <w:ind w:firstLine="709"/>
        <w:jc w:val="both"/>
      </w:pPr>
      <w:r>
        <w:t>Рис. 3</w:t>
      </w:r>
      <w:r w:rsidR="00E95947">
        <w:t>6</w:t>
      </w:r>
      <w:r w:rsidR="00E36D17">
        <w:t xml:space="preserve">. </w:t>
      </w:r>
      <w:r w:rsidR="00605101">
        <w:t>Динамика вводов</w:t>
      </w:r>
      <w:r w:rsidR="00605101" w:rsidRPr="00A81F9F">
        <w:t xml:space="preserve"> мощностей на электростанциях ЕЭС Росс</w:t>
      </w:r>
      <w:r w:rsidR="00605101">
        <w:t>ии, ГВт, прогноз Минэнерго, 2013г., в период 2013 – 2019</w:t>
      </w:r>
      <w:r w:rsidR="00605101" w:rsidRPr="00A81F9F">
        <w:t xml:space="preserve">гг. </w:t>
      </w:r>
      <w:r w:rsidR="00605101">
        <w:t xml:space="preserve">и прогноз фактического ввода мощностей </w:t>
      </w:r>
      <w:r w:rsidR="00605101">
        <w:br/>
        <w:t>в 2013 г. по СПЭ.</w:t>
      </w:r>
    </w:p>
    <w:p w:rsidR="00433F9C" w:rsidRDefault="00433F9C" w:rsidP="00433F9C">
      <w:pPr>
        <w:ind w:firstLine="709"/>
        <w:jc w:val="both"/>
      </w:pPr>
    </w:p>
    <w:p w:rsidR="00A23165" w:rsidRDefault="009658EF" w:rsidP="00433F9C">
      <w:pPr>
        <w:ind w:firstLine="709"/>
        <w:jc w:val="both"/>
      </w:pPr>
      <w:r>
        <w:t>Прогноз фактического ввода мощностей по СПЭ 2013 в 2013 г.</w:t>
      </w:r>
      <w:r w:rsidR="00BE2370">
        <w:t xml:space="preserve"> – 4ГВт - </w:t>
      </w:r>
      <w:r>
        <w:t xml:space="preserve"> получен из расчета уменьшения на 41% прогноза Минэнерго 2013</w:t>
      </w:r>
      <w:r w:rsidR="00BE2370">
        <w:t>, в соответствие с практикой Минэнерго 2011, 2012.</w:t>
      </w:r>
    </w:p>
    <w:p w:rsidR="00A2433E" w:rsidRDefault="00A2433E" w:rsidP="009C1569">
      <w:pPr>
        <w:ind w:firstLine="709"/>
        <w:jc w:val="both"/>
      </w:pPr>
    </w:p>
    <w:p w:rsidR="00A2433E" w:rsidRDefault="00A2433E" w:rsidP="009C1569">
      <w:pPr>
        <w:ind w:firstLine="709"/>
        <w:jc w:val="both"/>
        <w:rPr>
          <w:b/>
        </w:rPr>
      </w:pPr>
      <w:r>
        <w:t xml:space="preserve">Анализа программ вводов новых генерирующих мощностей по прогнозам Минэнерго 2011, 2012 и 2013 </w:t>
      </w:r>
      <w:r w:rsidR="00BB057B">
        <w:t xml:space="preserve">показал, что они </w:t>
      </w:r>
      <w:r w:rsidR="00BB057B" w:rsidRPr="00BB057B">
        <w:rPr>
          <w:b/>
        </w:rPr>
        <w:t>плохо</w:t>
      </w:r>
      <w:r w:rsidR="00BB057B">
        <w:t xml:space="preserve"> обоснованы и содержат</w:t>
      </w:r>
      <w:r>
        <w:t xml:space="preserve"> следующие </w:t>
      </w:r>
      <w:r w:rsidRPr="00BB057B">
        <w:rPr>
          <w:b/>
        </w:rPr>
        <w:t>недостатки:</w:t>
      </w:r>
    </w:p>
    <w:p w:rsidR="00BB057B" w:rsidRDefault="00BB057B" w:rsidP="009C1569">
      <w:pPr>
        <w:ind w:firstLine="709"/>
        <w:jc w:val="both"/>
      </w:pPr>
    </w:p>
    <w:p w:rsidR="00E305D9" w:rsidRDefault="00A2433E" w:rsidP="00BB057B">
      <w:pPr>
        <w:ind w:firstLine="709"/>
        <w:jc w:val="both"/>
      </w:pPr>
      <w:r>
        <w:t xml:space="preserve">- в </w:t>
      </w:r>
      <w:r w:rsidR="00E305D9">
        <w:t>Минэнерго 2013, по сравнению с Минэнерго 2012</w:t>
      </w:r>
      <w:r w:rsidR="00BB057B">
        <w:t xml:space="preserve"> (разница в 1 год)</w:t>
      </w:r>
      <w:r w:rsidR="00E305D9">
        <w:t>,</w:t>
      </w:r>
      <w:r w:rsidR="00730883">
        <w:t xml:space="preserve"> объем</w:t>
      </w:r>
      <w:r w:rsidR="00E305D9">
        <w:t xml:space="preserve"> </w:t>
      </w:r>
      <w:r>
        <w:t xml:space="preserve">ввода новых генерирующих мощностей </w:t>
      </w:r>
      <w:r w:rsidR="003624BE">
        <w:t xml:space="preserve">снизился </w:t>
      </w:r>
      <w:r w:rsidR="00B36E03">
        <w:t xml:space="preserve">существенно -  </w:t>
      </w:r>
      <w:r w:rsidR="003624BE">
        <w:t xml:space="preserve">на 7 ГВт или на 17,5%. </w:t>
      </w:r>
    </w:p>
    <w:p w:rsidR="009C1569" w:rsidRPr="00A81F9F" w:rsidRDefault="0013759B" w:rsidP="009C1569">
      <w:pPr>
        <w:ind w:firstLine="709"/>
        <w:jc w:val="both"/>
      </w:pPr>
      <w:r>
        <w:t xml:space="preserve">- </w:t>
      </w:r>
      <w:r w:rsidR="009C1569" w:rsidRPr="00A81F9F">
        <w:t>фактически</w:t>
      </w:r>
      <w:r w:rsidR="000A57F9">
        <w:t>е</w:t>
      </w:r>
      <w:r w:rsidR="009C1569" w:rsidRPr="00A81F9F">
        <w:t xml:space="preserve"> ввод</w:t>
      </w:r>
      <w:r w:rsidR="000A57F9">
        <w:t>ы</w:t>
      </w:r>
      <w:r w:rsidR="009C1569" w:rsidRPr="00A81F9F">
        <w:t xml:space="preserve"> ге</w:t>
      </w:r>
      <w:r w:rsidR="004C263E">
        <w:t>н</w:t>
      </w:r>
      <w:r w:rsidR="009C1569" w:rsidRPr="00A81F9F">
        <w:t>ерирующих мощностей в 2011г.</w:t>
      </w:r>
      <w:r>
        <w:t xml:space="preserve">, 2012 г. </w:t>
      </w:r>
      <w:r w:rsidR="009C1569" w:rsidRPr="00A81F9F">
        <w:t>рав</w:t>
      </w:r>
      <w:r w:rsidR="000A57F9">
        <w:t>ны</w:t>
      </w:r>
      <w:r>
        <w:t xml:space="preserve">, </w:t>
      </w:r>
      <w:r w:rsidR="000A57F9">
        <w:t>соответственно</w:t>
      </w:r>
      <w:r>
        <w:t>,</w:t>
      </w:r>
      <w:r w:rsidR="009C1569" w:rsidRPr="00A81F9F">
        <w:t xml:space="preserve"> </w:t>
      </w:r>
      <w:r w:rsidR="009C1569" w:rsidRPr="000A57F9">
        <w:rPr>
          <w:b/>
        </w:rPr>
        <w:t xml:space="preserve">61% </w:t>
      </w:r>
      <w:r w:rsidR="009C1569" w:rsidRPr="00A81F9F">
        <w:t xml:space="preserve">(4,7 ГВт) </w:t>
      </w:r>
      <w:r w:rsidR="000A57F9">
        <w:t xml:space="preserve">и </w:t>
      </w:r>
      <w:r w:rsidR="000A57F9" w:rsidRPr="000A57F9">
        <w:rPr>
          <w:b/>
        </w:rPr>
        <w:t>57%</w:t>
      </w:r>
      <w:r w:rsidR="000A57F9">
        <w:t xml:space="preserve"> (6,13 ГВт) </w:t>
      </w:r>
      <w:r w:rsidR="009C1569" w:rsidRPr="00A81F9F">
        <w:t>от прогнозн</w:t>
      </w:r>
      <w:r w:rsidR="000A57F9">
        <w:t>ых</w:t>
      </w:r>
      <w:r w:rsidR="009C1569" w:rsidRPr="00A81F9F">
        <w:t xml:space="preserve"> величин </w:t>
      </w:r>
      <w:r w:rsidR="000A57F9">
        <w:t>Минэнерго 2011, 2012</w:t>
      </w:r>
      <w:r w:rsidR="009C1569" w:rsidRPr="00A81F9F">
        <w:t>;</w:t>
      </w:r>
    </w:p>
    <w:p w:rsidR="00734EFF" w:rsidRDefault="009C1569" w:rsidP="009C1569">
      <w:pPr>
        <w:ind w:firstLine="709"/>
        <w:jc w:val="both"/>
      </w:pPr>
      <w:r w:rsidRPr="00A81F9F">
        <w:t xml:space="preserve">- объем ввода энергоблоков АЭС </w:t>
      </w:r>
      <w:r w:rsidR="000A57F9">
        <w:t xml:space="preserve">в </w:t>
      </w:r>
      <w:r w:rsidR="00734EFF">
        <w:t xml:space="preserve">прогнозах </w:t>
      </w:r>
      <w:r w:rsidR="000A57F9">
        <w:t>Минэнерго 201</w:t>
      </w:r>
      <w:r w:rsidR="00583691">
        <w:t>1, 2012 и 201</w:t>
      </w:r>
      <w:r w:rsidR="000A57F9">
        <w:t>3</w:t>
      </w:r>
      <w:r w:rsidR="00583691">
        <w:t xml:space="preserve"> </w:t>
      </w:r>
      <w:r w:rsidR="00734EFF">
        <w:t xml:space="preserve">равен, соответственно, 9,9 ГВт, 12,3 ГВт и 11,3 ГВт, т.е. </w:t>
      </w:r>
      <w:r w:rsidR="00583691">
        <w:t>постоянно п</w:t>
      </w:r>
      <w:r w:rsidR="00734EFF">
        <w:t xml:space="preserve">ересматривается. </w:t>
      </w:r>
    </w:p>
    <w:p w:rsidR="009C1569" w:rsidRPr="00A81F9F" w:rsidRDefault="009C1569" w:rsidP="00AE2D6E">
      <w:pPr>
        <w:ind w:firstLine="709"/>
        <w:jc w:val="both"/>
      </w:pPr>
      <w:r w:rsidRPr="00A81F9F">
        <w:t>-</w:t>
      </w:r>
      <w:r w:rsidR="003E5C9C">
        <w:t xml:space="preserve"> </w:t>
      </w:r>
      <w:r w:rsidR="00AE2D6E">
        <w:t xml:space="preserve">ввод мощностей по годам </w:t>
      </w:r>
      <w:r w:rsidR="003E5C9C">
        <w:t xml:space="preserve">на горизонте времени </w:t>
      </w:r>
      <w:r w:rsidR="00220876">
        <w:t>3</w:t>
      </w:r>
      <w:r w:rsidR="00AE2D6E">
        <w:t xml:space="preserve"> и более лет</w:t>
      </w:r>
      <w:r w:rsidR="003E5C9C" w:rsidRPr="00A81F9F">
        <w:t xml:space="preserve"> </w:t>
      </w:r>
      <w:r w:rsidRPr="00A81F9F">
        <w:t>сильно о</w:t>
      </w:r>
      <w:r w:rsidR="00000DFC">
        <w:t xml:space="preserve">тличаются </w:t>
      </w:r>
      <w:r w:rsidR="00AE2D6E" w:rsidRPr="00A81F9F">
        <w:t>между собой</w:t>
      </w:r>
      <w:r w:rsidR="00AE2D6E">
        <w:t xml:space="preserve">. </w:t>
      </w:r>
      <w:r w:rsidR="00220876">
        <w:t xml:space="preserve">Например, </w:t>
      </w:r>
      <w:r w:rsidR="007332E8">
        <w:t xml:space="preserve">по прогнозу Минэнерго 2013 по сравнению с прогнозом Минэнерго 2012, </w:t>
      </w:r>
      <w:r w:rsidR="00220876">
        <w:t>в 201</w:t>
      </w:r>
      <w:r w:rsidR="00AE2D6E">
        <w:t>5</w:t>
      </w:r>
      <w:r w:rsidR="007332E8">
        <w:t>г. разница составляет +76%, в 2016г. – -10%; в 2017</w:t>
      </w:r>
      <w:r w:rsidR="00B53BDB">
        <w:t xml:space="preserve"> г.  - +72</w:t>
      </w:r>
      <w:r w:rsidR="007332E8">
        <w:t>%</w:t>
      </w:r>
      <w:r w:rsidR="00B53BDB">
        <w:t>, в 2018 г. – 50%</w:t>
      </w:r>
      <w:r w:rsidR="007332E8">
        <w:t>.</w:t>
      </w:r>
    </w:p>
    <w:p w:rsidR="00640E20" w:rsidRPr="00A81F9F" w:rsidRDefault="00640E20" w:rsidP="00640E20">
      <w:pPr>
        <w:ind w:firstLine="709"/>
        <w:jc w:val="both"/>
      </w:pPr>
      <w:r w:rsidRPr="00A81F9F">
        <w:t xml:space="preserve">- сроки завершения строительства АЭС сдвигаются на 1 год по мере их приближения. Например, ввод в промышленную эксплуатацию энергоблока № 4 Калининской АЭС сдвинулся на 1 год: с 2011 на 2012г., ввод энергоблоков № 1 Нововоронежской АЭС-2 и Ленинградской АЭС сдвинулись, соответственно, с 2013 на 2014гг. и с 2014 на 2015гг., </w:t>
      </w:r>
    </w:p>
    <w:p w:rsidR="00467512" w:rsidRDefault="00467512" w:rsidP="009C1569">
      <w:pPr>
        <w:ind w:firstLine="709"/>
        <w:jc w:val="both"/>
      </w:pPr>
      <w:r>
        <w:t xml:space="preserve">- запланированный ввод блока №1 Нижегородской АЭС </w:t>
      </w:r>
      <w:r w:rsidR="009113E0">
        <w:t>в 2019 г. необоснован. Практика показывает, что от момента начала строительства АЭС до ввода 1 блока проходит</w:t>
      </w:r>
      <w:r w:rsidR="000A3042">
        <w:t xml:space="preserve"> минимум 8 лет. В 2013 г. на площадке Нижегородской АЭС строительство еще не началось.</w:t>
      </w:r>
    </w:p>
    <w:p w:rsidR="00D663F7" w:rsidRDefault="00D663F7" w:rsidP="00433F9C">
      <w:pPr>
        <w:ind w:firstLine="709"/>
        <w:jc w:val="both"/>
      </w:pPr>
    </w:p>
    <w:p w:rsidR="00787C78" w:rsidRDefault="00D85DCA" w:rsidP="00433F9C">
      <w:pPr>
        <w:ind w:firstLine="709"/>
        <w:jc w:val="both"/>
      </w:pPr>
      <w:r>
        <w:t xml:space="preserve">Отдельно </w:t>
      </w:r>
      <w:r w:rsidR="00D663F7">
        <w:t>проанализируем программу вводов блоков АЭС по прогнозу Минэнерго 2013.</w:t>
      </w:r>
    </w:p>
    <w:p w:rsidR="00D663F7" w:rsidRDefault="00D663F7" w:rsidP="00433F9C">
      <w:pPr>
        <w:ind w:firstLine="709"/>
        <w:jc w:val="both"/>
        <w:rPr>
          <w:u w:val="single"/>
        </w:rPr>
      </w:pPr>
    </w:p>
    <w:p w:rsidR="00BF0162" w:rsidRDefault="00433F9C" w:rsidP="00433F9C">
      <w:pPr>
        <w:ind w:firstLine="709"/>
        <w:jc w:val="both"/>
      </w:pPr>
      <w:r w:rsidRPr="00BF0162">
        <w:rPr>
          <w:u w:val="single"/>
        </w:rPr>
        <w:t>По прогнозу Минэнерго 2013г.</w:t>
      </w:r>
      <w:r w:rsidRPr="00A81F9F">
        <w:t xml:space="preserve"> </w:t>
      </w:r>
    </w:p>
    <w:p w:rsidR="00BF0162" w:rsidRDefault="00BF0162" w:rsidP="00433F9C">
      <w:pPr>
        <w:ind w:firstLine="709"/>
        <w:jc w:val="both"/>
      </w:pPr>
    </w:p>
    <w:p w:rsidR="00433F9C" w:rsidRPr="00A81F9F" w:rsidRDefault="00BF0162" w:rsidP="00433F9C">
      <w:pPr>
        <w:ind w:firstLine="709"/>
        <w:jc w:val="both"/>
      </w:pPr>
      <w:r>
        <w:t>В</w:t>
      </w:r>
      <w:r w:rsidR="00433F9C" w:rsidRPr="00A81F9F">
        <w:t xml:space="preserve"> период </w:t>
      </w:r>
      <w:r w:rsidR="00433F9C">
        <w:t>2013</w:t>
      </w:r>
      <w:r w:rsidR="00433F9C" w:rsidRPr="00A81F9F">
        <w:t xml:space="preserve"> – 201</w:t>
      </w:r>
      <w:r w:rsidR="00433F9C">
        <w:t>9</w:t>
      </w:r>
      <w:r w:rsidR="00433F9C" w:rsidRPr="00A81F9F">
        <w:t xml:space="preserve">гг. предусмотрены следующие вводы новых энергоблоков АЭС: </w:t>
      </w:r>
    </w:p>
    <w:p w:rsidR="00BF0162" w:rsidRDefault="00BF0162" w:rsidP="00433F9C">
      <w:pPr>
        <w:ind w:firstLine="709"/>
        <w:jc w:val="both"/>
      </w:pPr>
    </w:p>
    <w:p w:rsidR="00433F9C" w:rsidRDefault="00433F9C" w:rsidP="00433F9C">
      <w:pPr>
        <w:ind w:firstLine="709"/>
        <w:jc w:val="both"/>
      </w:pPr>
      <w:r>
        <w:t>в 2013г. – ввод 0 ГВт мощностей.</w:t>
      </w:r>
    </w:p>
    <w:p w:rsidR="00433F9C" w:rsidRDefault="00433F9C" w:rsidP="00433F9C">
      <w:pPr>
        <w:ind w:firstLine="709"/>
        <w:jc w:val="both"/>
      </w:pPr>
      <w:r w:rsidRPr="00A81F9F">
        <w:t>в 201</w:t>
      </w:r>
      <w:r>
        <w:t>4</w:t>
      </w:r>
      <w:r w:rsidRPr="00A81F9F">
        <w:t xml:space="preserve">г. – ввод в промышленную эксплуатацию </w:t>
      </w:r>
      <w:r>
        <w:t>3,18 ГВт. Энергоблок № 3 Ростовской АЭС и энергоблок № 1 Нововоронежской АЭС-2, блок № 4 Белоярской АЭС.</w:t>
      </w:r>
    </w:p>
    <w:p w:rsidR="00433F9C" w:rsidRDefault="00433F9C" w:rsidP="00433F9C">
      <w:pPr>
        <w:ind w:firstLine="709"/>
        <w:jc w:val="both"/>
      </w:pPr>
      <w:r>
        <w:t>в</w:t>
      </w:r>
      <w:r w:rsidRPr="00A81F9F">
        <w:t xml:space="preserve"> 2015 гг. –  </w:t>
      </w:r>
      <w:r>
        <w:t>ввод в эксплуатацию – 2,37 ГВт мощностей. С</w:t>
      </w:r>
      <w:r w:rsidRPr="00A81F9F">
        <w:t>оответственно</w:t>
      </w:r>
      <w:r>
        <w:t xml:space="preserve">, блок №  1 Ленинградской АЭС-2; блок № 2 Нововоронежской АЭС-2; </w:t>
      </w:r>
    </w:p>
    <w:p w:rsidR="00433F9C" w:rsidRDefault="00433F9C" w:rsidP="00433F9C">
      <w:pPr>
        <w:ind w:firstLine="709"/>
        <w:jc w:val="both"/>
      </w:pPr>
      <w:r w:rsidRPr="00A81F9F">
        <w:t>в 201</w:t>
      </w:r>
      <w:r>
        <w:t>6г.</w:t>
      </w:r>
      <w:r w:rsidRPr="00A81F9F">
        <w:t xml:space="preserve"> – </w:t>
      </w:r>
      <w:r>
        <w:t xml:space="preserve">ввод мощностей – 1,17 ГВт. Блок № 2 Ленинградской АЭС. </w:t>
      </w:r>
    </w:p>
    <w:p w:rsidR="00433F9C" w:rsidRDefault="00433F9C" w:rsidP="00433F9C">
      <w:pPr>
        <w:ind w:firstLine="709"/>
        <w:jc w:val="both"/>
      </w:pPr>
      <w:r w:rsidRPr="00A81F9F">
        <w:t>в 201</w:t>
      </w:r>
      <w:r>
        <w:t>7</w:t>
      </w:r>
      <w:r w:rsidRPr="00A81F9F">
        <w:t xml:space="preserve">г. – </w:t>
      </w:r>
      <w:r>
        <w:t>ввод в промышленную эксплуатацию 2,25 ГВт.  Блок № 4 Ростовской АЭС и блок № 1 Балтийской АЭС;</w:t>
      </w:r>
    </w:p>
    <w:p w:rsidR="00433F9C" w:rsidRPr="00A81F9F" w:rsidRDefault="00433F9C" w:rsidP="00433F9C">
      <w:pPr>
        <w:ind w:firstLine="709"/>
        <w:jc w:val="both"/>
      </w:pPr>
      <w:r w:rsidRPr="00A81F9F">
        <w:t xml:space="preserve">в </w:t>
      </w:r>
      <w:r>
        <w:t>2018г.</w:t>
      </w:r>
      <w:r w:rsidRPr="00A81F9F">
        <w:t xml:space="preserve"> – </w:t>
      </w:r>
      <w:r>
        <w:t>ввод в промышленную эксплуатацию 1,15 ГВт. Блок № 2 Балтийской АЭС</w:t>
      </w:r>
    </w:p>
    <w:p w:rsidR="00BF0162" w:rsidRDefault="00433F9C" w:rsidP="00D85DCA">
      <w:pPr>
        <w:ind w:firstLine="709"/>
        <w:jc w:val="both"/>
      </w:pPr>
      <w:r w:rsidRPr="00A81F9F">
        <w:t>в 201</w:t>
      </w:r>
      <w:r>
        <w:t>9</w:t>
      </w:r>
      <w:r w:rsidRPr="00A81F9F">
        <w:t>г. –</w:t>
      </w:r>
      <w:r>
        <w:t xml:space="preserve"> ввод в промышленную эксплуатацию 1,15 ГВт. Блок № 1 Нижегородской АЭС.</w:t>
      </w:r>
    </w:p>
    <w:p w:rsidR="00D663F7" w:rsidRDefault="00D663F7" w:rsidP="001C5948">
      <w:pPr>
        <w:ind w:firstLine="709"/>
        <w:jc w:val="both"/>
      </w:pPr>
    </w:p>
    <w:p w:rsidR="00D663F7" w:rsidRPr="00A81F9F" w:rsidRDefault="00D663F7" w:rsidP="00D663F7">
      <w:pPr>
        <w:ind w:firstLine="709"/>
        <w:jc w:val="both"/>
      </w:pPr>
      <w:r w:rsidRPr="00A81F9F">
        <w:t>Эк</w:t>
      </w:r>
      <w:r>
        <w:t xml:space="preserve">спертиза </w:t>
      </w:r>
      <w:r w:rsidR="00D85DCA">
        <w:t>программы</w:t>
      </w:r>
      <w:r>
        <w:t xml:space="preserve"> Минэнерго 2013</w:t>
      </w:r>
      <w:r w:rsidRPr="00A81F9F">
        <w:t xml:space="preserve">г. и текущего состояния строительства АЭС, </w:t>
      </w:r>
      <w:r>
        <w:t>показывает, что</w:t>
      </w:r>
      <w:r w:rsidRPr="00A81F9F">
        <w:t xml:space="preserve">: </w:t>
      </w:r>
    </w:p>
    <w:p w:rsidR="00FC3D50" w:rsidRPr="00FC3D50" w:rsidRDefault="00FC3D50" w:rsidP="00FC3D50">
      <w:pPr>
        <w:ind w:firstLine="709"/>
        <w:jc w:val="both"/>
      </w:pPr>
      <w:r>
        <w:t xml:space="preserve">- </w:t>
      </w:r>
      <w:r w:rsidR="00D663F7" w:rsidRPr="00A81F9F">
        <w:t>сроки ввода в промышленную эксплуатацию всех энергоблоков будут сдвинуты миниму</w:t>
      </w:r>
      <w:r w:rsidR="00D663F7">
        <w:t>м на 2-4 года на всех площадках, кроме блока № 4 Белоярской АЭС;</w:t>
      </w:r>
      <w:r w:rsidR="00D663F7" w:rsidRPr="00A81F9F">
        <w:t xml:space="preserve"> </w:t>
      </w:r>
    </w:p>
    <w:p w:rsidR="00FC3D50" w:rsidRPr="00A81F9F" w:rsidRDefault="00FC3D50" w:rsidP="00FC3D50">
      <w:pPr>
        <w:ind w:firstLine="709"/>
        <w:jc w:val="both"/>
      </w:pPr>
      <w:r>
        <w:t xml:space="preserve"> - строительство</w:t>
      </w:r>
      <w:r w:rsidRPr="00FC3D50">
        <w:t xml:space="preserve"> Балтийской АЭС</w:t>
      </w:r>
      <w:r>
        <w:t xml:space="preserve"> остановлено</w:t>
      </w:r>
      <w:r w:rsidR="00393EB9" w:rsidRPr="00393EB9">
        <w:t xml:space="preserve"> </w:t>
      </w:r>
      <w:r w:rsidR="00393EB9">
        <w:t>в мае 2013 г.</w:t>
      </w:r>
      <w:r>
        <w:t xml:space="preserve"> </w:t>
      </w:r>
      <w:r w:rsidR="00393EB9">
        <w:t xml:space="preserve">из-за отказа зарубежных потребителей приобретать электроэнергию от этой станции. Следует отметить, что еще </w:t>
      </w:r>
      <w:r>
        <w:t xml:space="preserve">в 2012 г. в экспертном заключении СПЭ </w:t>
      </w:r>
      <w:r w:rsidR="00393EB9">
        <w:t>утверждалось</w:t>
      </w:r>
      <w:r>
        <w:t xml:space="preserve">, что строительство Балтийской АЭС будет </w:t>
      </w:r>
      <w:r w:rsidRPr="00437DA5">
        <w:rPr>
          <w:b/>
        </w:rPr>
        <w:t xml:space="preserve">обязательно </w:t>
      </w:r>
      <w:r w:rsidR="00393EB9" w:rsidRPr="00437DA5">
        <w:t>о</w:t>
      </w:r>
      <w:r w:rsidRPr="00437DA5">
        <w:t>становлено</w:t>
      </w:r>
      <w:r>
        <w:t xml:space="preserve">. </w:t>
      </w:r>
      <w:r w:rsidR="00437DA5">
        <w:t xml:space="preserve">С самого начала </w:t>
      </w:r>
      <w:r w:rsidR="00393EB9">
        <w:t xml:space="preserve">Балтийская </w:t>
      </w:r>
      <w:r>
        <w:t>АЭС планирова</w:t>
      </w:r>
      <w:r w:rsidR="003E5AA4">
        <w:t>лась</w:t>
      </w:r>
      <w:r>
        <w:t xml:space="preserve"> как</w:t>
      </w:r>
      <w:r w:rsidRPr="00A81F9F">
        <w:t xml:space="preserve"> экспортно-ориентированны</w:t>
      </w:r>
      <w:r>
        <w:t>й объект</w:t>
      </w:r>
      <w:r w:rsidRPr="00A81F9F">
        <w:t>. Предполага</w:t>
      </w:r>
      <w:r>
        <w:t>лось</w:t>
      </w:r>
      <w:r w:rsidRPr="00A81F9F">
        <w:t xml:space="preserve">, что ее электроэнергия будет поставляться </w:t>
      </w:r>
      <w:r w:rsidR="003E5AA4" w:rsidRPr="00A81F9F">
        <w:t>в</w:t>
      </w:r>
      <w:r w:rsidR="003E5AA4">
        <w:t xml:space="preserve"> страны Балтии, Польшу, Германию и др. Однако эти </w:t>
      </w:r>
      <w:r>
        <w:t xml:space="preserve">страны </w:t>
      </w:r>
      <w:r w:rsidRPr="00A81F9F">
        <w:t xml:space="preserve">отказались приобретать электроэнергию с этой станции (см. «Балтийская АЭС и проблемы энергобезопасности Калининградской области», </w:t>
      </w:r>
      <w:hyperlink r:id="rId52" w:history="1">
        <w:r w:rsidRPr="00A81F9F">
          <w:rPr>
            <w:rStyle w:val="a4"/>
            <w:lang w:val="en-US"/>
          </w:rPr>
          <w:t>www</w:t>
        </w:r>
        <w:r w:rsidRPr="00A81F9F">
          <w:rPr>
            <w:rStyle w:val="a4"/>
          </w:rPr>
          <w:t>.</w:t>
        </w:r>
        <w:r w:rsidRPr="00A81F9F">
          <w:rPr>
            <w:rStyle w:val="a4"/>
            <w:lang w:val="en-US"/>
          </w:rPr>
          <w:t>proatom</w:t>
        </w:r>
        <w:r w:rsidRPr="00A81F9F">
          <w:rPr>
            <w:rStyle w:val="a4"/>
          </w:rPr>
          <w:t>.</w:t>
        </w:r>
        <w:r w:rsidRPr="00A81F9F">
          <w:rPr>
            <w:rStyle w:val="a4"/>
            <w:lang w:val="en-US"/>
          </w:rPr>
          <w:t>ru</w:t>
        </w:r>
      </w:hyperlink>
      <w:r w:rsidRPr="00A81F9F">
        <w:t xml:space="preserve">, журнал «Атомная стратегия», июль </w:t>
      </w:r>
      <w:smartTag w:uri="urn:schemas-microsoft-com:office:smarttags" w:element="metricconverter">
        <w:smartTagPr>
          <w:attr w:name="ProductID" w:val="2012 г"/>
        </w:smartTagPr>
        <w:r w:rsidRPr="00A81F9F">
          <w:t>2012 г</w:t>
        </w:r>
      </w:smartTag>
      <w:r w:rsidRPr="00A81F9F">
        <w:t xml:space="preserve">.). Кроме того, у концерна Росэнергоатома </w:t>
      </w:r>
      <w:r w:rsidR="003E5AA4">
        <w:t>отсутствуют</w:t>
      </w:r>
      <w:r w:rsidRPr="00A81F9F">
        <w:t xml:space="preserve"> финансовы</w:t>
      </w:r>
      <w:r w:rsidR="003E5AA4">
        <w:t>е</w:t>
      </w:r>
      <w:r w:rsidRPr="00A81F9F">
        <w:t xml:space="preserve"> ресурс</w:t>
      </w:r>
      <w:r w:rsidR="003E5AA4">
        <w:t>ы</w:t>
      </w:r>
      <w:r w:rsidRPr="00A81F9F">
        <w:t xml:space="preserve"> </w:t>
      </w:r>
      <w:r>
        <w:t xml:space="preserve">на строительство </w:t>
      </w:r>
      <w:r w:rsidR="003E5AA4">
        <w:t>этой станции из-за с</w:t>
      </w:r>
      <w:r w:rsidRPr="00A81F9F">
        <w:t>окращени</w:t>
      </w:r>
      <w:r w:rsidR="003E5AA4">
        <w:t>я</w:t>
      </w:r>
      <w:r w:rsidRPr="00A81F9F">
        <w:t xml:space="preserve"> выручки</w:t>
      </w:r>
      <w:r w:rsidR="00B83604">
        <w:t xml:space="preserve">, связанное с уменьшением </w:t>
      </w:r>
      <w:r w:rsidRPr="00A81F9F">
        <w:t xml:space="preserve"> </w:t>
      </w:r>
      <w:r w:rsidR="00B83604">
        <w:t xml:space="preserve">производства электроэнергии, вызванного </w:t>
      </w:r>
      <w:r>
        <w:t>длительны</w:t>
      </w:r>
      <w:r w:rsidR="00B83604">
        <w:t>ми</w:t>
      </w:r>
      <w:r>
        <w:t xml:space="preserve"> капитальны</w:t>
      </w:r>
      <w:r w:rsidR="00B83604">
        <w:t>ми</w:t>
      </w:r>
      <w:r>
        <w:t xml:space="preserve"> ремонт</w:t>
      </w:r>
      <w:r w:rsidR="00B83604">
        <w:t>ами</w:t>
      </w:r>
      <w:r>
        <w:t xml:space="preserve"> </w:t>
      </w:r>
      <w:r w:rsidRPr="00A81F9F">
        <w:t>эн</w:t>
      </w:r>
      <w:r>
        <w:t xml:space="preserve">ергоблоков РБМК </w:t>
      </w:r>
      <w:r w:rsidR="00B83604">
        <w:t>начиная</w:t>
      </w:r>
      <w:r>
        <w:t xml:space="preserve"> с 2013 </w:t>
      </w:r>
      <w:r w:rsidRPr="00A81F9F">
        <w:t>г.</w:t>
      </w:r>
      <w:r w:rsidR="00B83604">
        <w:t xml:space="preserve"> А</w:t>
      </w:r>
      <w:r>
        <w:t xml:space="preserve"> также </w:t>
      </w:r>
      <w:r w:rsidR="00B83604">
        <w:t>необходимостью</w:t>
      </w:r>
      <w:r w:rsidRPr="00A81F9F">
        <w:t xml:space="preserve"> форсированного строительства замещающих мощностей н</w:t>
      </w:r>
      <w:r>
        <w:t xml:space="preserve">а площадках Ленинградской АЭС-2, Нововоронежской АЭС-2 </w:t>
      </w:r>
      <w:r w:rsidRPr="00A81F9F">
        <w:t>и Курской АЭС-2.</w:t>
      </w:r>
    </w:p>
    <w:p w:rsidR="00FC3D50" w:rsidRDefault="00FC3D50" w:rsidP="00FC3D50">
      <w:pPr>
        <w:ind w:firstLine="709"/>
        <w:jc w:val="both"/>
        <w:rPr>
          <w:u w:val="single"/>
        </w:rPr>
      </w:pPr>
      <w:r w:rsidRPr="00FC3D50">
        <w:t xml:space="preserve">- </w:t>
      </w:r>
      <w:r>
        <w:t>ввод энергоблока № 4 Ростовской АЭС (мощность 1 ГВт) будет за пределами 2019 г. в связи с избытком генерирующих мощностей в ОЭС Юга и недостатком финансовых ресурсов в «Росэнергоатоме».</w:t>
      </w:r>
    </w:p>
    <w:p w:rsidR="00FC3D50" w:rsidRPr="00FC3D50" w:rsidRDefault="00FC3D50" w:rsidP="00FC3D50">
      <w:pPr>
        <w:ind w:firstLine="709"/>
        <w:jc w:val="both"/>
        <w:rPr>
          <w:u w:val="single"/>
        </w:rPr>
      </w:pPr>
      <w:r>
        <w:t xml:space="preserve">- строительство блока №1 (мощность 1,2 ГВт) </w:t>
      </w:r>
      <w:r w:rsidRPr="00FC3D50">
        <w:t xml:space="preserve">Нижегородской АЭС </w:t>
      </w:r>
      <w:r>
        <w:t>не началось</w:t>
      </w:r>
      <w:r w:rsidR="003C42C8">
        <w:t xml:space="preserve"> в текущем году</w:t>
      </w:r>
      <w:r>
        <w:t xml:space="preserve">. </w:t>
      </w:r>
      <w:r w:rsidR="003C42C8">
        <w:t>В</w:t>
      </w:r>
      <w:r>
        <w:t xml:space="preserve">о-первых, </w:t>
      </w:r>
      <w:r w:rsidR="003C42C8">
        <w:t xml:space="preserve">из-за </w:t>
      </w:r>
      <w:r>
        <w:t>отсутств</w:t>
      </w:r>
      <w:r w:rsidR="003C42C8">
        <w:t>ия</w:t>
      </w:r>
      <w:r>
        <w:t xml:space="preserve"> рост</w:t>
      </w:r>
      <w:r w:rsidR="003C42C8">
        <w:t>а</w:t>
      </w:r>
      <w:r>
        <w:t xml:space="preserve"> электропотребления в регионе, во-вторых, </w:t>
      </w:r>
      <w:r w:rsidR="003C42C8">
        <w:t>из-за</w:t>
      </w:r>
      <w:r>
        <w:t xml:space="preserve"> недостатк</w:t>
      </w:r>
      <w:r w:rsidR="003C42C8">
        <w:t>а</w:t>
      </w:r>
      <w:r>
        <w:t xml:space="preserve"> финансовых ресурсов «Росэнергоатома» в связи с ростом затрат на капитальный ремонт АЭС с реакторами РБМК.</w:t>
      </w:r>
    </w:p>
    <w:p w:rsidR="00433F9C" w:rsidRDefault="003C42C8" w:rsidP="003C42C8">
      <w:pPr>
        <w:ind w:firstLine="709"/>
        <w:jc w:val="both"/>
      </w:pPr>
      <w:r>
        <w:t>В результате, в прогнозе СПЭ 2013 предлагается самый оптимистический сценарий в</w:t>
      </w:r>
      <w:r w:rsidR="00433F9C">
        <w:t>озмож</w:t>
      </w:r>
      <w:r>
        <w:t xml:space="preserve">ного </w:t>
      </w:r>
      <w:r w:rsidR="00433F9C">
        <w:t>ввод</w:t>
      </w:r>
      <w:r>
        <w:t>а</w:t>
      </w:r>
      <w:r w:rsidR="00433F9C">
        <w:t xml:space="preserve"> в промышленную эксплуатацию следующих энергоблоков АЭС: </w:t>
      </w:r>
    </w:p>
    <w:p w:rsidR="00BF0162" w:rsidRDefault="00BF0162" w:rsidP="00433F9C">
      <w:pPr>
        <w:ind w:firstLine="709"/>
        <w:jc w:val="both"/>
      </w:pPr>
    </w:p>
    <w:p w:rsidR="00433F9C" w:rsidRDefault="00433F9C" w:rsidP="00433F9C">
      <w:pPr>
        <w:ind w:firstLine="709"/>
        <w:jc w:val="both"/>
      </w:pPr>
      <w:r>
        <w:t>2014г. – блок № 4 Белоярской АЭС, мощностью 0,88 ГВт;</w:t>
      </w:r>
    </w:p>
    <w:p w:rsidR="00433F9C" w:rsidRDefault="00433F9C" w:rsidP="00433F9C">
      <w:pPr>
        <w:ind w:firstLine="709"/>
        <w:jc w:val="both"/>
      </w:pPr>
      <w:r>
        <w:t>2015г. – блок № 3 Ростовской АЭС, мощностью 1,1 ГВт;</w:t>
      </w:r>
    </w:p>
    <w:p w:rsidR="00433F9C" w:rsidRDefault="00433F9C" w:rsidP="00433F9C">
      <w:pPr>
        <w:ind w:firstLine="709"/>
        <w:jc w:val="both"/>
      </w:pPr>
      <w:r>
        <w:t>2016г. – блок № 1 Нововоронежской АЭС-2, мощностью 1,2 ГВт;</w:t>
      </w:r>
    </w:p>
    <w:p w:rsidR="00433F9C" w:rsidRDefault="00433F9C" w:rsidP="00433F9C">
      <w:pPr>
        <w:ind w:firstLine="709"/>
        <w:jc w:val="both"/>
      </w:pPr>
      <w:r>
        <w:t xml:space="preserve">2017г. – блок № 1 Ленинградской АЭС-2, мощностью 1,17 ГВт; </w:t>
      </w:r>
    </w:p>
    <w:p w:rsidR="00433F9C" w:rsidRDefault="00433F9C" w:rsidP="00433F9C">
      <w:pPr>
        <w:ind w:firstLine="709"/>
        <w:jc w:val="both"/>
      </w:pPr>
      <w:r>
        <w:t>2018г. – блок № 2 Нововоронежской АЭС-2, мощностью 1,2 ГВт;</w:t>
      </w:r>
    </w:p>
    <w:p w:rsidR="00433F9C" w:rsidRDefault="00433F9C" w:rsidP="00433F9C">
      <w:pPr>
        <w:ind w:firstLine="709"/>
        <w:jc w:val="both"/>
      </w:pPr>
      <w:r>
        <w:t>2019г. – блок № 2 Ленинградской АЭС-2, мощностью 1,17 ГВт.</w:t>
      </w:r>
    </w:p>
    <w:p w:rsidR="00433F9C" w:rsidRDefault="00433F9C" w:rsidP="00433F9C">
      <w:pPr>
        <w:ind w:firstLine="709"/>
        <w:jc w:val="both"/>
      </w:pPr>
    </w:p>
    <w:p w:rsidR="00433F9C" w:rsidRDefault="00433F9C" w:rsidP="00433F9C">
      <w:pPr>
        <w:jc w:val="both"/>
      </w:pPr>
      <w:r>
        <w:t xml:space="preserve">Суммарная мощность этих энергоблоков составляет </w:t>
      </w:r>
      <w:r w:rsidRPr="00256295">
        <w:rPr>
          <w:b/>
        </w:rPr>
        <w:t>6,72</w:t>
      </w:r>
      <w:r>
        <w:rPr>
          <w:b/>
        </w:rPr>
        <w:t xml:space="preserve"> </w:t>
      </w:r>
      <w:r w:rsidRPr="00256295">
        <w:rPr>
          <w:b/>
        </w:rPr>
        <w:t>ГВт</w:t>
      </w:r>
      <w:r w:rsidR="00C13D01">
        <w:t xml:space="preserve">, что </w:t>
      </w:r>
      <w:r>
        <w:t xml:space="preserve">на 4,55 ГВт </w:t>
      </w:r>
      <w:r w:rsidR="00C13D01">
        <w:t>или на 40,5% меньше</w:t>
      </w:r>
      <w:r>
        <w:t>, чем</w:t>
      </w:r>
      <w:r w:rsidR="00C13D01">
        <w:t xml:space="preserve"> 11,27 ГВт</w:t>
      </w:r>
      <w:r>
        <w:t xml:space="preserve"> в прогнозе Минэнерго 2013г.</w:t>
      </w:r>
      <w:r w:rsidR="00167E60">
        <w:t xml:space="preserve"> В программу СПЭ 2013, в отличие от Минэнерго 2013, </w:t>
      </w:r>
      <w:r w:rsidR="00167E60" w:rsidRPr="00082DDB">
        <w:rPr>
          <w:b/>
        </w:rPr>
        <w:t>не вошли</w:t>
      </w:r>
      <w:r w:rsidR="00167E60">
        <w:t xml:space="preserve"> вводы блоков №1, 2 Балтийской АЭС, блока №4 Ростовской АЭС и блока №1 Нижегородской АЭС.</w:t>
      </w:r>
    </w:p>
    <w:p w:rsidR="009478DB" w:rsidRPr="00A81F9F" w:rsidRDefault="009478DB" w:rsidP="00EE1A61">
      <w:pPr>
        <w:ind w:firstLine="709"/>
        <w:jc w:val="both"/>
      </w:pPr>
    </w:p>
    <w:p w:rsidR="00A2715A" w:rsidRDefault="009478DB" w:rsidP="00A2715A">
      <w:pPr>
        <w:ind w:firstLine="709"/>
        <w:jc w:val="right"/>
      </w:pPr>
      <w:r w:rsidRPr="00A81F9F">
        <w:t xml:space="preserve">Таблица </w:t>
      </w:r>
      <w:r w:rsidR="00DF4DFB">
        <w:t>9</w:t>
      </w:r>
      <w:r w:rsidRPr="00A81F9F">
        <w:t>.</w:t>
      </w:r>
    </w:p>
    <w:p w:rsidR="009478DB" w:rsidRPr="00A81F9F" w:rsidRDefault="009478DB" w:rsidP="00EE1A61">
      <w:pPr>
        <w:ind w:firstLine="709"/>
        <w:jc w:val="both"/>
      </w:pPr>
      <w:r w:rsidRPr="00A81F9F">
        <w:t xml:space="preserve"> Вводы генерирующих мощностей АЭС, ГВт, прогноз </w:t>
      </w:r>
      <w:r w:rsidR="00B24DE1">
        <w:t>СПЭ 2013</w:t>
      </w:r>
      <w:r w:rsidRPr="00A81F9F">
        <w:t xml:space="preserve"> г. </w:t>
      </w:r>
    </w:p>
    <w:p w:rsidR="009478DB" w:rsidRPr="00A81F9F" w:rsidRDefault="009478DB" w:rsidP="00EE1A61">
      <w:pPr>
        <w:ind w:firstLine="709"/>
        <w:jc w:val="both"/>
      </w:pPr>
    </w:p>
    <w:tbl>
      <w:tblPr>
        <w:tblW w:w="10202"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01"/>
        <w:gridCol w:w="1033"/>
        <w:gridCol w:w="1034"/>
        <w:gridCol w:w="1034"/>
        <w:gridCol w:w="1034"/>
        <w:gridCol w:w="1034"/>
        <w:gridCol w:w="1034"/>
        <w:gridCol w:w="934"/>
        <w:gridCol w:w="1064"/>
      </w:tblGrid>
      <w:tr w:rsidR="00B24DE1" w:rsidRPr="00A81F9F" w:rsidTr="00307210">
        <w:trPr>
          <w:jc w:val="center"/>
        </w:trPr>
        <w:tc>
          <w:tcPr>
            <w:tcW w:w="2001" w:type="dxa"/>
          </w:tcPr>
          <w:p w:rsidR="00B24DE1" w:rsidRPr="00A81F9F" w:rsidRDefault="00B24DE1" w:rsidP="00EE1A61">
            <w:pPr>
              <w:jc w:val="both"/>
            </w:pPr>
          </w:p>
        </w:tc>
        <w:tc>
          <w:tcPr>
            <w:tcW w:w="1033" w:type="dxa"/>
          </w:tcPr>
          <w:p w:rsidR="00B24DE1" w:rsidRPr="00A81F9F" w:rsidRDefault="00B24DE1" w:rsidP="00EE1A61">
            <w:pPr>
              <w:jc w:val="both"/>
            </w:pPr>
            <w:r w:rsidRPr="00A81F9F">
              <w:t>2013 г.</w:t>
            </w:r>
          </w:p>
        </w:tc>
        <w:tc>
          <w:tcPr>
            <w:tcW w:w="1034" w:type="dxa"/>
          </w:tcPr>
          <w:p w:rsidR="00B24DE1" w:rsidRPr="00A81F9F" w:rsidRDefault="00B24DE1" w:rsidP="00EE1A61">
            <w:pPr>
              <w:jc w:val="both"/>
            </w:pPr>
            <w:smartTag w:uri="urn:schemas-microsoft-com:office:smarttags" w:element="metricconverter">
              <w:smartTagPr>
                <w:attr w:name="ProductID" w:val="2014 г"/>
              </w:smartTagPr>
              <w:r w:rsidRPr="00A81F9F">
                <w:t>2014 г</w:t>
              </w:r>
            </w:smartTag>
            <w:r w:rsidRPr="00A81F9F">
              <w:t>.</w:t>
            </w:r>
          </w:p>
        </w:tc>
        <w:tc>
          <w:tcPr>
            <w:tcW w:w="1034" w:type="dxa"/>
          </w:tcPr>
          <w:p w:rsidR="00B24DE1" w:rsidRPr="00A81F9F" w:rsidRDefault="00B24DE1" w:rsidP="00EE1A61">
            <w:pPr>
              <w:jc w:val="both"/>
            </w:pPr>
            <w:smartTag w:uri="urn:schemas-microsoft-com:office:smarttags" w:element="metricconverter">
              <w:smartTagPr>
                <w:attr w:name="ProductID" w:val="2015 г"/>
              </w:smartTagPr>
              <w:r w:rsidRPr="00A81F9F">
                <w:t>2015 г</w:t>
              </w:r>
            </w:smartTag>
            <w:r w:rsidRPr="00A81F9F">
              <w:t>.</w:t>
            </w:r>
          </w:p>
        </w:tc>
        <w:tc>
          <w:tcPr>
            <w:tcW w:w="1034" w:type="dxa"/>
          </w:tcPr>
          <w:p w:rsidR="00B24DE1" w:rsidRPr="00A81F9F" w:rsidRDefault="00B24DE1" w:rsidP="00EE1A61">
            <w:pPr>
              <w:jc w:val="both"/>
            </w:pPr>
            <w:smartTag w:uri="urn:schemas-microsoft-com:office:smarttags" w:element="metricconverter">
              <w:smartTagPr>
                <w:attr w:name="ProductID" w:val="2016 г"/>
              </w:smartTagPr>
              <w:r w:rsidRPr="00A81F9F">
                <w:t>2016 г</w:t>
              </w:r>
            </w:smartTag>
            <w:r w:rsidRPr="00A81F9F">
              <w:t>.</w:t>
            </w:r>
          </w:p>
        </w:tc>
        <w:tc>
          <w:tcPr>
            <w:tcW w:w="1034" w:type="dxa"/>
          </w:tcPr>
          <w:p w:rsidR="00B24DE1" w:rsidRPr="00A81F9F" w:rsidRDefault="00B24DE1" w:rsidP="00EE1A61">
            <w:pPr>
              <w:jc w:val="both"/>
            </w:pPr>
            <w:smartTag w:uri="urn:schemas-microsoft-com:office:smarttags" w:element="metricconverter">
              <w:smartTagPr>
                <w:attr w:name="ProductID" w:val="2017 г"/>
              </w:smartTagPr>
              <w:r w:rsidRPr="00A81F9F">
                <w:t>2017 г</w:t>
              </w:r>
            </w:smartTag>
            <w:r w:rsidRPr="00A81F9F">
              <w:t>.</w:t>
            </w:r>
          </w:p>
        </w:tc>
        <w:tc>
          <w:tcPr>
            <w:tcW w:w="1034" w:type="dxa"/>
          </w:tcPr>
          <w:p w:rsidR="00B24DE1" w:rsidRPr="00A81F9F" w:rsidRDefault="00B24DE1" w:rsidP="00EE1A61">
            <w:pPr>
              <w:jc w:val="both"/>
            </w:pPr>
            <w:smartTag w:uri="urn:schemas-microsoft-com:office:smarttags" w:element="metricconverter">
              <w:smartTagPr>
                <w:attr w:name="ProductID" w:val="2018 г"/>
              </w:smartTagPr>
              <w:r w:rsidRPr="00A81F9F">
                <w:t>2018 г</w:t>
              </w:r>
            </w:smartTag>
            <w:r w:rsidRPr="00A81F9F">
              <w:t>.</w:t>
            </w:r>
          </w:p>
        </w:tc>
        <w:tc>
          <w:tcPr>
            <w:tcW w:w="934" w:type="dxa"/>
          </w:tcPr>
          <w:p w:rsidR="00B24DE1" w:rsidRPr="00A81F9F" w:rsidRDefault="00B24DE1" w:rsidP="00EE1A61">
            <w:pPr>
              <w:jc w:val="both"/>
            </w:pPr>
            <w:r>
              <w:t>2019 г.</w:t>
            </w:r>
          </w:p>
        </w:tc>
        <w:tc>
          <w:tcPr>
            <w:tcW w:w="1064" w:type="dxa"/>
          </w:tcPr>
          <w:p w:rsidR="00B24DE1" w:rsidRPr="00A81F9F" w:rsidRDefault="00B24DE1" w:rsidP="00EE1A61">
            <w:pPr>
              <w:jc w:val="both"/>
            </w:pPr>
            <w:r>
              <w:t>Всего за 2013-2019</w:t>
            </w:r>
            <w:r w:rsidRPr="00A81F9F">
              <w:t xml:space="preserve"> гг.</w:t>
            </w:r>
          </w:p>
        </w:tc>
      </w:tr>
      <w:tr w:rsidR="00307210" w:rsidRPr="00A81F9F" w:rsidTr="00307210">
        <w:trPr>
          <w:jc w:val="center"/>
        </w:trPr>
        <w:tc>
          <w:tcPr>
            <w:tcW w:w="2001" w:type="dxa"/>
          </w:tcPr>
          <w:p w:rsidR="00307210" w:rsidRPr="00612DCC" w:rsidRDefault="00307210" w:rsidP="00B76BBC">
            <w:pPr>
              <w:jc w:val="both"/>
              <w:rPr>
                <w:b/>
              </w:rPr>
            </w:pPr>
            <w:r>
              <w:rPr>
                <w:b/>
              </w:rPr>
              <w:t>Минэнерго 2013</w:t>
            </w:r>
          </w:p>
        </w:tc>
        <w:tc>
          <w:tcPr>
            <w:tcW w:w="1033" w:type="dxa"/>
          </w:tcPr>
          <w:p w:rsidR="00307210" w:rsidRPr="00612DCC" w:rsidRDefault="00307210" w:rsidP="00B76BBC">
            <w:pPr>
              <w:jc w:val="center"/>
              <w:rPr>
                <w:b/>
              </w:rPr>
            </w:pPr>
          </w:p>
        </w:tc>
        <w:tc>
          <w:tcPr>
            <w:tcW w:w="1034" w:type="dxa"/>
          </w:tcPr>
          <w:p w:rsidR="00307210" w:rsidRPr="00307210" w:rsidRDefault="00307210" w:rsidP="00B76BBC">
            <w:pPr>
              <w:jc w:val="center"/>
            </w:pPr>
            <w:r w:rsidRPr="00307210">
              <w:t>3,18</w:t>
            </w:r>
          </w:p>
        </w:tc>
        <w:tc>
          <w:tcPr>
            <w:tcW w:w="1034" w:type="dxa"/>
          </w:tcPr>
          <w:p w:rsidR="00307210" w:rsidRPr="00307210" w:rsidRDefault="00307210" w:rsidP="00B76BBC">
            <w:pPr>
              <w:jc w:val="center"/>
            </w:pPr>
            <w:r w:rsidRPr="00307210">
              <w:t>2,37</w:t>
            </w:r>
          </w:p>
        </w:tc>
        <w:tc>
          <w:tcPr>
            <w:tcW w:w="1034" w:type="dxa"/>
          </w:tcPr>
          <w:p w:rsidR="00307210" w:rsidRPr="00307210" w:rsidRDefault="00307210" w:rsidP="00B76BBC">
            <w:pPr>
              <w:jc w:val="center"/>
            </w:pPr>
            <w:r w:rsidRPr="00307210">
              <w:t>1,17</w:t>
            </w:r>
          </w:p>
        </w:tc>
        <w:tc>
          <w:tcPr>
            <w:tcW w:w="1034" w:type="dxa"/>
          </w:tcPr>
          <w:p w:rsidR="00307210" w:rsidRPr="00307210" w:rsidRDefault="00307210" w:rsidP="00B76BBC">
            <w:pPr>
              <w:jc w:val="center"/>
            </w:pPr>
            <w:r w:rsidRPr="00307210">
              <w:t>2,25</w:t>
            </w:r>
          </w:p>
        </w:tc>
        <w:tc>
          <w:tcPr>
            <w:tcW w:w="1034" w:type="dxa"/>
          </w:tcPr>
          <w:p w:rsidR="00307210" w:rsidRPr="00307210" w:rsidRDefault="00307210" w:rsidP="00B76BBC">
            <w:pPr>
              <w:jc w:val="center"/>
            </w:pPr>
            <w:r w:rsidRPr="00307210">
              <w:t>1,15</w:t>
            </w:r>
          </w:p>
        </w:tc>
        <w:tc>
          <w:tcPr>
            <w:tcW w:w="934" w:type="dxa"/>
          </w:tcPr>
          <w:p w:rsidR="00307210" w:rsidRPr="00307210" w:rsidRDefault="00307210" w:rsidP="00B76BBC">
            <w:pPr>
              <w:jc w:val="center"/>
            </w:pPr>
            <w:r w:rsidRPr="00307210">
              <w:t>1,15</w:t>
            </w:r>
          </w:p>
        </w:tc>
        <w:tc>
          <w:tcPr>
            <w:tcW w:w="1064" w:type="dxa"/>
          </w:tcPr>
          <w:p w:rsidR="00307210" w:rsidRPr="00307210" w:rsidRDefault="00307210" w:rsidP="00B76BBC">
            <w:pPr>
              <w:jc w:val="center"/>
            </w:pPr>
            <w:r w:rsidRPr="00307210">
              <w:t>11,27</w:t>
            </w:r>
          </w:p>
        </w:tc>
      </w:tr>
      <w:tr w:rsidR="00B24DE1" w:rsidRPr="00A81F9F" w:rsidTr="00307210">
        <w:trPr>
          <w:jc w:val="center"/>
        </w:trPr>
        <w:tc>
          <w:tcPr>
            <w:tcW w:w="2001" w:type="dxa"/>
          </w:tcPr>
          <w:p w:rsidR="00B24DE1" w:rsidRPr="00307210" w:rsidRDefault="00307210" w:rsidP="00B24DE1">
            <w:pPr>
              <w:jc w:val="center"/>
              <w:rPr>
                <w:b/>
              </w:rPr>
            </w:pPr>
            <w:r w:rsidRPr="00307210">
              <w:rPr>
                <w:b/>
              </w:rPr>
              <w:t>СПЭ 2013</w:t>
            </w:r>
          </w:p>
        </w:tc>
        <w:tc>
          <w:tcPr>
            <w:tcW w:w="1033" w:type="dxa"/>
          </w:tcPr>
          <w:p w:rsidR="00B24DE1" w:rsidRPr="00A81F9F" w:rsidRDefault="00B24DE1" w:rsidP="00B24DE1">
            <w:pPr>
              <w:jc w:val="center"/>
            </w:pPr>
          </w:p>
        </w:tc>
        <w:tc>
          <w:tcPr>
            <w:tcW w:w="1034" w:type="dxa"/>
          </w:tcPr>
          <w:p w:rsidR="00B24DE1" w:rsidRPr="00A81F9F" w:rsidRDefault="00B24DE1" w:rsidP="00B24DE1">
            <w:pPr>
              <w:jc w:val="center"/>
            </w:pPr>
            <w:r>
              <w:t>0,88</w:t>
            </w:r>
          </w:p>
        </w:tc>
        <w:tc>
          <w:tcPr>
            <w:tcW w:w="1034" w:type="dxa"/>
          </w:tcPr>
          <w:p w:rsidR="00B24DE1" w:rsidRPr="00A81F9F" w:rsidRDefault="00B24DE1" w:rsidP="00B24DE1">
            <w:pPr>
              <w:jc w:val="center"/>
            </w:pPr>
            <w:r>
              <w:t>1,12</w:t>
            </w:r>
          </w:p>
        </w:tc>
        <w:tc>
          <w:tcPr>
            <w:tcW w:w="1034" w:type="dxa"/>
          </w:tcPr>
          <w:p w:rsidR="00B24DE1" w:rsidRPr="00A81F9F" w:rsidRDefault="00B24DE1" w:rsidP="00B24DE1">
            <w:pPr>
              <w:jc w:val="center"/>
            </w:pPr>
            <w:r>
              <w:t>1,2</w:t>
            </w:r>
            <w:r w:rsidR="005E17DC">
              <w:t>0</w:t>
            </w:r>
          </w:p>
        </w:tc>
        <w:tc>
          <w:tcPr>
            <w:tcW w:w="1034" w:type="dxa"/>
          </w:tcPr>
          <w:p w:rsidR="00B24DE1" w:rsidRPr="00A81F9F" w:rsidRDefault="00B24DE1" w:rsidP="00B24DE1">
            <w:pPr>
              <w:jc w:val="center"/>
            </w:pPr>
            <w:r>
              <w:t>1,17</w:t>
            </w:r>
          </w:p>
        </w:tc>
        <w:tc>
          <w:tcPr>
            <w:tcW w:w="1034" w:type="dxa"/>
          </w:tcPr>
          <w:p w:rsidR="00B24DE1" w:rsidRPr="00A81F9F" w:rsidRDefault="00B24DE1" w:rsidP="00B24DE1">
            <w:pPr>
              <w:jc w:val="center"/>
            </w:pPr>
            <w:r>
              <w:t>1,2</w:t>
            </w:r>
          </w:p>
        </w:tc>
        <w:tc>
          <w:tcPr>
            <w:tcW w:w="934" w:type="dxa"/>
          </w:tcPr>
          <w:p w:rsidR="00B24DE1" w:rsidRPr="00A81F9F" w:rsidRDefault="00B24DE1" w:rsidP="00B24DE1">
            <w:pPr>
              <w:jc w:val="center"/>
            </w:pPr>
            <w:r>
              <w:t>1,17</w:t>
            </w:r>
          </w:p>
        </w:tc>
        <w:tc>
          <w:tcPr>
            <w:tcW w:w="1064" w:type="dxa"/>
          </w:tcPr>
          <w:p w:rsidR="00B24DE1" w:rsidRPr="00A81F9F" w:rsidRDefault="00B24DE1" w:rsidP="00B24DE1">
            <w:pPr>
              <w:jc w:val="center"/>
            </w:pPr>
            <w:r>
              <w:t>6,72</w:t>
            </w:r>
          </w:p>
        </w:tc>
      </w:tr>
      <w:tr w:rsidR="00307210" w:rsidRPr="00A81F9F" w:rsidTr="00307210">
        <w:trPr>
          <w:jc w:val="center"/>
        </w:trPr>
        <w:tc>
          <w:tcPr>
            <w:tcW w:w="2001" w:type="dxa"/>
          </w:tcPr>
          <w:p w:rsidR="00307210" w:rsidRPr="00307210" w:rsidRDefault="00307210" w:rsidP="00B24DE1">
            <w:pPr>
              <w:jc w:val="center"/>
              <w:rPr>
                <w:b/>
              </w:rPr>
            </w:pPr>
            <w:r>
              <w:rPr>
                <w:b/>
              </w:rPr>
              <w:t>Отличие</w:t>
            </w:r>
          </w:p>
        </w:tc>
        <w:tc>
          <w:tcPr>
            <w:tcW w:w="1033" w:type="dxa"/>
          </w:tcPr>
          <w:p w:rsidR="00307210" w:rsidRPr="00A81F9F" w:rsidRDefault="00307210" w:rsidP="00B24DE1">
            <w:pPr>
              <w:jc w:val="center"/>
            </w:pPr>
          </w:p>
        </w:tc>
        <w:tc>
          <w:tcPr>
            <w:tcW w:w="1034" w:type="dxa"/>
          </w:tcPr>
          <w:p w:rsidR="00307210" w:rsidRDefault="00307210" w:rsidP="00B24DE1">
            <w:pPr>
              <w:jc w:val="center"/>
            </w:pPr>
            <w:r>
              <w:t>2,3</w:t>
            </w:r>
            <w:r w:rsidR="005E17DC">
              <w:t>0</w:t>
            </w:r>
          </w:p>
        </w:tc>
        <w:tc>
          <w:tcPr>
            <w:tcW w:w="1034" w:type="dxa"/>
          </w:tcPr>
          <w:p w:rsidR="00307210" w:rsidRDefault="00307210" w:rsidP="00B24DE1">
            <w:pPr>
              <w:jc w:val="center"/>
            </w:pPr>
            <w:r>
              <w:t>1,25</w:t>
            </w:r>
          </w:p>
        </w:tc>
        <w:tc>
          <w:tcPr>
            <w:tcW w:w="1034" w:type="dxa"/>
          </w:tcPr>
          <w:p w:rsidR="00307210" w:rsidRDefault="00307210" w:rsidP="00B24DE1">
            <w:pPr>
              <w:jc w:val="center"/>
            </w:pPr>
            <w:r>
              <w:t>-0,03</w:t>
            </w:r>
          </w:p>
        </w:tc>
        <w:tc>
          <w:tcPr>
            <w:tcW w:w="1034" w:type="dxa"/>
          </w:tcPr>
          <w:p w:rsidR="00307210" w:rsidRDefault="005E17DC" w:rsidP="00B24DE1">
            <w:pPr>
              <w:jc w:val="center"/>
            </w:pPr>
            <w:r>
              <w:t>1,08</w:t>
            </w:r>
          </w:p>
        </w:tc>
        <w:tc>
          <w:tcPr>
            <w:tcW w:w="1034" w:type="dxa"/>
          </w:tcPr>
          <w:p w:rsidR="00307210" w:rsidRDefault="005E17DC" w:rsidP="00B24DE1">
            <w:pPr>
              <w:jc w:val="center"/>
            </w:pPr>
            <w:r>
              <w:t>-0,05</w:t>
            </w:r>
          </w:p>
        </w:tc>
        <w:tc>
          <w:tcPr>
            <w:tcW w:w="934" w:type="dxa"/>
          </w:tcPr>
          <w:p w:rsidR="00307210" w:rsidRDefault="005E17DC" w:rsidP="00B24DE1">
            <w:pPr>
              <w:jc w:val="center"/>
            </w:pPr>
            <w:r>
              <w:t>-0,02</w:t>
            </w:r>
          </w:p>
        </w:tc>
        <w:tc>
          <w:tcPr>
            <w:tcW w:w="1064" w:type="dxa"/>
          </w:tcPr>
          <w:p w:rsidR="00307210" w:rsidRDefault="005E17DC" w:rsidP="00B24DE1">
            <w:pPr>
              <w:jc w:val="center"/>
            </w:pPr>
            <w:r>
              <w:t>4,55</w:t>
            </w:r>
          </w:p>
        </w:tc>
      </w:tr>
    </w:tbl>
    <w:p w:rsidR="009478DB" w:rsidRPr="00A81F9F" w:rsidRDefault="009478DB" w:rsidP="00B24DE1">
      <w:pPr>
        <w:ind w:firstLine="709"/>
        <w:jc w:val="center"/>
      </w:pPr>
    </w:p>
    <w:p w:rsidR="009478DB" w:rsidRDefault="009478DB" w:rsidP="00EE1A61">
      <w:pPr>
        <w:ind w:firstLine="709"/>
        <w:jc w:val="both"/>
      </w:pPr>
      <w:r w:rsidRPr="00A81F9F">
        <w:t xml:space="preserve">Из таблицы </w:t>
      </w:r>
      <w:r w:rsidR="00DF4DFB">
        <w:t>9</w:t>
      </w:r>
      <w:r w:rsidRPr="00A81F9F">
        <w:t xml:space="preserve"> видно, что по прогнозу </w:t>
      </w:r>
      <w:r w:rsidR="00B24DE1">
        <w:t>СПЭ 2013</w:t>
      </w:r>
      <w:r w:rsidRPr="00A81F9F">
        <w:t xml:space="preserve"> г. ве</w:t>
      </w:r>
      <w:r w:rsidR="00B24DE1">
        <w:t>личина ввода энергоблоков АЭС (6,72</w:t>
      </w:r>
      <w:r w:rsidRPr="00A81F9F">
        <w:t xml:space="preserve"> ГВт) за 7 лет (</w:t>
      </w:r>
      <w:r w:rsidR="00F80151">
        <w:t>в период 2013-2019</w:t>
      </w:r>
      <w:r w:rsidRPr="00A81F9F">
        <w:t xml:space="preserve"> гг.) </w:t>
      </w:r>
      <w:r w:rsidR="00B24DE1">
        <w:t xml:space="preserve">снизилась на 4,55 ГВт, по сравнению с </w:t>
      </w:r>
      <w:r w:rsidRPr="00A81F9F">
        <w:t>прогно</w:t>
      </w:r>
      <w:r w:rsidR="00B24DE1">
        <w:t>зами Минэнерго 2013</w:t>
      </w:r>
      <w:r w:rsidRPr="00A81F9F">
        <w:t xml:space="preserve"> г.</w:t>
      </w:r>
    </w:p>
    <w:p w:rsidR="007732F2" w:rsidRDefault="00C13D01" w:rsidP="00EE1A61">
      <w:pPr>
        <w:ind w:firstLine="709"/>
        <w:jc w:val="both"/>
      </w:pPr>
      <w:r>
        <w:t>Относительно прогнозов вводов генерирующих мощностей ТЭС будем исходить из физической возможности вводов, исходя из практики 2011 г. и 2012 г.</w:t>
      </w:r>
      <w:r w:rsidR="00002015">
        <w:t>, когда в среднем фактические вводы были на 41</w:t>
      </w:r>
      <w:r>
        <w:t>%</w:t>
      </w:r>
      <w:r w:rsidR="00002015">
        <w:t xml:space="preserve"> меньше, чем в прогнозе. Таким образом, в 2013 году вместо 6,74 ГВт должны быть введены 4 ГВт, в 2014 г. вместо 9,33 Г</w:t>
      </w:r>
      <w:r w:rsidR="007732F2">
        <w:t xml:space="preserve">Вт должны быть введены </w:t>
      </w:r>
    </w:p>
    <w:p w:rsidR="000328F6" w:rsidRDefault="007732F2" w:rsidP="007732F2">
      <w:pPr>
        <w:jc w:val="both"/>
      </w:pPr>
      <w:r>
        <w:t xml:space="preserve">5,5 ГВт, и в 2015 году вместо 8,51 ГВт должны быть введены 5 ГВт. </w:t>
      </w:r>
    </w:p>
    <w:p w:rsidR="00C13D01" w:rsidRPr="00881B68" w:rsidRDefault="000328F6" w:rsidP="000328F6">
      <w:pPr>
        <w:ind w:firstLine="708"/>
        <w:jc w:val="both"/>
        <w:rPr>
          <w:bCs/>
          <w:i/>
          <w:iCs/>
          <w:sz w:val="28"/>
          <w:szCs w:val="28"/>
        </w:rPr>
      </w:pPr>
      <w:r>
        <w:t>Тогда</w:t>
      </w:r>
      <w:r w:rsidR="007732F2">
        <w:t xml:space="preserve"> общее уменьшение вводов состав</w:t>
      </w:r>
      <w:r w:rsidR="009A4680">
        <w:t>и</w:t>
      </w:r>
      <w:r>
        <w:t>т</w:t>
      </w:r>
      <w:r w:rsidR="009A4680">
        <w:t xml:space="preserve"> </w:t>
      </w:r>
      <w:r w:rsidR="007732F2">
        <w:t>10 ГВт</w:t>
      </w:r>
      <w:r w:rsidR="009A4680">
        <w:t xml:space="preserve">, из которых 4,5 ГВт – это снижение за счет уменьшения ввода атомных блоков. Соответственно уменьшение ввода энергоблоков ТЭС </w:t>
      </w:r>
      <w:r>
        <w:t>равняется</w:t>
      </w:r>
      <w:r w:rsidR="009A4680">
        <w:t xml:space="preserve"> 5,5 ГВт. </w:t>
      </w:r>
      <w:r w:rsidR="00B80D3C">
        <w:t xml:space="preserve">Таким образом, </w:t>
      </w:r>
      <w:r w:rsidR="007E3575">
        <w:t>суммарный</w:t>
      </w:r>
      <w:r w:rsidR="00CB1791">
        <w:t xml:space="preserve"> ввод </w:t>
      </w:r>
      <w:r w:rsidR="00B80D3C">
        <w:t xml:space="preserve">мощностей </w:t>
      </w:r>
      <w:r w:rsidR="007E3575">
        <w:t>уменьшится с</w:t>
      </w:r>
      <w:r w:rsidR="00CB1791">
        <w:t xml:space="preserve"> 33,14 ГВт по Минэнерго 2013г. до 23,14 ГВ</w:t>
      </w:r>
      <w:r w:rsidR="00B80D3C">
        <w:t xml:space="preserve">т, </w:t>
      </w:r>
      <w:r w:rsidR="00CB1791">
        <w:t>или на 30%.</w:t>
      </w:r>
      <w:r w:rsidR="00223264">
        <w:t xml:space="preserve"> </w:t>
      </w:r>
      <w:r w:rsidR="00B80D3C" w:rsidRPr="00881B68">
        <w:rPr>
          <w:b/>
        </w:rPr>
        <w:t>И эта величина будет принята, как прогноз СПЭ 2013 г.</w:t>
      </w:r>
      <w:r w:rsidR="00881B68">
        <w:rPr>
          <w:b/>
        </w:rPr>
        <w:t xml:space="preserve"> </w:t>
      </w:r>
    </w:p>
    <w:p w:rsidR="009478DB" w:rsidRPr="00A81F9F" w:rsidRDefault="009478DB" w:rsidP="00E95947"/>
    <w:p w:rsidR="009478DB" w:rsidRDefault="009478DB" w:rsidP="00B569D3">
      <w:pPr>
        <w:pStyle w:val="3"/>
        <w:rPr>
          <w:sz w:val="26"/>
        </w:rPr>
      </w:pPr>
      <w:bookmarkStart w:id="69" w:name="_Toc370759788"/>
      <w:bookmarkStart w:id="70" w:name="_Toc374557795"/>
      <w:r w:rsidRPr="001A6B77">
        <w:rPr>
          <w:sz w:val="26"/>
        </w:rPr>
        <w:t xml:space="preserve">5.3. </w:t>
      </w:r>
      <w:r w:rsidR="001A6B77" w:rsidRPr="001A6B77">
        <w:rPr>
          <w:sz w:val="26"/>
        </w:rPr>
        <w:t>О п</w:t>
      </w:r>
      <w:r w:rsidRPr="001A6B77">
        <w:rPr>
          <w:sz w:val="26"/>
        </w:rPr>
        <w:t xml:space="preserve">рогнозы установленной мощности ЕЭС России </w:t>
      </w:r>
      <w:r w:rsidR="00F80151" w:rsidRPr="001A6B77">
        <w:rPr>
          <w:sz w:val="26"/>
        </w:rPr>
        <w:t>в период 2013-2019</w:t>
      </w:r>
      <w:r w:rsidRPr="001A6B77">
        <w:rPr>
          <w:sz w:val="26"/>
        </w:rPr>
        <w:t xml:space="preserve"> гг.</w:t>
      </w:r>
      <w:bookmarkEnd w:id="69"/>
      <w:bookmarkEnd w:id="70"/>
    </w:p>
    <w:p w:rsidR="001B47F2" w:rsidRPr="001B47F2" w:rsidRDefault="001B47F2" w:rsidP="008B1D2F">
      <w:pPr>
        <w:pStyle w:val="10"/>
      </w:pPr>
    </w:p>
    <w:p w:rsidR="00BF7B0E" w:rsidRDefault="00BF7B0E" w:rsidP="00BF7B0E">
      <w:pPr>
        <w:ind w:firstLine="709"/>
        <w:jc w:val="both"/>
      </w:pPr>
      <w:r>
        <w:t xml:space="preserve">Для обоснования прогнозов </w:t>
      </w:r>
      <w:r w:rsidR="00D97DDA">
        <w:t>установленной</w:t>
      </w:r>
      <w:r>
        <w:t xml:space="preserve"> мощност</w:t>
      </w:r>
      <w:r w:rsidR="00D97DDA">
        <w:t>и</w:t>
      </w:r>
      <w:r>
        <w:t xml:space="preserve"> ЕЭС </w:t>
      </w:r>
      <w:r w:rsidR="00D97DDA">
        <w:t xml:space="preserve">России </w:t>
      </w:r>
      <w:r>
        <w:t xml:space="preserve">по СПЭ 2013 </w:t>
      </w:r>
      <w:r w:rsidR="002B2817">
        <w:t xml:space="preserve">сначала </w:t>
      </w:r>
      <w:r>
        <w:t xml:space="preserve">проанализируем </w:t>
      </w:r>
      <w:r w:rsidR="00D97DDA">
        <w:t>прогнозы установленной мощности</w:t>
      </w:r>
      <w:r>
        <w:t xml:space="preserve"> по Минэнерго 2011, 2012, 2013</w:t>
      </w:r>
      <w:r w:rsidR="004413EA">
        <w:t>.</w:t>
      </w:r>
    </w:p>
    <w:p w:rsidR="002B2817" w:rsidRPr="00A81F9F" w:rsidRDefault="002B2817" w:rsidP="002B2817">
      <w:pPr>
        <w:ind w:firstLine="709"/>
        <w:jc w:val="both"/>
      </w:pPr>
      <w:r>
        <w:t>По прогнозу Минэнерго 2011</w:t>
      </w:r>
      <w:r w:rsidRPr="00A81F9F">
        <w:t xml:space="preserve"> г. при реализации запланированной программы развития генерирующих мощностей установленная мощность электроста</w:t>
      </w:r>
      <w:r>
        <w:t>нций ЕЭС России возрастет к 2017</w:t>
      </w:r>
      <w:r w:rsidRPr="00A81F9F">
        <w:t xml:space="preserve"> году на </w:t>
      </w:r>
      <w:r>
        <w:rPr>
          <w:rStyle w:val="af5"/>
          <w:rFonts w:eastAsia="Calibri"/>
          <w:sz w:val="30"/>
        </w:rPr>
        <w:t>37,0</w:t>
      </w:r>
      <w:r w:rsidRPr="00A81F9F">
        <w:rPr>
          <w:rStyle w:val="af5"/>
          <w:rFonts w:eastAsia="Calibri"/>
          <w:sz w:val="30"/>
        </w:rPr>
        <w:t xml:space="preserve"> ГВт</w:t>
      </w:r>
      <w:r w:rsidR="008D2FEB">
        <w:t xml:space="preserve"> (16,7</w:t>
      </w:r>
      <w:r w:rsidRPr="00A81F9F">
        <w:t xml:space="preserve">%) и составит </w:t>
      </w:r>
      <w:r>
        <w:rPr>
          <w:rStyle w:val="af5"/>
          <w:rFonts w:eastAsia="Calibri"/>
          <w:sz w:val="30"/>
        </w:rPr>
        <w:t>258,6</w:t>
      </w:r>
      <w:r w:rsidRPr="00A81F9F">
        <w:rPr>
          <w:rStyle w:val="af5"/>
          <w:rFonts w:eastAsia="Calibri"/>
          <w:sz w:val="30"/>
        </w:rPr>
        <w:t xml:space="preserve"> ГВт</w:t>
      </w:r>
      <w:r w:rsidRPr="00A81F9F">
        <w:t>. Структура установленной мощности электростанции по ЕЭС Р</w:t>
      </w:r>
      <w:r w:rsidR="008D2FEB">
        <w:t>оссии по прогнозу Минэнерго 2011 в период 2011-2017</w:t>
      </w:r>
      <w:r w:rsidRPr="00A81F9F">
        <w:t xml:space="preserve"> гг. представл</w:t>
      </w:r>
      <w:r w:rsidR="00321E76">
        <w:t>ена в таблице 1</w:t>
      </w:r>
      <w:r w:rsidR="00DF4DFB">
        <w:t>0</w:t>
      </w:r>
      <w:r w:rsidR="00E95947">
        <w:t xml:space="preserve"> и </w:t>
      </w:r>
      <w:r w:rsidR="00244129">
        <w:t>на рис.</w:t>
      </w:r>
      <w:r w:rsidR="00E95947">
        <w:t xml:space="preserve"> 37</w:t>
      </w:r>
      <w:r w:rsidRPr="00A81F9F">
        <w:t xml:space="preserve">. </w:t>
      </w:r>
    </w:p>
    <w:p w:rsidR="002B2817" w:rsidRDefault="002B2817" w:rsidP="00BF7B0E">
      <w:pPr>
        <w:ind w:firstLine="709"/>
        <w:jc w:val="both"/>
      </w:pPr>
    </w:p>
    <w:p w:rsidR="004413EA" w:rsidRDefault="004413EA" w:rsidP="00BF7B0E">
      <w:pPr>
        <w:ind w:firstLine="709"/>
        <w:jc w:val="both"/>
      </w:pPr>
      <w:r>
        <w:t>В таблице</w:t>
      </w:r>
      <w:r w:rsidR="008D2FEB">
        <w:t xml:space="preserve"> 1</w:t>
      </w:r>
      <w:r w:rsidR="00DF4DFB">
        <w:t>0</w:t>
      </w:r>
      <w:r>
        <w:t xml:space="preserve"> показан прогноз установленной мощности </w:t>
      </w:r>
      <w:r w:rsidR="008D2FEB">
        <w:t>в соответствие с прогноз</w:t>
      </w:r>
      <w:r w:rsidR="00B1638C">
        <w:t xml:space="preserve">ом Минэнерго 2011. </w:t>
      </w:r>
    </w:p>
    <w:p w:rsidR="00A2715A" w:rsidRDefault="008D2FEB" w:rsidP="00A2715A">
      <w:pPr>
        <w:ind w:firstLine="709"/>
        <w:jc w:val="right"/>
      </w:pPr>
      <w:r>
        <w:t>Таблица 1</w:t>
      </w:r>
      <w:r w:rsidR="00DF4DFB">
        <w:t>0</w:t>
      </w:r>
      <w:r>
        <w:t>.</w:t>
      </w:r>
    </w:p>
    <w:p w:rsidR="00D97DDA" w:rsidRDefault="00A2715A" w:rsidP="00A2715A">
      <w:pPr>
        <w:ind w:firstLine="709"/>
        <w:jc w:val="both"/>
      </w:pPr>
      <w:r>
        <w:t xml:space="preserve">Прогноз установленной мощности в соответствие с прогнозом Минэнерго 2011. </w:t>
      </w:r>
    </w:p>
    <w:p w:rsidR="00A2715A" w:rsidRDefault="00A2715A" w:rsidP="00A2715A">
      <w:pPr>
        <w:ind w:firstLine="709"/>
        <w:jc w:val="both"/>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0"/>
        <w:gridCol w:w="1113"/>
        <w:gridCol w:w="1113"/>
        <w:gridCol w:w="1113"/>
        <w:gridCol w:w="1113"/>
        <w:gridCol w:w="1113"/>
        <w:gridCol w:w="1113"/>
        <w:gridCol w:w="1113"/>
      </w:tblGrid>
      <w:tr w:rsidR="00D97DDA" w:rsidTr="00F50DA4">
        <w:trPr>
          <w:trHeight w:val="439"/>
          <w:tblHeader/>
          <w:jc w:val="center"/>
        </w:trPr>
        <w:tc>
          <w:tcPr>
            <w:tcW w:w="1038" w:type="pct"/>
            <w:shd w:val="clear" w:color="auto" w:fill="auto"/>
            <w:vAlign w:val="bottom"/>
          </w:tcPr>
          <w:p w:rsidR="00D97DDA" w:rsidRPr="00F50DA4" w:rsidRDefault="00D97DDA" w:rsidP="004B5A3F">
            <w:pPr>
              <w:jc w:val="center"/>
              <w:rPr>
                <w:b/>
                <w:bCs/>
                <w:color w:val="000000"/>
              </w:rPr>
            </w:pP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2011 г.</w:t>
            </w: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2012 г.</w:t>
            </w: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2013 г.</w:t>
            </w: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2014 г.</w:t>
            </w: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2015 г.</w:t>
            </w: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2016 г.</w:t>
            </w:r>
          </w:p>
        </w:tc>
        <w:tc>
          <w:tcPr>
            <w:tcW w:w="566" w:type="pct"/>
            <w:shd w:val="clear" w:color="auto" w:fill="auto"/>
            <w:vAlign w:val="center"/>
          </w:tcPr>
          <w:p w:rsidR="00D97DDA" w:rsidRPr="00F50DA4" w:rsidRDefault="00D97DDA" w:rsidP="004B5A3F">
            <w:pPr>
              <w:jc w:val="center"/>
              <w:rPr>
                <w:b/>
                <w:bCs/>
                <w:color w:val="000000"/>
              </w:rPr>
            </w:pPr>
            <w:r w:rsidRPr="00F50DA4">
              <w:rPr>
                <w:b/>
                <w:bCs/>
                <w:color w:val="000000"/>
              </w:rPr>
              <w:t>2017 г.</w:t>
            </w:r>
          </w:p>
        </w:tc>
      </w:tr>
      <w:tr w:rsidR="004413EA" w:rsidTr="00F50DA4">
        <w:trPr>
          <w:trHeight w:val="255"/>
          <w:jc w:val="center"/>
        </w:trPr>
        <w:tc>
          <w:tcPr>
            <w:tcW w:w="1038" w:type="pct"/>
            <w:shd w:val="clear" w:color="auto" w:fill="auto"/>
            <w:vAlign w:val="bottom"/>
          </w:tcPr>
          <w:p w:rsidR="004413EA" w:rsidRPr="00F50DA4" w:rsidRDefault="004413EA" w:rsidP="004B5A3F">
            <w:pPr>
              <w:rPr>
                <w:b/>
                <w:bCs/>
                <w:color w:val="000000"/>
              </w:rPr>
            </w:pPr>
            <w:r w:rsidRPr="00F50DA4">
              <w:rPr>
                <w:b/>
                <w:bCs/>
                <w:color w:val="000000"/>
              </w:rPr>
              <w:t>ЕЭС России</w:t>
            </w:r>
          </w:p>
        </w:tc>
        <w:tc>
          <w:tcPr>
            <w:tcW w:w="566" w:type="pct"/>
            <w:shd w:val="clear" w:color="auto" w:fill="auto"/>
            <w:noWrap/>
            <w:vAlign w:val="bottom"/>
          </w:tcPr>
          <w:p w:rsidR="004413EA" w:rsidRPr="00F50DA4" w:rsidRDefault="004413EA">
            <w:pPr>
              <w:jc w:val="right"/>
              <w:rPr>
                <w:color w:val="000000"/>
              </w:rPr>
            </w:pPr>
            <w:r w:rsidRPr="00F50DA4">
              <w:rPr>
                <w:color w:val="000000"/>
              </w:rPr>
              <w:t>221,6</w:t>
            </w:r>
          </w:p>
        </w:tc>
        <w:tc>
          <w:tcPr>
            <w:tcW w:w="566" w:type="pct"/>
            <w:shd w:val="clear" w:color="auto" w:fill="auto"/>
            <w:noWrap/>
            <w:vAlign w:val="bottom"/>
          </w:tcPr>
          <w:p w:rsidR="004413EA" w:rsidRPr="00F50DA4" w:rsidRDefault="004413EA">
            <w:pPr>
              <w:jc w:val="right"/>
              <w:rPr>
                <w:color w:val="000000"/>
              </w:rPr>
            </w:pPr>
            <w:r w:rsidRPr="00F50DA4">
              <w:rPr>
                <w:color w:val="000000"/>
              </w:rPr>
              <w:t>227,5</w:t>
            </w:r>
          </w:p>
        </w:tc>
        <w:tc>
          <w:tcPr>
            <w:tcW w:w="566" w:type="pct"/>
            <w:shd w:val="clear" w:color="auto" w:fill="auto"/>
            <w:noWrap/>
            <w:vAlign w:val="bottom"/>
          </w:tcPr>
          <w:p w:rsidR="004413EA" w:rsidRPr="00F50DA4" w:rsidRDefault="004413EA">
            <w:pPr>
              <w:jc w:val="right"/>
              <w:rPr>
                <w:color w:val="000000"/>
              </w:rPr>
            </w:pPr>
            <w:r w:rsidRPr="00F50DA4">
              <w:rPr>
                <w:color w:val="000000"/>
              </w:rPr>
              <w:t>235,0</w:t>
            </w:r>
          </w:p>
        </w:tc>
        <w:tc>
          <w:tcPr>
            <w:tcW w:w="566" w:type="pct"/>
            <w:shd w:val="clear" w:color="auto" w:fill="auto"/>
            <w:noWrap/>
            <w:vAlign w:val="bottom"/>
          </w:tcPr>
          <w:p w:rsidR="004413EA" w:rsidRPr="00F50DA4" w:rsidRDefault="004413EA">
            <w:pPr>
              <w:jc w:val="right"/>
              <w:rPr>
                <w:color w:val="000000"/>
              </w:rPr>
            </w:pPr>
            <w:r w:rsidRPr="00F50DA4">
              <w:rPr>
                <w:color w:val="000000"/>
              </w:rPr>
              <w:t>245,3</w:t>
            </w:r>
          </w:p>
        </w:tc>
        <w:tc>
          <w:tcPr>
            <w:tcW w:w="566" w:type="pct"/>
            <w:shd w:val="clear" w:color="auto" w:fill="auto"/>
            <w:noWrap/>
            <w:vAlign w:val="bottom"/>
          </w:tcPr>
          <w:p w:rsidR="004413EA" w:rsidRPr="00F50DA4" w:rsidRDefault="004413EA">
            <w:pPr>
              <w:jc w:val="right"/>
              <w:rPr>
                <w:color w:val="000000"/>
              </w:rPr>
            </w:pPr>
            <w:r w:rsidRPr="00F50DA4">
              <w:rPr>
                <w:color w:val="000000"/>
              </w:rPr>
              <w:t>253,3</w:t>
            </w:r>
          </w:p>
        </w:tc>
        <w:tc>
          <w:tcPr>
            <w:tcW w:w="566" w:type="pct"/>
            <w:shd w:val="clear" w:color="auto" w:fill="auto"/>
            <w:vAlign w:val="bottom"/>
          </w:tcPr>
          <w:p w:rsidR="004413EA" w:rsidRPr="00F50DA4" w:rsidRDefault="004413EA">
            <w:pPr>
              <w:jc w:val="right"/>
              <w:rPr>
                <w:color w:val="000000"/>
              </w:rPr>
            </w:pPr>
            <w:r w:rsidRPr="00F50DA4">
              <w:rPr>
                <w:color w:val="000000"/>
              </w:rPr>
              <w:t>257,1</w:t>
            </w:r>
          </w:p>
        </w:tc>
        <w:tc>
          <w:tcPr>
            <w:tcW w:w="566" w:type="pct"/>
            <w:shd w:val="clear" w:color="auto" w:fill="auto"/>
            <w:vAlign w:val="bottom"/>
          </w:tcPr>
          <w:p w:rsidR="004413EA" w:rsidRPr="00F50DA4" w:rsidRDefault="004413EA">
            <w:pPr>
              <w:jc w:val="right"/>
              <w:rPr>
                <w:color w:val="000000"/>
              </w:rPr>
            </w:pPr>
            <w:r w:rsidRPr="00F50DA4">
              <w:rPr>
                <w:color w:val="000000"/>
              </w:rPr>
              <w:t>258,6</w:t>
            </w:r>
          </w:p>
        </w:tc>
      </w:tr>
      <w:tr w:rsidR="004413EA" w:rsidTr="004B5A3F">
        <w:trPr>
          <w:trHeight w:val="255"/>
          <w:jc w:val="center"/>
        </w:trPr>
        <w:tc>
          <w:tcPr>
            <w:tcW w:w="1038" w:type="pct"/>
            <w:vAlign w:val="bottom"/>
          </w:tcPr>
          <w:p w:rsidR="004413EA" w:rsidRPr="00F50DA4" w:rsidRDefault="004413EA" w:rsidP="004B5A3F">
            <w:pPr>
              <w:rPr>
                <w:color w:val="000000"/>
              </w:rPr>
            </w:pPr>
            <w:r w:rsidRPr="00F50DA4">
              <w:rPr>
                <w:color w:val="000000"/>
              </w:rPr>
              <w:t xml:space="preserve">         АЭС</w:t>
            </w:r>
          </w:p>
        </w:tc>
        <w:tc>
          <w:tcPr>
            <w:tcW w:w="566" w:type="pct"/>
            <w:noWrap/>
            <w:vAlign w:val="bottom"/>
          </w:tcPr>
          <w:p w:rsidR="004413EA" w:rsidRPr="00F50DA4" w:rsidRDefault="004413EA">
            <w:pPr>
              <w:jc w:val="right"/>
              <w:rPr>
                <w:color w:val="000000"/>
              </w:rPr>
            </w:pPr>
            <w:r w:rsidRPr="00F50DA4">
              <w:rPr>
                <w:color w:val="000000"/>
              </w:rPr>
              <w:t>25,3</w:t>
            </w:r>
          </w:p>
        </w:tc>
        <w:tc>
          <w:tcPr>
            <w:tcW w:w="566" w:type="pct"/>
            <w:noWrap/>
            <w:vAlign w:val="bottom"/>
          </w:tcPr>
          <w:p w:rsidR="004413EA" w:rsidRPr="00F50DA4" w:rsidRDefault="004413EA">
            <w:pPr>
              <w:jc w:val="right"/>
              <w:rPr>
                <w:color w:val="000000"/>
              </w:rPr>
            </w:pPr>
            <w:r w:rsidRPr="00F50DA4">
              <w:rPr>
                <w:color w:val="000000"/>
              </w:rPr>
              <w:t>25,3</w:t>
            </w:r>
          </w:p>
        </w:tc>
        <w:tc>
          <w:tcPr>
            <w:tcW w:w="566" w:type="pct"/>
            <w:noWrap/>
            <w:vAlign w:val="bottom"/>
          </w:tcPr>
          <w:p w:rsidR="004413EA" w:rsidRPr="00F50DA4" w:rsidRDefault="004413EA">
            <w:pPr>
              <w:jc w:val="right"/>
              <w:rPr>
                <w:color w:val="000000"/>
              </w:rPr>
            </w:pPr>
            <w:r w:rsidRPr="00F50DA4">
              <w:rPr>
                <w:color w:val="000000"/>
              </w:rPr>
              <w:t>26,4</w:t>
            </w:r>
          </w:p>
        </w:tc>
        <w:tc>
          <w:tcPr>
            <w:tcW w:w="566" w:type="pct"/>
            <w:noWrap/>
            <w:vAlign w:val="bottom"/>
          </w:tcPr>
          <w:p w:rsidR="004413EA" w:rsidRPr="00F50DA4" w:rsidRDefault="004413EA">
            <w:pPr>
              <w:jc w:val="right"/>
              <w:rPr>
                <w:color w:val="000000"/>
              </w:rPr>
            </w:pPr>
            <w:r w:rsidRPr="00F50DA4">
              <w:rPr>
                <w:color w:val="000000"/>
              </w:rPr>
              <w:t>29,6</w:t>
            </w:r>
          </w:p>
        </w:tc>
        <w:tc>
          <w:tcPr>
            <w:tcW w:w="566" w:type="pct"/>
            <w:noWrap/>
            <w:vAlign w:val="bottom"/>
          </w:tcPr>
          <w:p w:rsidR="004413EA" w:rsidRPr="00F50DA4" w:rsidRDefault="004413EA">
            <w:pPr>
              <w:jc w:val="right"/>
              <w:rPr>
                <w:color w:val="000000"/>
              </w:rPr>
            </w:pPr>
            <w:r w:rsidRPr="00F50DA4">
              <w:rPr>
                <w:color w:val="000000"/>
              </w:rPr>
              <w:t>30,8</w:t>
            </w:r>
          </w:p>
        </w:tc>
        <w:tc>
          <w:tcPr>
            <w:tcW w:w="566" w:type="pct"/>
            <w:vAlign w:val="bottom"/>
          </w:tcPr>
          <w:p w:rsidR="004413EA" w:rsidRPr="00F50DA4" w:rsidRDefault="004413EA">
            <w:pPr>
              <w:jc w:val="right"/>
              <w:rPr>
                <w:color w:val="000000"/>
              </w:rPr>
            </w:pPr>
            <w:r w:rsidRPr="00F50DA4">
              <w:rPr>
                <w:color w:val="000000"/>
              </w:rPr>
              <w:t>32,7</w:t>
            </w:r>
          </w:p>
        </w:tc>
        <w:tc>
          <w:tcPr>
            <w:tcW w:w="566" w:type="pct"/>
            <w:vAlign w:val="bottom"/>
          </w:tcPr>
          <w:p w:rsidR="004413EA" w:rsidRPr="00F50DA4" w:rsidRDefault="004413EA">
            <w:pPr>
              <w:jc w:val="right"/>
              <w:rPr>
                <w:color w:val="000000"/>
              </w:rPr>
            </w:pPr>
            <w:r w:rsidRPr="00F50DA4">
              <w:rPr>
                <w:color w:val="000000"/>
              </w:rPr>
              <w:t>33,3</w:t>
            </w:r>
          </w:p>
        </w:tc>
      </w:tr>
      <w:tr w:rsidR="004413EA" w:rsidTr="004B5A3F">
        <w:trPr>
          <w:trHeight w:val="255"/>
          <w:jc w:val="center"/>
        </w:trPr>
        <w:tc>
          <w:tcPr>
            <w:tcW w:w="1038" w:type="pct"/>
            <w:vAlign w:val="bottom"/>
          </w:tcPr>
          <w:p w:rsidR="004413EA" w:rsidRPr="00F50DA4" w:rsidRDefault="004413EA" w:rsidP="004B5A3F">
            <w:pPr>
              <w:rPr>
                <w:color w:val="000000"/>
              </w:rPr>
            </w:pPr>
            <w:r w:rsidRPr="00F50DA4">
              <w:rPr>
                <w:color w:val="000000"/>
              </w:rPr>
              <w:t xml:space="preserve">         ГЭС</w:t>
            </w:r>
          </w:p>
        </w:tc>
        <w:tc>
          <w:tcPr>
            <w:tcW w:w="566" w:type="pct"/>
            <w:noWrap/>
            <w:vAlign w:val="bottom"/>
          </w:tcPr>
          <w:p w:rsidR="004413EA" w:rsidRPr="00F50DA4" w:rsidRDefault="004413EA">
            <w:pPr>
              <w:jc w:val="right"/>
              <w:rPr>
                <w:color w:val="000000"/>
              </w:rPr>
            </w:pPr>
            <w:r w:rsidRPr="00F50DA4">
              <w:rPr>
                <w:color w:val="000000"/>
              </w:rPr>
              <w:t>43,1</w:t>
            </w:r>
          </w:p>
        </w:tc>
        <w:tc>
          <w:tcPr>
            <w:tcW w:w="566" w:type="pct"/>
            <w:noWrap/>
            <w:vAlign w:val="bottom"/>
          </w:tcPr>
          <w:p w:rsidR="004413EA" w:rsidRPr="00F50DA4" w:rsidRDefault="004413EA">
            <w:pPr>
              <w:jc w:val="right"/>
              <w:rPr>
                <w:color w:val="000000"/>
              </w:rPr>
            </w:pPr>
            <w:r w:rsidRPr="00F50DA4">
              <w:rPr>
                <w:color w:val="000000"/>
              </w:rPr>
              <w:t>45,1</w:t>
            </w:r>
          </w:p>
        </w:tc>
        <w:tc>
          <w:tcPr>
            <w:tcW w:w="566" w:type="pct"/>
            <w:noWrap/>
            <w:vAlign w:val="bottom"/>
          </w:tcPr>
          <w:p w:rsidR="004413EA" w:rsidRPr="00F50DA4" w:rsidRDefault="004413EA">
            <w:pPr>
              <w:jc w:val="right"/>
              <w:rPr>
                <w:color w:val="000000"/>
              </w:rPr>
            </w:pPr>
            <w:r w:rsidRPr="00F50DA4">
              <w:rPr>
                <w:color w:val="000000"/>
              </w:rPr>
              <w:t>46,7</w:t>
            </w:r>
          </w:p>
        </w:tc>
        <w:tc>
          <w:tcPr>
            <w:tcW w:w="566" w:type="pct"/>
            <w:noWrap/>
            <w:vAlign w:val="bottom"/>
          </w:tcPr>
          <w:p w:rsidR="004413EA" w:rsidRPr="00F50DA4" w:rsidRDefault="004413EA">
            <w:pPr>
              <w:jc w:val="right"/>
              <w:rPr>
                <w:color w:val="000000"/>
              </w:rPr>
            </w:pPr>
            <w:r w:rsidRPr="00F50DA4">
              <w:rPr>
                <w:color w:val="000000"/>
              </w:rPr>
              <w:t>46,9</w:t>
            </w:r>
          </w:p>
        </w:tc>
        <w:tc>
          <w:tcPr>
            <w:tcW w:w="566" w:type="pct"/>
            <w:noWrap/>
            <w:vAlign w:val="bottom"/>
          </w:tcPr>
          <w:p w:rsidR="004413EA" w:rsidRPr="00F50DA4" w:rsidRDefault="004413EA">
            <w:pPr>
              <w:jc w:val="right"/>
              <w:rPr>
                <w:color w:val="000000"/>
              </w:rPr>
            </w:pPr>
            <w:r w:rsidRPr="00F50DA4">
              <w:rPr>
                <w:color w:val="000000"/>
              </w:rPr>
              <w:t>47,4</w:t>
            </w:r>
          </w:p>
        </w:tc>
        <w:tc>
          <w:tcPr>
            <w:tcW w:w="566" w:type="pct"/>
            <w:vAlign w:val="bottom"/>
          </w:tcPr>
          <w:p w:rsidR="004413EA" w:rsidRPr="00F50DA4" w:rsidRDefault="004413EA">
            <w:pPr>
              <w:jc w:val="right"/>
              <w:rPr>
                <w:color w:val="000000"/>
              </w:rPr>
            </w:pPr>
            <w:r w:rsidRPr="00F50DA4">
              <w:rPr>
                <w:color w:val="000000"/>
              </w:rPr>
              <w:t>47,5</w:t>
            </w:r>
          </w:p>
        </w:tc>
        <w:tc>
          <w:tcPr>
            <w:tcW w:w="566" w:type="pct"/>
            <w:vAlign w:val="bottom"/>
          </w:tcPr>
          <w:p w:rsidR="004413EA" w:rsidRPr="00F50DA4" w:rsidRDefault="004413EA">
            <w:pPr>
              <w:jc w:val="right"/>
              <w:rPr>
                <w:color w:val="000000"/>
              </w:rPr>
            </w:pPr>
            <w:r w:rsidRPr="00F50DA4">
              <w:rPr>
                <w:color w:val="000000"/>
              </w:rPr>
              <w:t>47,7</w:t>
            </w:r>
          </w:p>
        </w:tc>
      </w:tr>
      <w:tr w:rsidR="004413EA" w:rsidTr="004B5A3F">
        <w:trPr>
          <w:trHeight w:val="255"/>
          <w:jc w:val="center"/>
        </w:trPr>
        <w:tc>
          <w:tcPr>
            <w:tcW w:w="1038" w:type="pct"/>
            <w:vAlign w:val="bottom"/>
          </w:tcPr>
          <w:p w:rsidR="004413EA" w:rsidRPr="00F50DA4" w:rsidRDefault="004413EA" w:rsidP="004B5A3F">
            <w:pPr>
              <w:rPr>
                <w:color w:val="000000"/>
              </w:rPr>
            </w:pPr>
            <w:r w:rsidRPr="00F50DA4">
              <w:rPr>
                <w:color w:val="000000"/>
              </w:rPr>
              <w:t xml:space="preserve">         ГАЭС</w:t>
            </w:r>
          </w:p>
        </w:tc>
        <w:tc>
          <w:tcPr>
            <w:tcW w:w="566" w:type="pct"/>
            <w:noWrap/>
            <w:vAlign w:val="bottom"/>
          </w:tcPr>
          <w:p w:rsidR="004413EA" w:rsidRPr="00F50DA4" w:rsidRDefault="004413EA">
            <w:pPr>
              <w:jc w:val="right"/>
              <w:rPr>
                <w:color w:val="000000"/>
              </w:rPr>
            </w:pPr>
            <w:r w:rsidRPr="00F50DA4">
              <w:rPr>
                <w:color w:val="000000"/>
              </w:rPr>
              <w:t>1,2</w:t>
            </w:r>
          </w:p>
        </w:tc>
        <w:tc>
          <w:tcPr>
            <w:tcW w:w="566" w:type="pct"/>
            <w:noWrap/>
            <w:vAlign w:val="bottom"/>
          </w:tcPr>
          <w:p w:rsidR="004413EA" w:rsidRPr="00F50DA4" w:rsidRDefault="004413EA">
            <w:pPr>
              <w:jc w:val="right"/>
              <w:rPr>
                <w:color w:val="000000"/>
              </w:rPr>
            </w:pPr>
            <w:r w:rsidRPr="00F50DA4">
              <w:rPr>
                <w:color w:val="000000"/>
              </w:rPr>
              <w:t>1,6</w:t>
            </w:r>
          </w:p>
        </w:tc>
        <w:tc>
          <w:tcPr>
            <w:tcW w:w="566" w:type="pct"/>
            <w:noWrap/>
            <w:vAlign w:val="bottom"/>
          </w:tcPr>
          <w:p w:rsidR="004413EA" w:rsidRPr="00F50DA4" w:rsidRDefault="004413EA">
            <w:pPr>
              <w:jc w:val="right"/>
              <w:rPr>
                <w:color w:val="000000"/>
              </w:rPr>
            </w:pPr>
            <w:r w:rsidRPr="00F50DA4">
              <w:rPr>
                <w:color w:val="000000"/>
              </w:rPr>
              <w:t>2,0</w:t>
            </w:r>
          </w:p>
        </w:tc>
        <w:tc>
          <w:tcPr>
            <w:tcW w:w="566" w:type="pct"/>
            <w:noWrap/>
            <w:vAlign w:val="bottom"/>
          </w:tcPr>
          <w:p w:rsidR="004413EA" w:rsidRPr="00F50DA4" w:rsidRDefault="004413EA">
            <w:pPr>
              <w:jc w:val="right"/>
              <w:rPr>
                <w:color w:val="000000"/>
              </w:rPr>
            </w:pPr>
            <w:r w:rsidRPr="00F50DA4">
              <w:rPr>
                <w:color w:val="000000"/>
              </w:rPr>
              <w:t>2,2</w:t>
            </w:r>
          </w:p>
        </w:tc>
        <w:tc>
          <w:tcPr>
            <w:tcW w:w="566" w:type="pct"/>
            <w:noWrap/>
            <w:vAlign w:val="bottom"/>
          </w:tcPr>
          <w:p w:rsidR="004413EA" w:rsidRPr="00F50DA4" w:rsidRDefault="004413EA">
            <w:pPr>
              <w:jc w:val="right"/>
              <w:rPr>
                <w:color w:val="000000"/>
              </w:rPr>
            </w:pPr>
            <w:r w:rsidRPr="00F50DA4">
              <w:rPr>
                <w:color w:val="000000"/>
              </w:rPr>
              <w:t>2,2</w:t>
            </w:r>
          </w:p>
        </w:tc>
        <w:tc>
          <w:tcPr>
            <w:tcW w:w="566" w:type="pct"/>
            <w:vAlign w:val="bottom"/>
          </w:tcPr>
          <w:p w:rsidR="004413EA" w:rsidRPr="00F50DA4" w:rsidRDefault="004413EA">
            <w:pPr>
              <w:jc w:val="right"/>
              <w:rPr>
                <w:color w:val="000000"/>
              </w:rPr>
            </w:pPr>
            <w:r w:rsidRPr="00F50DA4">
              <w:rPr>
                <w:color w:val="000000"/>
              </w:rPr>
              <w:t>2,2</w:t>
            </w:r>
          </w:p>
        </w:tc>
        <w:tc>
          <w:tcPr>
            <w:tcW w:w="566" w:type="pct"/>
            <w:vAlign w:val="bottom"/>
          </w:tcPr>
          <w:p w:rsidR="004413EA" w:rsidRPr="00F50DA4" w:rsidRDefault="004413EA">
            <w:pPr>
              <w:jc w:val="right"/>
              <w:rPr>
                <w:color w:val="000000"/>
              </w:rPr>
            </w:pPr>
            <w:r w:rsidRPr="00F50DA4">
              <w:rPr>
                <w:color w:val="000000"/>
              </w:rPr>
              <w:t>2,2</w:t>
            </w:r>
          </w:p>
        </w:tc>
      </w:tr>
      <w:tr w:rsidR="004413EA" w:rsidTr="004B5A3F">
        <w:trPr>
          <w:trHeight w:val="255"/>
          <w:jc w:val="center"/>
        </w:trPr>
        <w:tc>
          <w:tcPr>
            <w:tcW w:w="1038" w:type="pct"/>
            <w:vAlign w:val="bottom"/>
          </w:tcPr>
          <w:p w:rsidR="004413EA" w:rsidRPr="00F50DA4" w:rsidRDefault="004413EA" w:rsidP="004B5A3F">
            <w:pPr>
              <w:rPr>
                <w:color w:val="000000"/>
              </w:rPr>
            </w:pPr>
            <w:r w:rsidRPr="00F50DA4">
              <w:rPr>
                <w:color w:val="000000"/>
              </w:rPr>
              <w:t xml:space="preserve">         ТЭС</w:t>
            </w:r>
          </w:p>
        </w:tc>
        <w:tc>
          <w:tcPr>
            <w:tcW w:w="566" w:type="pct"/>
            <w:noWrap/>
            <w:vAlign w:val="bottom"/>
          </w:tcPr>
          <w:p w:rsidR="004413EA" w:rsidRPr="00F50DA4" w:rsidRDefault="004413EA">
            <w:pPr>
              <w:jc w:val="right"/>
              <w:rPr>
                <w:color w:val="000000"/>
              </w:rPr>
            </w:pPr>
            <w:r w:rsidRPr="00F50DA4">
              <w:rPr>
                <w:color w:val="000000"/>
              </w:rPr>
              <w:t>151,7</w:t>
            </w:r>
          </w:p>
        </w:tc>
        <w:tc>
          <w:tcPr>
            <w:tcW w:w="566" w:type="pct"/>
            <w:noWrap/>
            <w:vAlign w:val="bottom"/>
          </w:tcPr>
          <w:p w:rsidR="004413EA" w:rsidRPr="00F50DA4" w:rsidRDefault="004413EA">
            <w:pPr>
              <w:jc w:val="right"/>
              <w:rPr>
                <w:color w:val="000000"/>
              </w:rPr>
            </w:pPr>
            <w:r w:rsidRPr="00F50DA4">
              <w:rPr>
                <w:color w:val="000000"/>
              </w:rPr>
              <w:t>155,1</w:t>
            </w:r>
          </w:p>
        </w:tc>
        <w:tc>
          <w:tcPr>
            <w:tcW w:w="566" w:type="pct"/>
            <w:noWrap/>
            <w:vAlign w:val="bottom"/>
          </w:tcPr>
          <w:p w:rsidR="004413EA" w:rsidRPr="00F50DA4" w:rsidRDefault="004413EA">
            <w:pPr>
              <w:jc w:val="right"/>
              <w:rPr>
                <w:color w:val="000000"/>
              </w:rPr>
            </w:pPr>
            <w:r w:rsidRPr="00F50DA4">
              <w:rPr>
                <w:color w:val="000000"/>
              </w:rPr>
              <w:t>159,5</w:t>
            </w:r>
          </w:p>
        </w:tc>
        <w:tc>
          <w:tcPr>
            <w:tcW w:w="566" w:type="pct"/>
            <w:noWrap/>
            <w:vAlign w:val="bottom"/>
          </w:tcPr>
          <w:p w:rsidR="004413EA" w:rsidRPr="00F50DA4" w:rsidRDefault="004413EA">
            <w:pPr>
              <w:jc w:val="right"/>
              <w:rPr>
                <w:color w:val="000000"/>
              </w:rPr>
            </w:pPr>
            <w:r w:rsidRPr="00F50DA4">
              <w:rPr>
                <w:color w:val="000000"/>
              </w:rPr>
              <w:t>166,2</w:t>
            </w:r>
          </w:p>
        </w:tc>
        <w:tc>
          <w:tcPr>
            <w:tcW w:w="566" w:type="pct"/>
            <w:noWrap/>
            <w:vAlign w:val="bottom"/>
          </w:tcPr>
          <w:p w:rsidR="004413EA" w:rsidRPr="00F50DA4" w:rsidRDefault="004413EA">
            <w:pPr>
              <w:jc w:val="right"/>
              <w:rPr>
                <w:color w:val="000000"/>
              </w:rPr>
            </w:pPr>
            <w:r w:rsidRPr="00F50DA4">
              <w:rPr>
                <w:color w:val="000000"/>
              </w:rPr>
              <w:t>172,0</w:t>
            </w:r>
          </w:p>
        </w:tc>
        <w:tc>
          <w:tcPr>
            <w:tcW w:w="566" w:type="pct"/>
            <w:vAlign w:val="bottom"/>
          </w:tcPr>
          <w:p w:rsidR="004413EA" w:rsidRPr="00F50DA4" w:rsidRDefault="004413EA">
            <w:pPr>
              <w:jc w:val="right"/>
              <w:rPr>
                <w:color w:val="000000"/>
              </w:rPr>
            </w:pPr>
            <w:r w:rsidRPr="00F50DA4">
              <w:rPr>
                <w:color w:val="000000"/>
              </w:rPr>
              <w:t>173,8</w:t>
            </w:r>
          </w:p>
        </w:tc>
        <w:tc>
          <w:tcPr>
            <w:tcW w:w="566" w:type="pct"/>
            <w:vAlign w:val="bottom"/>
          </w:tcPr>
          <w:p w:rsidR="004413EA" w:rsidRPr="00F50DA4" w:rsidRDefault="004413EA">
            <w:pPr>
              <w:jc w:val="right"/>
              <w:rPr>
                <w:color w:val="000000"/>
              </w:rPr>
            </w:pPr>
            <w:r w:rsidRPr="00F50DA4">
              <w:rPr>
                <w:color w:val="000000"/>
              </w:rPr>
              <w:t>174,5</w:t>
            </w:r>
          </w:p>
        </w:tc>
      </w:tr>
      <w:tr w:rsidR="004413EA" w:rsidTr="004B5A3F">
        <w:trPr>
          <w:trHeight w:val="255"/>
          <w:jc w:val="center"/>
        </w:trPr>
        <w:tc>
          <w:tcPr>
            <w:tcW w:w="1038" w:type="pct"/>
            <w:vAlign w:val="bottom"/>
          </w:tcPr>
          <w:p w:rsidR="004413EA" w:rsidRPr="00F50DA4" w:rsidRDefault="004413EA" w:rsidP="004B5A3F">
            <w:pPr>
              <w:rPr>
                <w:color w:val="000000"/>
              </w:rPr>
            </w:pPr>
            <w:r w:rsidRPr="00F50DA4">
              <w:rPr>
                <w:color w:val="000000"/>
              </w:rPr>
              <w:t xml:space="preserve">          в т.ч.   ТЭЦ</w:t>
            </w:r>
          </w:p>
        </w:tc>
        <w:tc>
          <w:tcPr>
            <w:tcW w:w="566" w:type="pct"/>
            <w:noWrap/>
            <w:vAlign w:val="bottom"/>
          </w:tcPr>
          <w:p w:rsidR="004413EA" w:rsidRPr="00F50DA4" w:rsidRDefault="004413EA">
            <w:pPr>
              <w:jc w:val="right"/>
              <w:rPr>
                <w:color w:val="000000"/>
              </w:rPr>
            </w:pPr>
            <w:r w:rsidRPr="00F50DA4">
              <w:rPr>
                <w:color w:val="000000"/>
              </w:rPr>
              <w:t>84,2</w:t>
            </w:r>
          </w:p>
        </w:tc>
        <w:tc>
          <w:tcPr>
            <w:tcW w:w="566" w:type="pct"/>
            <w:noWrap/>
            <w:vAlign w:val="bottom"/>
          </w:tcPr>
          <w:p w:rsidR="004413EA" w:rsidRPr="00F50DA4" w:rsidRDefault="004413EA">
            <w:pPr>
              <w:jc w:val="right"/>
              <w:rPr>
                <w:color w:val="000000"/>
              </w:rPr>
            </w:pPr>
            <w:r w:rsidRPr="00F50DA4">
              <w:rPr>
                <w:color w:val="000000"/>
              </w:rPr>
              <w:t>85,8</w:t>
            </w:r>
          </w:p>
        </w:tc>
        <w:tc>
          <w:tcPr>
            <w:tcW w:w="566" w:type="pct"/>
            <w:noWrap/>
            <w:vAlign w:val="bottom"/>
          </w:tcPr>
          <w:p w:rsidR="004413EA" w:rsidRPr="00F50DA4" w:rsidRDefault="004413EA">
            <w:pPr>
              <w:jc w:val="right"/>
              <w:rPr>
                <w:color w:val="000000"/>
              </w:rPr>
            </w:pPr>
            <w:r w:rsidRPr="00F50DA4">
              <w:rPr>
                <w:color w:val="000000"/>
              </w:rPr>
              <w:t>88,6</w:t>
            </w:r>
          </w:p>
        </w:tc>
        <w:tc>
          <w:tcPr>
            <w:tcW w:w="566" w:type="pct"/>
            <w:noWrap/>
            <w:vAlign w:val="bottom"/>
          </w:tcPr>
          <w:p w:rsidR="004413EA" w:rsidRPr="00F50DA4" w:rsidRDefault="004413EA">
            <w:pPr>
              <w:jc w:val="right"/>
              <w:rPr>
                <w:color w:val="000000"/>
              </w:rPr>
            </w:pPr>
            <w:r w:rsidRPr="00F50DA4">
              <w:rPr>
                <w:color w:val="000000"/>
              </w:rPr>
              <w:t>92,2</w:t>
            </w:r>
          </w:p>
        </w:tc>
        <w:tc>
          <w:tcPr>
            <w:tcW w:w="566" w:type="pct"/>
            <w:noWrap/>
            <w:vAlign w:val="bottom"/>
          </w:tcPr>
          <w:p w:rsidR="004413EA" w:rsidRPr="00F50DA4" w:rsidRDefault="004413EA">
            <w:pPr>
              <w:jc w:val="right"/>
              <w:rPr>
                <w:color w:val="000000"/>
              </w:rPr>
            </w:pPr>
            <w:r w:rsidRPr="00F50DA4">
              <w:rPr>
                <w:color w:val="000000"/>
              </w:rPr>
              <w:t>93,0</w:t>
            </w:r>
          </w:p>
        </w:tc>
        <w:tc>
          <w:tcPr>
            <w:tcW w:w="566" w:type="pct"/>
            <w:vAlign w:val="bottom"/>
          </w:tcPr>
          <w:p w:rsidR="004413EA" w:rsidRPr="00F50DA4" w:rsidRDefault="004413EA">
            <w:pPr>
              <w:jc w:val="right"/>
              <w:rPr>
                <w:color w:val="000000"/>
              </w:rPr>
            </w:pPr>
            <w:r w:rsidRPr="00F50DA4">
              <w:rPr>
                <w:color w:val="000000"/>
              </w:rPr>
              <w:t>93,5</w:t>
            </w:r>
          </w:p>
        </w:tc>
        <w:tc>
          <w:tcPr>
            <w:tcW w:w="566" w:type="pct"/>
            <w:vAlign w:val="bottom"/>
          </w:tcPr>
          <w:p w:rsidR="004413EA" w:rsidRPr="00F50DA4" w:rsidRDefault="004413EA">
            <w:pPr>
              <w:jc w:val="right"/>
              <w:rPr>
                <w:color w:val="000000"/>
              </w:rPr>
            </w:pPr>
            <w:r w:rsidRPr="00F50DA4">
              <w:rPr>
                <w:color w:val="000000"/>
              </w:rPr>
              <w:t>94,2</w:t>
            </w:r>
          </w:p>
        </w:tc>
      </w:tr>
      <w:tr w:rsidR="004413EA" w:rsidTr="004B5A3F">
        <w:trPr>
          <w:trHeight w:val="255"/>
          <w:jc w:val="center"/>
        </w:trPr>
        <w:tc>
          <w:tcPr>
            <w:tcW w:w="1038" w:type="pct"/>
            <w:vAlign w:val="bottom"/>
          </w:tcPr>
          <w:p w:rsidR="004413EA" w:rsidRPr="00F50DA4" w:rsidRDefault="004413EA" w:rsidP="004B5A3F">
            <w:pPr>
              <w:rPr>
                <w:color w:val="000000"/>
              </w:rPr>
            </w:pPr>
            <w:r w:rsidRPr="00F50DA4">
              <w:rPr>
                <w:color w:val="000000"/>
              </w:rPr>
              <w:t xml:space="preserve">                      КЭС</w:t>
            </w:r>
          </w:p>
        </w:tc>
        <w:tc>
          <w:tcPr>
            <w:tcW w:w="566" w:type="pct"/>
            <w:noWrap/>
            <w:vAlign w:val="bottom"/>
          </w:tcPr>
          <w:p w:rsidR="004413EA" w:rsidRPr="00F50DA4" w:rsidRDefault="004413EA">
            <w:pPr>
              <w:jc w:val="right"/>
              <w:rPr>
                <w:color w:val="000000"/>
              </w:rPr>
            </w:pPr>
            <w:r w:rsidRPr="00F50DA4">
              <w:rPr>
                <w:color w:val="000000"/>
              </w:rPr>
              <w:t>67,4</w:t>
            </w:r>
          </w:p>
        </w:tc>
        <w:tc>
          <w:tcPr>
            <w:tcW w:w="566" w:type="pct"/>
            <w:noWrap/>
            <w:vAlign w:val="bottom"/>
          </w:tcPr>
          <w:p w:rsidR="004413EA" w:rsidRPr="00F50DA4" w:rsidRDefault="004413EA">
            <w:pPr>
              <w:jc w:val="right"/>
              <w:rPr>
                <w:color w:val="000000"/>
              </w:rPr>
            </w:pPr>
            <w:r w:rsidRPr="00F50DA4">
              <w:rPr>
                <w:color w:val="000000"/>
              </w:rPr>
              <w:t>69,1</w:t>
            </w:r>
          </w:p>
        </w:tc>
        <w:tc>
          <w:tcPr>
            <w:tcW w:w="566" w:type="pct"/>
            <w:noWrap/>
            <w:vAlign w:val="bottom"/>
          </w:tcPr>
          <w:p w:rsidR="004413EA" w:rsidRPr="00F50DA4" w:rsidRDefault="004413EA">
            <w:pPr>
              <w:jc w:val="right"/>
              <w:rPr>
                <w:color w:val="000000"/>
              </w:rPr>
            </w:pPr>
            <w:r w:rsidRPr="00F50DA4">
              <w:rPr>
                <w:color w:val="000000"/>
              </w:rPr>
              <w:t>70,8</w:t>
            </w:r>
          </w:p>
        </w:tc>
        <w:tc>
          <w:tcPr>
            <w:tcW w:w="566" w:type="pct"/>
            <w:noWrap/>
            <w:vAlign w:val="bottom"/>
          </w:tcPr>
          <w:p w:rsidR="004413EA" w:rsidRPr="00F50DA4" w:rsidRDefault="004413EA">
            <w:pPr>
              <w:jc w:val="right"/>
              <w:rPr>
                <w:color w:val="000000"/>
              </w:rPr>
            </w:pPr>
            <w:r w:rsidRPr="00F50DA4">
              <w:rPr>
                <w:color w:val="000000"/>
              </w:rPr>
              <w:t>73,9</w:t>
            </w:r>
          </w:p>
        </w:tc>
        <w:tc>
          <w:tcPr>
            <w:tcW w:w="566" w:type="pct"/>
            <w:noWrap/>
            <w:vAlign w:val="bottom"/>
          </w:tcPr>
          <w:p w:rsidR="004413EA" w:rsidRPr="00F50DA4" w:rsidRDefault="004413EA">
            <w:pPr>
              <w:jc w:val="right"/>
              <w:rPr>
                <w:color w:val="000000"/>
              </w:rPr>
            </w:pPr>
            <w:r w:rsidRPr="00F50DA4">
              <w:rPr>
                <w:color w:val="000000"/>
              </w:rPr>
              <w:t>78,9</w:t>
            </w:r>
          </w:p>
        </w:tc>
        <w:tc>
          <w:tcPr>
            <w:tcW w:w="566" w:type="pct"/>
            <w:vAlign w:val="bottom"/>
          </w:tcPr>
          <w:p w:rsidR="004413EA" w:rsidRPr="00F50DA4" w:rsidRDefault="004413EA">
            <w:pPr>
              <w:jc w:val="right"/>
              <w:rPr>
                <w:color w:val="000000"/>
              </w:rPr>
            </w:pPr>
            <w:r w:rsidRPr="00F50DA4">
              <w:rPr>
                <w:color w:val="000000"/>
              </w:rPr>
              <w:t>80,2</w:t>
            </w:r>
          </w:p>
        </w:tc>
        <w:tc>
          <w:tcPr>
            <w:tcW w:w="566" w:type="pct"/>
            <w:vAlign w:val="bottom"/>
          </w:tcPr>
          <w:p w:rsidR="004413EA" w:rsidRPr="00F50DA4" w:rsidRDefault="004413EA">
            <w:pPr>
              <w:jc w:val="right"/>
              <w:rPr>
                <w:color w:val="000000"/>
              </w:rPr>
            </w:pPr>
            <w:r w:rsidRPr="00F50DA4">
              <w:rPr>
                <w:color w:val="000000"/>
              </w:rPr>
              <w:t>80,1</w:t>
            </w:r>
          </w:p>
        </w:tc>
      </w:tr>
      <w:tr w:rsidR="004413EA" w:rsidTr="004B5A3F">
        <w:trPr>
          <w:trHeight w:val="255"/>
          <w:jc w:val="center"/>
        </w:trPr>
        <w:tc>
          <w:tcPr>
            <w:tcW w:w="1038" w:type="pct"/>
            <w:vAlign w:val="bottom"/>
          </w:tcPr>
          <w:p w:rsidR="004413EA" w:rsidRPr="00F50DA4" w:rsidRDefault="004413EA" w:rsidP="004B5A3F">
            <w:pPr>
              <w:jc w:val="center"/>
              <w:rPr>
                <w:color w:val="000000"/>
              </w:rPr>
            </w:pPr>
            <w:r w:rsidRPr="00F50DA4">
              <w:rPr>
                <w:color w:val="000000"/>
              </w:rPr>
              <w:t xml:space="preserve">         ВИЭ</w:t>
            </w:r>
          </w:p>
        </w:tc>
        <w:tc>
          <w:tcPr>
            <w:tcW w:w="566" w:type="pct"/>
            <w:noWrap/>
            <w:vAlign w:val="bottom"/>
          </w:tcPr>
          <w:p w:rsidR="004413EA" w:rsidRPr="00F50DA4" w:rsidRDefault="004413EA">
            <w:pPr>
              <w:jc w:val="right"/>
              <w:rPr>
                <w:color w:val="000000"/>
              </w:rPr>
            </w:pPr>
            <w:r w:rsidRPr="00F50DA4">
              <w:rPr>
                <w:color w:val="000000"/>
              </w:rPr>
              <w:t>0,3</w:t>
            </w:r>
          </w:p>
        </w:tc>
        <w:tc>
          <w:tcPr>
            <w:tcW w:w="566" w:type="pct"/>
            <w:noWrap/>
            <w:vAlign w:val="bottom"/>
          </w:tcPr>
          <w:p w:rsidR="004413EA" w:rsidRPr="00F50DA4" w:rsidRDefault="004413EA">
            <w:pPr>
              <w:jc w:val="right"/>
              <w:rPr>
                <w:color w:val="000000"/>
              </w:rPr>
            </w:pPr>
            <w:r w:rsidRPr="00F50DA4">
              <w:rPr>
                <w:color w:val="000000"/>
              </w:rPr>
              <w:t>0,4</w:t>
            </w:r>
          </w:p>
        </w:tc>
        <w:tc>
          <w:tcPr>
            <w:tcW w:w="566" w:type="pct"/>
            <w:noWrap/>
            <w:vAlign w:val="bottom"/>
          </w:tcPr>
          <w:p w:rsidR="004413EA" w:rsidRPr="00F50DA4" w:rsidRDefault="004413EA">
            <w:pPr>
              <w:jc w:val="right"/>
              <w:rPr>
                <w:color w:val="000000"/>
              </w:rPr>
            </w:pPr>
            <w:r w:rsidRPr="00F50DA4">
              <w:rPr>
                <w:color w:val="000000"/>
              </w:rPr>
              <w:t>0,4</w:t>
            </w:r>
          </w:p>
        </w:tc>
        <w:tc>
          <w:tcPr>
            <w:tcW w:w="566" w:type="pct"/>
            <w:noWrap/>
            <w:vAlign w:val="bottom"/>
          </w:tcPr>
          <w:p w:rsidR="004413EA" w:rsidRPr="00F50DA4" w:rsidRDefault="004413EA">
            <w:pPr>
              <w:jc w:val="right"/>
              <w:rPr>
                <w:color w:val="000000"/>
              </w:rPr>
            </w:pPr>
            <w:r w:rsidRPr="00F50DA4">
              <w:rPr>
                <w:color w:val="000000"/>
              </w:rPr>
              <w:t>0,4</w:t>
            </w:r>
          </w:p>
        </w:tc>
        <w:tc>
          <w:tcPr>
            <w:tcW w:w="566" w:type="pct"/>
            <w:noWrap/>
            <w:vAlign w:val="bottom"/>
          </w:tcPr>
          <w:p w:rsidR="004413EA" w:rsidRPr="00F50DA4" w:rsidRDefault="004413EA">
            <w:pPr>
              <w:jc w:val="right"/>
              <w:rPr>
                <w:color w:val="000000"/>
              </w:rPr>
            </w:pPr>
            <w:r w:rsidRPr="00F50DA4">
              <w:rPr>
                <w:color w:val="000000"/>
              </w:rPr>
              <w:t>1,0</w:t>
            </w:r>
          </w:p>
        </w:tc>
        <w:tc>
          <w:tcPr>
            <w:tcW w:w="566" w:type="pct"/>
            <w:vAlign w:val="bottom"/>
          </w:tcPr>
          <w:p w:rsidR="004413EA" w:rsidRPr="00F50DA4" w:rsidRDefault="004413EA">
            <w:pPr>
              <w:jc w:val="right"/>
              <w:rPr>
                <w:color w:val="000000"/>
              </w:rPr>
            </w:pPr>
            <w:r w:rsidRPr="00F50DA4">
              <w:rPr>
                <w:color w:val="000000"/>
              </w:rPr>
              <w:t>1,0</w:t>
            </w:r>
          </w:p>
        </w:tc>
        <w:tc>
          <w:tcPr>
            <w:tcW w:w="566" w:type="pct"/>
            <w:vAlign w:val="bottom"/>
          </w:tcPr>
          <w:p w:rsidR="004413EA" w:rsidRPr="00F50DA4" w:rsidRDefault="004413EA">
            <w:pPr>
              <w:jc w:val="right"/>
              <w:rPr>
                <w:color w:val="000000"/>
              </w:rPr>
            </w:pPr>
            <w:r w:rsidRPr="00F50DA4">
              <w:rPr>
                <w:color w:val="000000"/>
              </w:rPr>
              <w:t>1,0</w:t>
            </w:r>
          </w:p>
        </w:tc>
      </w:tr>
    </w:tbl>
    <w:p w:rsidR="00F50DA4" w:rsidRDefault="00F50DA4" w:rsidP="008D2FEB">
      <w:pPr>
        <w:jc w:val="both"/>
      </w:pPr>
    </w:p>
    <w:p w:rsidR="009A1BCB" w:rsidRDefault="009A1BCB" w:rsidP="008D2FEB">
      <w:pPr>
        <w:jc w:val="both"/>
      </w:pPr>
    </w:p>
    <w:p w:rsidR="009A1BCB" w:rsidRDefault="009A1BCB" w:rsidP="008D2FEB">
      <w:pPr>
        <w:jc w:val="both"/>
      </w:pPr>
    </w:p>
    <w:p w:rsidR="00D97DDA" w:rsidRDefault="00D97DDA" w:rsidP="00EE1A61">
      <w:pPr>
        <w:ind w:firstLine="709"/>
        <w:jc w:val="both"/>
      </w:pPr>
    </w:p>
    <w:p w:rsidR="00B1638C" w:rsidRDefault="007C1ADE" w:rsidP="007D4E6C">
      <w:pPr>
        <w:jc w:val="center"/>
        <w:rPr>
          <w:noProof/>
        </w:rPr>
      </w:pPr>
      <w:r>
        <w:rPr>
          <w:noProof/>
        </w:rPr>
        <w:drawing>
          <wp:inline distT="0" distB="0" distL="0" distR="0">
            <wp:extent cx="6384281" cy="3898513"/>
            <wp:effectExtent l="16918" t="6737" r="9126" b="0"/>
            <wp:docPr id="31"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D2FEB" w:rsidRDefault="008D2FEB" w:rsidP="00EE1A61">
      <w:pPr>
        <w:ind w:firstLine="709"/>
        <w:jc w:val="both"/>
        <w:rPr>
          <w:noProof/>
        </w:rPr>
      </w:pPr>
    </w:p>
    <w:p w:rsidR="008D2FEB" w:rsidRPr="00A81F9F" w:rsidRDefault="007D4E6C" w:rsidP="008D2FEB">
      <w:pPr>
        <w:ind w:firstLine="709"/>
        <w:jc w:val="both"/>
      </w:pPr>
      <w:r>
        <w:rPr>
          <w:noProof/>
        </w:rPr>
        <w:t>Рис. 3</w:t>
      </w:r>
      <w:r w:rsidR="00E95947">
        <w:rPr>
          <w:noProof/>
        </w:rPr>
        <w:t>7</w:t>
      </w:r>
      <w:r>
        <w:rPr>
          <w:noProof/>
        </w:rPr>
        <w:t>.</w:t>
      </w:r>
      <w:r w:rsidR="00F50DA4">
        <w:rPr>
          <w:noProof/>
        </w:rPr>
        <w:t xml:space="preserve"> </w:t>
      </w:r>
      <w:r w:rsidR="008D2FEB">
        <w:rPr>
          <w:noProof/>
        </w:rPr>
        <w:t xml:space="preserve">Структура </w:t>
      </w:r>
      <w:r w:rsidR="008D2FEB" w:rsidRPr="00A81F9F">
        <w:t>установленной мощности на электростанциях ЕЭС России в соответ</w:t>
      </w:r>
      <w:r w:rsidR="008D2FEB">
        <w:t>ствии с прогнозом Минэнерго 2011</w:t>
      </w:r>
      <w:r w:rsidR="008D2FEB" w:rsidRPr="00A81F9F">
        <w:t xml:space="preserve">г. на период </w:t>
      </w:r>
      <w:r w:rsidR="008D2FEB">
        <w:t>2011 – 2017</w:t>
      </w:r>
      <w:r w:rsidR="008D2FEB" w:rsidRPr="00A81F9F">
        <w:t xml:space="preserve">гг. </w:t>
      </w:r>
    </w:p>
    <w:p w:rsidR="009A1BCB" w:rsidRDefault="009A1BCB" w:rsidP="008D2FEB">
      <w:pPr>
        <w:ind w:firstLine="709"/>
        <w:jc w:val="both"/>
      </w:pPr>
    </w:p>
    <w:p w:rsidR="008D2FEB" w:rsidRPr="00A81F9F" w:rsidRDefault="008D2FEB" w:rsidP="008D2FEB">
      <w:pPr>
        <w:ind w:firstLine="709"/>
        <w:jc w:val="both"/>
      </w:pPr>
      <w:r w:rsidRPr="00A81F9F">
        <w:t xml:space="preserve">По прогнозу Минэнерго </w:t>
      </w:r>
      <w:smartTag w:uri="urn:schemas-microsoft-com:office:smarttags" w:element="metricconverter">
        <w:smartTagPr>
          <w:attr w:name="ProductID" w:val="2012 г"/>
        </w:smartTagPr>
        <w:r w:rsidRPr="00A81F9F">
          <w:t>2012 г</w:t>
        </w:r>
      </w:smartTag>
      <w:r w:rsidRPr="00A81F9F">
        <w:t xml:space="preserve">. при реализации запланированной программы развития генерирующих мощностей установленная мощность электростанций ЕЭС России возрастет к 2018 году на </w:t>
      </w:r>
      <w:r>
        <w:rPr>
          <w:rStyle w:val="af5"/>
          <w:rFonts w:eastAsia="Calibri"/>
          <w:sz w:val="30"/>
        </w:rPr>
        <w:t>29,7</w:t>
      </w:r>
      <w:r w:rsidRPr="00A81F9F">
        <w:rPr>
          <w:rStyle w:val="af5"/>
          <w:rFonts w:eastAsia="Calibri"/>
          <w:sz w:val="30"/>
        </w:rPr>
        <w:t xml:space="preserve"> ГВт</w:t>
      </w:r>
      <w:r w:rsidRPr="00A81F9F">
        <w:t xml:space="preserve"> (13,6%) и составит </w:t>
      </w:r>
      <w:r>
        <w:rPr>
          <w:rStyle w:val="af5"/>
          <w:rFonts w:eastAsia="Calibri"/>
          <w:sz w:val="30"/>
        </w:rPr>
        <w:t>248</w:t>
      </w:r>
      <w:r w:rsidRPr="00A81F9F">
        <w:rPr>
          <w:rStyle w:val="af5"/>
          <w:rFonts w:eastAsia="Calibri"/>
          <w:sz w:val="30"/>
        </w:rPr>
        <w:t xml:space="preserve"> ГВт</w:t>
      </w:r>
      <w:r w:rsidRPr="00A81F9F">
        <w:t>. Структура установленной мощности электростанции по ЕЭС России по прогнозу Минэнерго 2012 в период 2011-20</w:t>
      </w:r>
      <w:r>
        <w:t>18 гг. представлена в таблице 1</w:t>
      </w:r>
      <w:r w:rsidR="00DF4DFB">
        <w:t>1</w:t>
      </w:r>
      <w:r>
        <w:t xml:space="preserve"> и </w:t>
      </w:r>
      <w:r w:rsidR="00244129">
        <w:t>на рис.</w:t>
      </w:r>
      <w:r>
        <w:t xml:space="preserve"> </w:t>
      </w:r>
      <w:r w:rsidR="00321E76">
        <w:t>3</w:t>
      </w:r>
      <w:r w:rsidR="00E95947">
        <w:t>8</w:t>
      </w:r>
      <w:r w:rsidRPr="00A81F9F">
        <w:t xml:space="preserve">. </w:t>
      </w:r>
    </w:p>
    <w:p w:rsidR="008D2FEB" w:rsidRPr="00A81F9F" w:rsidRDefault="008D2FEB" w:rsidP="008D2FEB">
      <w:pPr>
        <w:ind w:firstLine="709"/>
        <w:jc w:val="both"/>
      </w:pPr>
    </w:p>
    <w:p w:rsidR="00A2715A" w:rsidRDefault="008D2FEB" w:rsidP="00A2715A">
      <w:pPr>
        <w:ind w:firstLine="709"/>
        <w:jc w:val="right"/>
      </w:pPr>
      <w:r>
        <w:t>Таблица 1</w:t>
      </w:r>
      <w:r w:rsidR="00DF4DFB">
        <w:t>1</w:t>
      </w:r>
      <w:r w:rsidR="00F50DA4" w:rsidRPr="00A81F9F">
        <w:t xml:space="preserve">. </w:t>
      </w:r>
    </w:p>
    <w:p w:rsidR="00F50DA4" w:rsidRPr="00A81F9F" w:rsidRDefault="00F50DA4" w:rsidP="00085E0C">
      <w:pPr>
        <w:ind w:firstLine="709"/>
        <w:jc w:val="center"/>
      </w:pPr>
      <w:r w:rsidRPr="00A81F9F">
        <w:t>Установленная мощность электростанций по ЕЭС России в период 2011-2018 г</w:t>
      </w:r>
      <w:r w:rsidR="00085E0C">
        <w:t>г. по прогнозу Минэнерго 2012г.</w:t>
      </w:r>
      <w:r w:rsidRPr="00A81F9F">
        <w:t>, ГВт.</w:t>
      </w:r>
    </w:p>
    <w:p w:rsidR="00F50DA4" w:rsidRPr="00A81F9F" w:rsidRDefault="00F50DA4" w:rsidP="00F50DA4">
      <w:pPr>
        <w:ind w:firstLine="709"/>
        <w:jc w:val="both"/>
      </w:pPr>
    </w:p>
    <w:tbl>
      <w:tblPr>
        <w:tblW w:w="105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134"/>
        <w:gridCol w:w="1141"/>
        <w:gridCol w:w="1141"/>
        <w:gridCol w:w="1141"/>
        <w:gridCol w:w="1141"/>
        <w:gridCol w:w="1141"/>
        <w:gridCol w:w="1141"/>
        <w:gridCol w:w="876"/>
      </w:tblGrid>
      <w:tr w:rsidR="00F50DA4" w:rsidRPr="00A81F9F" w:rsidTr="00F50DA4">
        <w:tc>
          <w:tcPr>
            <w:tcW w:w="1668" w:type="dxa"/>
          </w:tcPr>
          <w:p w:rsidR="00F50DA4" w:rsidRPr="00A81F9F" w:rsidRDefault="00F50DA4" w:rsidP="004B5A3F">
            <w:pPr>
              <w:jc w:val="both"/>
              <w:rPr>
                <w:b/>
                <w:bCs/>
              </w:rPr>
            </w:pPr>
          </w:p>
        </w:tc>
        <w:tc>
          <w:tcPr>
            <w:tcW w:w="1134" w:type="dxa"/>
          </w:tcPr>
          <w:p w:rsidR="00F50DA4" w:rsidRPr="00A81F9F" w:rsidRDefault="00F50DA4" w:rsidP="004B5A3F">
            <w:pPr>
              <w:jc w:val="center"/>
              <w:rPr>
                <w:b/>
                <w:bCs/>
              </w:rPr>
            </w:pPr>
            <w:r w:rsidRPr="00A81F9F">
              <w:rPr>
                <w:b/>
                <w:bCs/>
              </w:rPr>
              <w:t>2011г.</w:t>
            </w:r>
          </w:p>
        </w:tc>
        <w:tc>
          <w:tcPr>
            <w:tcW w:w="1141" w:type="dxa"/>
          </w:tcPr>
          <w:p w:rsidR="00F50DA4" w:rsidRPr="00A81F9F" w:rsidRDefault="00F50DA4" w:rsidP="004B5A3F">
            <w:pPr>
              <w:jc w:val="center"/>
              <w:rPr>
                <w:b/>
                <w:bCs/>
              </w:rPr>
            </w:pPr>
            <w:r w:rsidRPr="00A81F9F">
              <w:rPr>
                <w:b/>
                <w:bCs/>
              </w:rPr>
              <w:t>2012г.</w:t>
            </w:r>
          </w:p>
        </w:tc>
        <w:tc>
          <w:tcPr>
            <w:tcW w:w="1141" w:type="dxa"/>
          </w:tcPr>
          <w:p w:rsidR="00F50DA4" w:rsidRPr="00A81F9F" w:rsidRDefault="00F50DA4" w:rsidP="004B5A3F">
            <w:pPr>
              <w:jc w:val="center"/>
              <w:rPr>
                <w:b/>
                <w:bCs/>
              </w:rPr>
            </w:pPr>
            <w:r w:rsidRPr="00A81F9F">
              <w:rPr>
                <w:b/>
                <w:bCs/>
              </w:rPr>
              <w:t>2013г.</w:t>
            </w:r>
          </w:p>
        </w:tc>
        <w:tc>
          <w:tcPr>
            <w:tcW w:w="1141" w:type="dxa"/>
          </w:tcPr>
          <w:p w:rsidR="00F50DA4" w:rsidRPr="00A81F9F" w:rsidRDefault="00F50DA4" w:rsidP="004B5A3F">
            <w:pPr>
              <w:jc w:val="center"/>
              <w:rPr>
                <w:b/>
                <w:bCs/>
              </w:rPr>
            </w:pPr>
            <w:r w:rsidRPr="00A81F9F">
              <w:rPr>
                <w:b/>
                <w:bCs/>
              </w:rPr>
              <w:t>2014г.</w:t>
            </w:r>
          </w:p>
        </w:tc>
        <w:tc>
          <w:tcPr>
            <w:tcW w:w="1141" w:type="dxa"/>
          </w:tcPr>
          <w:p w:rsidR="00F50DA4" w:rsidRPr="00A81F9F" w:rsidRDefault="00F50DA4" w:rsidP="004B5A3F">
            <w:pPr>
              <w:jc w:val="center"/>
              <w:rPr>
                <w:b/>
                <w:bCs/>
              </w:rPr>
            </w:pPr>
            <w:r w:rsidRPr="00A81F9F">
              <w:rPr>
                <w:b/>
                <w:bCs/>
              </w:rPr>
              <w:t>2015г.</w:t>
            </w:r>
          </w:p>
        </w:tc>
        <w:tc>
          <w:tcPr>
            <w:tcW w:w="1141" w:type="dxa"/>
          </w:tcPr>
          <w:p w:rsidR="00F50DA4" w:rsidRPr="00A81F9F" w:rsidRDefault="00F50DA4" w:rsidP="004B5A3F">
            <w:pPr>
              <w:jc w:val="center"/>
              <w:rPr>
                <w:b/>
                <w:bCs/>
              </w:rPr>
            </w:pPr>
            <w:r w:rsidRPr="00A81F9F">
              <w:rPr>
                <w:b/>
                <w:bCs/>
              </w:rPr>
              <w:t>2016г.</w:t>
            </w:r>
          </w:p>
        </w:tc>
        <w:tc>
          <w:tcPr>
            <w:tcW w:w="1141" w:type="dxa"/>
          </w:tcPr>
          <w:p w:rsidR="00F50DA4" w:rsidRPr="00A81F9F" w:rsidRDefault="00F50DA4" w:rsidP="004B5A3F">
            <w:pPr>
              <w:jc w:val="center"/>
              <w:rPr>
                <w:b/>
                <w:bCs/>
              </w:rPr>
            </w:pPr>
            <w:r w:rsidRPr="00A81F9F">
              <w:rPr>
                <w:b/>
                <w:bCs/>
              </w:rPr>
              <w:t>2017г.</w:t>
            </w:r>
          </w:p>
        </w:tc>
        <w:tc>
          <w:tcPr>
            <w:tcW w:w="876" w:type="dxa"/>
          </w:tcPr>
          <w:p w:rsidR="00F50DA4" w:rsidRPr="00A81F9F" w:rsidRDefault="00F50DA4" w:rsidP="004B5A3F">
            <w:pPr>
              <w:jc w:val="center"/>
              <w:rPr>
                <w:b/>
                <w:bCs/>
              </w:rPr>
            </w:pPr>
            <w:r w:rsidRPr="00A81F9F">
              <w:rPr>
                <w:b/>
                <w:bCs/>
              </w:rPr>
              <w:t>2018г.</w:t>
            </w:r>
          </w:p>
        </w:tc>
      </w:tr>
      <w:tr w:rsidR="00F50DA4" w:rsidRPr="00A81F9F" w:rsidTr="00F50DA4">
        <w:tc>
          <w:tcPr>
            <w:tcW w:w="1668" w:type="dxa"/>
          </w:tcPr>
          <w:p w:rsidR="00F50DA4" w:rsidRPr="00A81F9F" w:rsidRDefault="00F50DA4" w:rsidP="004B5A3F">
            <w:pPr>
              <w:jc w:val="both"/>
              <w:rPr>
                <w:b/>
                <w:bCs/>
              </w:rPr>
            </w:pPr>
            <w:r w:rsidRPr="00A81F9F">
              <w:rPr>
                <w:b/>
                <w:bCs/>
              </w:rPr>
              <w:t>ЕЭС России</w:t>
            </w:r>
          </w:p>
        </w:tc>
        <w:tc>
          <w:tcPr>
            <w:tcW w:w="1134" w:type="dxa"/>
          </w:tcPr>
          <w:p w:rsidR="00F50DA4" w:rsidRPr="00A81F9F" w:rsidRDefault="008D2FEB" w:rsidP="004B5A3F">
            <w:pPr>
              <w:jc w:val="center"/>
            </w:pPr>
            <w:r>
              <w:t>218,2</w:t>
            </w:r>
          </w:p>
        </w:tc>
        <w:tc>
          <w:tcPr>
            <w:tcW w:w="1141" w:type="dxa"/>
          </w:tcPr>
          <w:p w:rsidR="00F50DA4" w:rsidRPr="00A81F9F" w:rsidRDefault="008D2FEB" w:rsidP="004B5A3F">
            <w:pPr>
              <w:jc w:val="center"/>
            </w:pPr>
            <w:r>
              <w:t>228,3</w:t>
            </w:r>
          </w:p>
        </w:tc>
        <w:tc>
          <w:tcPr>
            <w:tcW w:w="1141" w:type="dxa"/>
          </w:tcPr>
          <w:p w:rsidR="00F50DA4" w:rsidRPr="00A81F9F" w:rsidRDefault="008D2FEB" w:rsidP="004B5A3F">
            <w:pPr>
              <w:jc w:val="center"/>
            </w:pPr>
            <w:r>
              <w:t>235,3</w:t>
            </w:r>
          </w:p>
        </w:tc>
        <w:tc>
          <w:tcPr>
            <w:tcW w:w="1141" w:type="dxa"/>
          </w:tcPr>
          <w:p w:rsidR="00F50DA4" w:rsidRPr="00A81F9F" w:rsidRDefault="008D2FEB" w:rsidP="004B5A3F">
            <w:pPr>
              <w:jc w:val="center"/>
            </w:pPr>
            <w:r>
              <w:t>244,6</w:t>
            </w:r>
          </w:p>
        </w:tc>
        <w:tc>
          <w:tcPr>
            <w:tcW w:w="1141" w:type="dxa"/>
          </w:tcPr>
          <w:p w:rsidR="00F50DA4" w:rsidRPr="00A81F9F" w:rsidRDefault="008D2FEB" w:rsidP="004B5A3F">
            <w:pPr>
              <w:jc w:val="center"/>
            </w:pPr>
            <w:r>
              <w:t>246,6</w:t>
            </w:r>
          </w:p>
        </w:tc>
        <w:tc>
          <w:tcPr>
            <w:tcW w:w="1141" w:type="dxa"/>
          </w:tcPr>
          <w:p w:rsidR="00F50DA4" w:rsidRPr="00A81F9F" w:rsidRDefault="008D2FEB" w:rsidP="004B5A3F">
            <w:pPr>
              <w:jc w:val="center"/>
            </w:pPr>
            <w:r>
              <w:t>247,1</w:t>
            </w:r>
          </w:p>
        </w:tc>
        <w:tc>
          <w:tcPr>
            <w:tcW w:w="1141" w:type="dxa"/>
          </w:tcPr>
          <w:p w:rsidR="00F50DA4" w:rsidRPr="00A81F9F" w:rsidRDefault="008D2FEB" w:rsidP="004B5A3F">
            <w:pPr>
              <w:jc w:val="center"/>
            </w:pPr>
            <w:r>
              <w:t>246,0</w:t>
            </w:r>
          </w:p>
        </w:tc>
        <w:tc>
          <w:tcPr>
            <w:tcW w:w="876" w:type="dxa"/>
          </w:tcPr>
          <w:p w:rsidR="00F50DA4" w:rsidRPr="00A81F9F" w:rsidRDefault="008D2FEB" w:rsidP="004B5A3F">
            <w:pPr>
              <w:jc w:val="center"/>
            </w:pPr>
            <w:r>
              <w:t>248,0</w:t>
            </w:r>
          </w:p>
        </w:tc>
      </w:tr>
      <w:tr w:rsidR="00F50DA4" w:rsidRPr="00A81F9F" w:rsidTr="00F50DA4">
        <w:tc>
          <w:tcPr>
            <w:tcW w:w="1668" w:type="dxa"/>
          </w:tcPr>
          <w:p w:rsidR="00F50DA4" w:rsidRPr="00A81F9F" w:rsidRDefault="00F50DA4" w:rsidP="004B5A3F">
            <w:pPr>
              <w:jc w:val="both"/>
              <w:rPr>
                <w:b/>
                <w:bCs/>
              </w:rPr>
            </w:pPr>
            <w:r w:rsidRPr="00A81F9F">
              <w:rPr>
                <w:b/>
                <w:bCs/>
              </w:rPr>
              <w:t>АЭС</w:t>
            </w:r>
          </w:p>
        </w:tc>
        <w:tc>
          <w:tcPr>
            <w:tcW w:w="1134" w:type="dxa"/>
          </w:tcPr>
          <w:p w:rsidR="00F50DA4" w:rsidRPr="00A81F9F" w:rsidRDefault="008D2FEB" w:rsidP="004B5A3F">
            <w:pPr>
              <w:jc w:val="center"/>
            </w:pPr>
            <w:r>
              <w:t>24,3</w:t>
            </w:r>
          </w:p>
        </w:tc>
        <w:tc>
          <w:tcPr>
            <w:tcW w:w="1141" w:type="dxa"/>
          </w:tcPr>
          <w:p w:rsidR="00F50DA4" w:rsidRPr="00A81F9F" w:rsidRDefault="008D2FEB" w:rsidP="004B5A3F">
            <w:pPr>
              <w:jc w:val="center"/>
            </w:pPr>
            <w:r>
              <w:t>25,3</w:t>
            </w:r>
          </w:p>
        </w:tc>
        <w:tc>
          <w:tcPr>
            <w:tcW w:w="1141" w:type="dxa"/>
          </w:tcPr>
          <w:p w:rsidR="00F50DA4" w:rsidRPr="00A81F9F" w:rsidRDefault="008D2FEB" w:rsidP="004B5A3F">
            <w:pPr>
              <w:jc w:val="center"/>
            </w:pPr>
            <w:r>
              <w:t>25,3</w:t>
            </w:r>
          </w:p>
        </w:tc>
        <w:tc>
          <w:tcPr>
            <w:tcW w:w="1141" w:type="dxa"/>
          </w:tcPr>
          <w:p w:rsidR="00F50DA4" w:rsidRPr="00A81F9F" w:rsidRDefault="008D2FEB" w:rsidP="004B5A3F">
            <w:pPr>
              <w:jc w:val="center"/>
            </w:pPr>
            <w:r>
              <w:t>28,4</w:t>
            </w:r>
          </w:p>
        </w:tc>
        <w:tc>
          <w:tcPr>
            <w:tcW w:w="1141" w:type="dxa"/>
          </w:tcPr>
          <w:p w:rsidR="00F50DA4" w:rsidRPr="00A81F9F" w:rsidRDefault="008D2FEB" w:rsidP="004B5A3F">
            <w:pPr>
              <w:jc w:val="center"/>
            </w:pPr>
            <w:r>
              <w:t>30,8</w:t>
            </w:r>
          </w:p>
        </w:tc>
        <w:tc>
          <w:tcPr>
            <w:tcW w:w="1141" w:type="dxa"/>
          </w:tcPr>
          <w:p w:rsidR="00F50DA4" w:rsidRPr="00A81F9F" w:rsidRDefault="008D2FEB" w:rsidP="004B5A3F">
            <w:pPr>
              <w:jc w:val="center"/>
            </w:pPr>
            <w:r>
              <w:t>31,7</w:t>
            </w:r>
          </w:p>
        </w:tc>
        <w:tc>
          <w:tcPr>
            <w:tcW w:w="1141" w:type="dxa"/>
          </w:tcPr>
          <w:p w:rsidR="00F50DA4" w:rsidRPr="00A81F9F" w:rsidRDefault="008D2FEB" w:rsidP="004B5A3F">
            <w:pPr>
              <w:jc w:val="center"/>
            </w:pPr>
            <w:r>
              <w:t>31,4</w:t>
            </w:r>
          </w:p>
        </w:tc>
        <w:tc>
          <w:tcPr>
            <w:tcW w:w="876" w:type="dxa"/>
          </w:tcPr>
          <w:p w:rsidR="00F50DA4" w:rsidRPr="00A81F9F" w:rsidRDefault="008D2FEB" w:rsidP="004B5A3F">
            <w:pPr>
              <w:jc w:val="center"/>
            </w:pPr>
            <w:r>
              <w:t>33,3</w:t>
            </w:r>
          </w:p>
        </w:tc>
      </w:tr>
      <w:tr w:rsidR="00F50DA4" w:rsidRPr="00A81F9F" w:rsidTr="00F50DA4">
        <w:tc>
          <w:tcPr>
            <w:tcW w:w="1668" w:type="dxa"/>
          </w:tcPr>
          <w:p w:rsidR="00F50DA4" w:rsidRPr="00A81F9F" w:rsidRDefault="00F50DA4" w:rsidP="004B5A3F">
            <w:pPr>
              <w:jc w:val="both"/>
              <w:rPr>
                <w:b/>
                <w:bCs/>
              </w:rPr>
            </w:pPr>
            <w:r w:rsidRPr="00A81F9F">
              <w:rPr>
                <w:b/>
                <w:bCs/>
              </w:rPr>
              <w:t>ГЭС</w:t>
            </w:r>
          </w:p>
        </w:tc>
        <w:tc>
          <w:tcPr>
            <w:tcW w:w="1134" w:type="dxa"/>
          </w:tcPr>
          <w:p w:rsidR="00F50DA4" w:rsidRPr="00A81F9F" w:rsidRDefault="008D2FEB" w:rsidP="004B5A3F">
            <w:pPr>
              <w:jc w:val="center"/>
            </w:pPr>
            <w:r>
              <w:t>43,4</w:t>
            </w:r>
          </w:p>
        </w:tc>
        <w:tc>
          <w:tcPr>
            <w:tcW w:w="1141" w:type="dxa"/>
          </w:tcPr>
          <w:p w:rsidR="00F50DA4" w:rsidRPr="00A81F9F" w:rsidRDefault="008D2FEB" w:rsidP="004B5A3F">
            <w:pPr>
              <w:jc w:val="center"/>
            </w:pPr>
            <w:r>
              <w:t>45,4</w:t>
            </w:r>
          </w:p>
        </w:tc>
        <w:tc>
          <w:tcPr>
            <w:tcW w:w="1141" w:type="dxa"/>
          </w:tcPr>
          <w:p w:rsidR="00F50DA4" w:rsidRPr="00A81F9F" w:rsidRDefault="008D2FEB" w:rsidP="004B5A3F">
            <w:pPr>
              <w:jc w:val="center"/>
            </w:pPr>
            <w:r>
              <w:t>46,7</w:t>
            </w:r>
          </w:p>
        </w:tc>
        <w:tc>
          <w:tcPr>
            <w:tcW w:w="1141" w:type="dxa"/>
          </w:tcPr>
          <w:p w:rsidR="00F50DA4" w:rsidRPr="00A81F9F" w:rsidRDefault="00F50DA4" w:rsidP="004B5A3F">
            <w:pPr>
              <w:jc w:val="center"/>
            </w:pPr>
            <w:r w:rsidRPr="00A81F9F">
              <w:t>46,</w:t>
            </w:r>
            <w:r w:rsidR="008D2FEB">
              <w:t>9</w:t>
            </w:r>
          </w:p>
        </w:tc>
        <w:tc>
          <w:tcPr>
            <w:tcW w:w="1141" w:type="dxa"/>
          </w:tcPr>
          <w:p w:rsidR="00F50DA4" w:rsidRPr="00A81F9F" w:rsidRDefault="008D2FEB" w:rsidP="004B5A3F">
            <w:pPr>
              <w:jc w:val="center"/>
            </w:pPr>
            <w:r>
              <w:t>47,1</w:t>
            </w:r>
          </w:p>
        </w:tc>
        <w:tc>
          <w:tcPr>
            <w:tcW w:w="1141" w:type="dxa"/>
          </w:tcPr>
          <w:p w:rsidR="00F50DA4" w:rsidRPr="00A81F9F" w:rsidRDefault="008D2FEB" w:rsidP="004B5A3F">
            <w:pPr>
              <w:jc w:val="center"/>
            </w:pPr>
            <w:r>
              <w:t>47,2</w:t>
            </w:r>
          </w:p>
        </w:tc>
        <w:tc>
          <w:tcPr>
            <w:tcW w:w="1141" w:type="dxa"/>
          </w:tcPr>
          <w:p w:rsidR="00F50DA4" w:rsidRPr="00A81F9F" w:rsidRDefault="008D2FEB" w:rsidP="004B5A3F">
            <w:pPr>
              <w:jc w:val="center"/>
            </w:pPr>
            <w:r>
              <w:t>47,3</w:t>
            </w:r>
          </w:p>
        </w:tc>
        <w:tc>
          <w:tcPr>
            <w:tcW w:w="876" w:type="dxa"/>
          </w:tcPr>
          <w:p w:rsidR="00F50DA4" w:rsidRPr="00A81F9F" w:rsidRDefault="008D2FEB" w:rsidP="004B5A3F">
            <w:pPr>
              <w:jc w:val="center"/>
            </w:pPr>
            <w:r>
              <w:t>47,8</w:t>
            </w:r>
          </w:p>
        </w:tc>
      </w:tr>
      <w:tr w:rsidR="00F50DA4" w:rsidRPr="00A81F9F" w:rsidTr="00F50DA4">
        <w:tc>
          <w:tcPr>
            <w:tcW w:w="1668" w:type="dxa"/>
          </w:tcPr>
          <w:p w:rsidR="00F50DA4" w:rsidRPr="00A81F9F" w:rsidRDefault="00F50DA4" w:rsidP="004B5A3F">
            <w:pPr>
              <w:jc w:val="both"/>
              <w:rPr>
                <w:b/>
                <w:bCs/>
              </w:rPr>
            </w:pPr>
            <w:r w:rsidRPr="00A81F9F">
              <w:rPr>
                <w:b/>
                <w:bCs/>
              </w:rPr>
              <w:t>ГАЭС</w:t>
            </w:r>
          </w:p>
        </w:tc>
        <w:tc>
          <w:tcPr>
            <w:tcW w:w="1134" w:type="dxa"/>
          </w:tcPr>
          <w:p w:rsidR="00F50DA4" w:rsidRPr="00A81F9F" w:rsidRDefault="008D2FEB" w:rsidP="004B5A3F">
            <w:pPr>
              <w:jc w:val="center"/>
            </w:pPr>
            <w:r>
              <w:t>1,2</w:t>
            </w:r>
          </w:p>
        </w:tc>
        <w:tc>
          <w:tcPr>
            <w:tcW w:w="1141" w:type="dxa"/>
          </w:tcPr>
          <w:p w:rsidR="00F50DA4" w:rsidRPr="00A81F9F" w:rsidRDefault="008D2FEB" w:rsidP="004B5A3F">
            <w:pPr>
              <w:jc w:val="center"/>
            </w:pPr>
            <w:r>
              <w:t>1,6</w:t>
            </w:r>
          </w:p>
        </w:tc>
        <w:tc>
          <w:tcPr>
            <w:tcW w:w="1141" w:type="dxa"/>
          </w:tcPr>
          <w:p w:rsidR="00F50DA4" w:rsidRPr="00A81F9F" w:rsidRDefault="00F50DA4" w:rsidP="004B5A3F">
            <w:pPr>
              <w:jc w:val="center"/>
            </w:pPr>
            <w:r w:rsidRPr="00A81F9F">
              <w:t>1,97</w:t>
            </w:r>
          </w:p>
        </w:tc>
        <w:tc>
          <w:tcPr>
            <w:tcW w:w="1141" w:type="dxa"/>
          </w:tcPr>
          <w:p w:rsidR="00F50DA4" w:rsidRPr="00A81F9F" w:rsidRDefault="008D2FEB" w:rsidP="004B5A3F">
            <w:pPr>
              <w:jc w:val="center"/>
            </w:pPr>
            <w:r>
              <w:t>2,2</w:t>
            </w:r>
          </w:p>
        </w:tc>
        <w:tc>
          <w:tcPr>
            <w:tcW w:w="1141" w:type="dxa"/>
          </w:tcPr>
          <w:p w:rsidR="00F50DA4" w:rsidRPr="00A81F9F" w:rsidRDefault="00F50DA4" w:rsidP="004B5A3F">
            <w:pPr>
              <w:jc w:val="center"/>
            </w:pPr>
            <w:r w:rsidRPr="00A81F9F">
              <w:t>2</w:t>
            </w:r>
            <w:r w:rsidR="008D2FEB">
              <w:t>,2</w:t>
            </w:r>
          </w:p>
        </w:tc>
        <w:tc>
          <w:tcPr>
            <w:tcW w:w="1141" w:type="dxa"/>
          </w:tcPr>
          <w:p w:rsidR="00F50DA4" w:rsidRPr="00A81F9F" w:rsidRDefault="008D2FEB" w:rsidP="004B5A3F">
            <w:pPr>
              <w:jc w:val="center"/>
            </w:pPr>
            <w:r>
              <w:t>2,2</w:t>
            </w:r>
          </w:p>
        </w:tc>
        <w:tc>
          <w:tcPr>
            <w:tcW w:w="1141" w:type="dxa"/>
          </w:tcPr>
          <w:p w:rsidR="00F50DA4" w:rsidRPr="00A81F9F" w:rsidRDefault="008D2FEB" w:rsidP="004B5A3F">
            <w:pPr>
              <w:jc w:val="center"/>
            </w:pPr>
            <w:r>
              <w:t>2,2</w:t>
            </w:r>
          </w:p>
        </w:tc>
        <w:tc>
          <w:tcPr>
            <w:tcW w:w="876" w:type="dxa"/>
          </w:tcPr>
          <w:p w:rsidR="00F50DA4" w:rsidRPr="00A81F9F" w:rsidRDefault="008D2FEB" w:rsidP="004B5A3F">
            <w:pPr>
              <w:jc w:val="center"/>
            </w:pPr>
            <w:r>
              <w:t>2,2</w:t>
            </w:r>
          </w:p>
        </w:tc>
      </w:tr>
      <w:tr w:rsidR="00F50DA4" w:rsidRPr="00A81F9F" w:rsidTr="00F50DA4">
        <w:tc>
          <w:tcPr>
            <w:tcW w:w="1668" w:type="dxa"/>
          </w:tcPr>
          <w:p w:rsidR="00F50DA4" w:rsidRPr="00A81F9F" w:rsidRDefault="00F50DA4" w:rsidP="004B5A3F">
            <w:pPr>
              <w:jc w:val="both"/>
              <w:rPr>
                <w:b/>
                <w:bCs/>
              </w:rPr>
            </w:pPr>
            <w:r w:rsidRPr="00A81F9F">
              <w:rPr>
                <w:b/>
                <w:bCs/>
              </w:rPr>
              <w:t>ТЭС</w:t>
            </w:r>
          </w:p>
        </w:tc>
        <w:tc>
          <w:tcPr>
            <w:tcW w:w="1134" w:type="dxa"/>
          </w:tcPr>
          <w:p w:rsidR="00F50DA4" w:rsidRPr="00A81F9F" w:rsidRDefault="008D2FEB" w:rsidP="004B5A3F">
            <w:pPr>
              <w:jc w:val="center"/>
            </w:pPr>
            <w:r>
              <w:t>149,4</w:t>
            </w:r>
          </w:p>
        </w:tc>
        <w:tc>
          <w:tcPr>
            <w:tcW w:w="1141" w:type="dxa"/>
          </w:tcPr>
          <w:p w:rsidR="00F50DA4" w:rsidRPr="00A81F9F" w:rsidRDefault="008D2FEB" w:rsidP="004B5A3F">
            <w:pPr>
              <w:jc w:val="center"/>
            </w:pPr>
            <w:r>
              <w:t>156,0</w:t>
            </w:r>
          </w:p>
        </w:tc>
        <w:tc>
          <w:tcPr>
            <w:tcW w:w="1141" w:type="dxa"/>
          </w:tcPr>
          <w:p w:rsidR="00F50DA4" w:rsidRPr="00A81F9F" w:rsidRDefault="008D2FEB" w:rsidP="004B5A3F">
            <w:pPr>
              <w:jc w:val="center"/>
            </w:pPr>
            <w:r>
              <w:t>161,4</w:t>
            </w:r>
          </w:p>
        </w:tc>
        <w:tc>
          <w:tcPr>
            <w:tcW w:w="1141" w:type="dxa"/>
          </w:tcPr>
          <w:p w:rsidR="00F50DA4" w:rsidRPr="00A81F9F" w:rsidRDefault="008D2FEB" w:rsidP="004B5A3F">
            <w:pPr>
              <w:jc w:val="center"/>
            </w:pPr>
            <w:r>
              <w:t>167,1</w:t>
            </w:r>
          </w:p>
        </w:tc>
        <w:tc>
          <w:tcPr>
            <w:tcW w:w="1141" w:type="dxa"/>
          </w:tcPr>
          <w:p w:rsidR="00F50DA4" w:rsidRPr="00A81F9F" w:rsidRDefault="008D2FEB" w:rsidP="004B5A3F">
            <w:pPr>
              <w:jc w:val="center"/>
            </w:pPr>
            <w:r>
              <w:t>166,7</w:t>
            </w:r>
          </w:p>
        </w:tc>
        <w:tc>
          <w:tcPr>
            <w:tcW w:w="1141" w:type="dxa"/>
          </w:tcPr>
          <w:p w:rsidR="00F50DA4" w:rsidRPr="00A81F9F" w:rsidRDefault="008D2FEB" w:rsidP="004B5A3F">
            <w:pPr>
              <w:jc w:val="center"/>
            </w:pPr>
            <w:r>
              <w:t>166,0</w:t>
            </w:r>
          </w:p>
        </w:tc>
        <w:tc>
          <w:tcPr>
            <w:tcW w:w="1141" w:type="dxa"/>
          </w:tcPr>
          <w:p w:rsidR="00F50DA4" w:rsidRPr="00A81F9F" w:rsidRDefault="008D2FEB" w:rsidP="004B5A3F">
            <w:pPr>
              <w:jc w:val="center"/>
            </w:pPr>
            <w:r>
              <w:t>165,0</w:t>
            </w:r>
          </w:p>
        </w:tc>
        <w:tc>
          <w:tcPr>
            <w:tcW w:w="876" w:type="dxa"/>
          </w:tcPr>
          <w:p w:rsidR="00F50DA4" w:rsidRPr="00A81F9F" w:rsidRDefault="008D2FEB" w:rsidP="004B5A3F">
            <w:pPr>
              <w:jc w:val="center"/>
            </w:pPr>
            <w:r>
              <w:t>164,7</w:t>
            </w:r>
          </w:p>
        </w:tc>
      </w:tr>
      <w:tr w:rsidR="00F50DA4" w:rsidRPr="00A81F9F" w:rsidTr="00F50DA4">
        <w:tc>
          <w:tcPr>
            <w:tcW w:w="1668" w:type="dxa"/>
          </w:tcPr>
          <w:p w:rsidR="00F50DA4" w:rsidRPr="00A81F9F" w:rsidRDefault="00F50DA4" w:rsidP="004B5A3F">
            <w:pPr>
              <w:jc w:val="both"/>
              <w:rPr>
                <w:b/>
                <w:bCs/>
              </w:rPr>
            </w:pPr>
            <w:r w:rsidRPr="00A81F9F">
              <w:rPr>
                <w:b/>
                <w:bCs/>
              </w:rPr>
              <w:t>ВИЭ</w:t>
            </w:r>
          </w:p>
        </w:tc>
        <w:tc>
          <w:tcPr>
            <w:tcW w:w="1134" w:type="dxa"/>
          </w:tcPr>
          <w:p w:rsidR="00F50DA4" w:rsidRPr="00A81F9F" w:rsidRDefault="00F50DA4" w:rsidP="004B5A3F">
            <w:pPr>
              <w:jc w:val="center"/>
            </w:pPr>
            <w:r w:rsidRPr="00A81F9F">
              <w:t>0,01</w:t>
            </w:r>
          </w:p>
        </w:tc>
        <w:tc>
          <w:tcPr>
            <w:tcW w:w="1141" w:type="dxa"/>
          </w:tcPr>
          <w:p w:rsidR="00F50DA4" w:rsidRPr="00A81F9F" w:rsidRDefault="00F50DA4" w:rsidP="004B5A3F">
            <w:pPr>
              <w:jc w:val="center"/>
            </w:pPr>
            <w:r w:rsidRPr="00A81F9F">
              <w:t>0,01</w:t>
            </w:r>
          </w:p>
        </w:tc>
        <w:tc>
          <w:tcPr>
            <w:tcW w:w="1141" w:type="dxa"/>
          </w:tcPr>
          <w:p w:rsidR="00F50DA4" w:rsidRPr="00A81F9F" w:rsidRDefault="00F50DA4" w:rsidP="004B5A3F">
            <w:pPr>
              <w:jc w:val="center"/>
            </w:pPr>
            <w:r w:rsidRPr="00A81F9F">
              <w:t>0,01</w:t>
            </w:r>
          </w:p>
        </w:tc>
        <w:tc>
          <w:tcPr>
            <w:tcW w:w="1141" w:type="dxa"/>
          </w:tcPr>
          <w:p w:rsidR="00F50DA4" w:rsidRPr="00A81F9F" w:rsidRDefault="00F50DA4" w:rsidP="004B5A3F">
            <w:pPr>
              <w:jc w:val="center"/>
            </w:pPr>
            <w:r w:rsidRPr="00A81F9F">
              <w:t>0,01</w:t>
            </w:r>
          </w:p>
        </w:tc>
        <w:tc>
          <w:tcPr>
            <w:tcW w:w="1141" w:type="dxa"/>
          </w:tcPr>
          <w:p w:rsidR="00F50DA4" w:rsidRPr="00A81F9F" w:rsidRDefault="00F50DA4" w:rsidP="004B5A3F">
            <w:pPr>
              <w:jc w:val="center"/>
            </w:pPr>
            <w:r w:rsidRPr="00A81F9F">
              <w:t>0,01</w:t>
            </w:r>
          </w:p>
        </w:tc>
        <w:tc>
          <w:tcPr>
            <w:tcW w:w="1141" w:type="dxa"/>
          </w:tcPr>
          <w:p w:rsidR="00F50DA4" w:rsidRPr="00A81F9F" w:rsidRDefault="00F50DA4" w:rsidP="004B5A3F">
            <w:pPr>
              <w:jc w:val="center"/>
            </w:pPr>
            <w:r w:rsidRPr="00A81F9F">
              <w:t>0,01</w:t>
            </w:r>
          </w:p>
        </w:tc>
        <w:tc>
          <w:tcPr>
            <w:tcW w:w="1141" w:type="dxa"/>
          </w:tcPr>
          <w:p w:rsidR="00F50DA4" w:rsidRPr="00A81F9F" w:rsidRDefault="00F50DA4" w:rsidP="004B5A3F">
            <w:pPr>
              <w:jc w:val="center"/>
            </w:pPr>
            <w:r w:rsidRPr="00A81F9F">
              <w:t>0,01</w:t>
            </w:r>
          </w:p>
        </w:tc>
        <w:tc>
          <w:tcPr>
            <w:tcW w:w="876" w:type="dxa"/>
          </w:tcPr>
          <w:p w:rsidR="00F50DA4" w:rsidRPr="00A81F9F" w:rsidRDefault="00F50DA4" w:rsidP="004B5A3F">
            <w:pPr>
              <w:jc w:val="center"/>
            </w:pPr>
            <w:r w:rsidRPr="00A81F9F">
              <w:t>0,01</w:t>
            </w:r>
          </w:p>
        </w:tc>
      </w:tr>
    </w:tbl>
    <w:p w:rsidR="00F50DA4" w:rsidRPr="00A81F9F" w:rsidRDefault="00F50DA4" w:rsidP="00F50DA4">
      <w:pPr>
        <w:jc w:val="both"/>
      </w:pPr>
    </w:p>
    <w:p w:rsidR="007D4E6C" w:rsidRDefault="007D4E6C" w:rsidP="00EE1A61">
      <w:pPr>
        <w:ind w:firstLine="709"/>
        <w:jc w:val="both"/>
      </w:pPr>
    </w:p>
    <w:p w:rsidR="007D4E6C" w:rsidRDefault="007C1ADE" w:rsidP="00E146C3">
      <w:pPr>
        <w:ind w:hanging="284"/>
        <w:jc w:val="center"/>
      </w:pPr>
      <w:r>
        <w:rPr>
          <w:noProof/>
        </w:rPr>
        <w:drawing>
          <wp:inline distT="0" distB="0" distL="0" distR="0">
            <wp:extent cx="6400800" cy="4295775"/>
            <wp:effectExtent l="19050" t="0" r="0" b="0"/>
            <wp:docPr id="2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cstate="print"/>
                    <a:srcRect l="25000" t="29102" r="9843" b="16177"/>
                    <a:stretch>
                      <a:fillRect/>
                    </a:stretch>
                  </pic:blipFill>
                  <pic:spPr bwMode="auto">
                    <a:xfrm>
                      <a:off x="0" y="0"/>
                      <a:ext cx="6400800" cy="4295775"/>
                    </a:xfrm>
                    <a:prstGeom prst="rect">
                      <a:avLst/>
                    </a:prstGeom>
                    <a:noFill/>
                    <a:ln w="9525">
                      <a:noFill/>
                      <a:miter lim="800000"/>
                      <a:headEnd/>
                      <a:tailEnd/>
                    </a:ln>
                  </pic:spPr>
                </pic:pic>
              </a:graphicData>
            </a:graphic>
          </wp:inline>
        </w:drawing>
      </w:r>
    </w:p>
    <w:p w:rsidR="00F50DA4" w:rsidRPr="00A81F9F" w:rsidRDefault="00F50DA4" w:rsidP="00F50DA4">
      <w:pPr>
        <w:ind w:firstLine="709"/>
        <w:jc w:val="both"/>
      </w:pPr>
      <w:r w:rsidRPr="00A81F9F">
        <w:t>Рис. 3</w:t>
      </w:r>
      <w:r w:rsidR="00E95947">
        <w:t>8</w:t>
      </w:r>
      <w:r w:rsidRPr="00A81F9F">
        <w:t xml:space="preserve">. Структура установленной мощности на электростанциях ЕЭС России в соответствии с прогнозом Минэнерго 2012г. на период </w:t>
      </w:r>
      <w:r w:rsidR="00BE1647">
        <w:t>2012</w:t>
      </w:r>
      <w:r w:rsidRPr="00A81F9F">
        <w:t xml:space="preserve"> – 2018гг. </w:t>
      </w:r>
    </w:p>
    <w:p w:rsidR="007D4E6C" w:rsidRDefault="007D4E6C" w:rsidP="00EE1A61">
      <w:pPr>
        <w:ind w:firstLine="709"/>
        <w:jc w:val="both"/>
      </w:pPr>
    </w:p>
    <w:p w:rsidR="009478DB" w:rsidRPr="00A81F9F" w:rsidRDefault="001E6CE8" w:rsidP="00EE1A61">
      <w:pPr>
        <w:ind w:firstLine="709"/>
        <w:jc w:val="both"/>
      </w:pPr>
      <w:r>
        <w:t>По прогнозу Минэнерго 2013</w:t>
      </w:r>
      <w:r w:rsidR="009478DB" w:rsidRPr="00A81F9F">
        <w:t xml:space="preserve"> г. при реализации запланированной программы развития генерирующих мощностей установленная мощность электроста</w:t>
      </w:r>
      <w:r>
        <w:t>нций ЕЭС России возрастет к 2019</w:t>
      </w:r>
      <w:r w:rsidR="009478DB" w:rsidRPr="00A81F9F">
        <w:t xml:space="preserve"> году на </w:t>
      </w:r>
      <w:r>
        <w:rPr>
          <w:rStyle w:val="af5"/>
          <w:rFonts w:eastAsia="Calibri"/>
          <w:sz w:val="30"/>
        </w:rPr>
        <w:t>14,7</w:t>
      </w:r>
      <w:r w:rsidR="009478DB" w:rsidRPr="00A81F9F">
        <w:rPr>
          <w:rStyle w:val="af5"/>
          <w:rFonts w:eastAsia="Calibri"/>
          <w:sz w:val="30"/>
        </w:rPr>
        <w:t xml:space="preserve"> ГВт</w:t>
      </w:r>
      <w:r>
        <w:t xml:space="preserve"> (6</w:t>
      </w:r>
      <w:r w:rsidR="009478DB" w:rsidRPr="00A81F9F">
        <w:t xml:space="preserve">,6%) и составит </w:t>
      </w:r>
      <w:r>
        <w:rPr>
          <w:rStyle w:val="af5"/>
          <w:rFonts w:eastAsia="Calibri"/>
          <w:sz w:val="30"/>
        </w:rPr>
        <w:t>237,8</w:t>
      </w:r>
      <w:r w:rsidR="009478DB" w:rsidRPr="00A81F9F">
        <w:rPr>
          <w:rStyle w:val="af5"/>
          <w:rFonts w:eastAsia="Calibri"/>
          <w:sz w:val="30"/>
        </w:rPr>
        <w:t xml:space="preserve"> ГВт</w:t>
      </w:r>
      <w:r w:rsidR="009478DB" w:rsidRPr="00A81F9F">
        <w:t xml:space="preserve">. </w:t>
      </w:r>
      <w:r w:rsidR="00BF7B0E">
        <w:t>К 2019 г. с</w:t>
      </w:r>
      <w:r w:rsidR="009478DB" w:rsidRPr="00A81F9F">
        <w:t>труктура установленной мощности электростанции по ЕЭС Р</w:t>
      </w:r>
      <w:r w:rsidR="00BF7B0E">
        <w:t>оссии по прогнозу Минэнерго 2013 в период 2013-2019</w:t>
      </w:r>
      <w:r w:rsidR="00321E76">
        <w:t xml:space="preserve"> гг. представлена в таблице 1</w:t>
      </w:r>
      <w:r w:rsidR="00DF4DFB">
        <w:t>2</w:t>
      </w:r>
      <w:r w:rsidR="00321E76">
        <w:t xml:space="preserve"> и </w:t>
      </w:r>
      <w:r w:rsidR="00244129">
        <w:t>на рис.</w:t>
      </w:r>
      <w:r w:rsidR="00321E76">
        <w:t xml:space="preserve"> 3</w:t>
      </w:r>
      <w:r w:rsidR="00E95947">
        <w:t>9</w:t>
      </w:r>
      <w:r w:rsidR="009478DB" w:rsidRPr="00A81F9F">
        <w:t xml:space="preserve">. </w:t>
      </w:r>
    </w:p>
    <w:p w:rsidR="009478DB" w:rsidRDefault="009478DB" w:rsidP="00EE1A61">
      <w:pPr>
        <w:ind w:firstLine="709"/>
        <w:jc w:val="both"/>
      </w:pPr>
    </w:p>
    <w:p w:rsidR="00BE1647" w:rsidRDefault="00BE1647" w:rsidP="00A2715A">
      <w:pPr>
        <w:ind w:firstLine="709"/>
        <w:jc w:val="right"/>
      </w:pPr>
      <w:r>
        <w:t>Таблица 1</w:t>
      </w:r>
      <w:r w:rsidR="00DF4DFB">
        <w:t>2</w:t>
      </w:r>
      <w:r>
        <w:t>.</w:t>
      </w:r>
    </w:p>
    <w:p w:rsidR="00A2715A" w:rsidRDefault="00A2715A" w:rsidP="00085E0C">
      <w:pPr>
        <w:ind w:firstLine="709"/>
        <w:jc w:val="center"/>
      </w:pPr>
      <w:r>
        <w:t xml:space="preserve">Прогноз </w:t>
      </w:r>
      <w:r w:rsidRPr="00A81F9F">
        <w:t>установленной мощности электростанции по ЕЭС Р</w:t>
      </w:r>
      <w:r>
        <w:t>оссии по прогнозу Минэнерго 2013 в период 2013-2019 гг.</w:t>
      </w:r>
    </w:p>
    <w:p w:rsidR="00BE1647" w:rsidRDefault="00BE1647" w:rsidP="00EE1A61">
      <w:pPr>
        <w:ind w:firstLine="709"/>
        <w:jc w:val="both"/>
      </w:pPr>
    </w:p>
    <w:tbl>
      <w:tblPr>
        <w:tblW w:w="967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5"/>
        <w:gridCol w:w="960"/>
        <w:gridCol w:w="960"/>
        <w:gridCol w:w="960"/>
        <w:gridCol w:w="960"/>
        <w:gridCol w:w="960"/>
        <w:gridCol w:w="960"/>
        <w:gridCol w:w="960"/>
        <w:gridCol w:w="960"/>
      </w:tblGrid>
      <w:tr w:rsidR="00E46E49" w:rsidRPr="00E46E49" w:rsidTr="00BE1647">
        <w:trPr>
          <w:trHeight w:val="330"/>
        </w:trPr>
        <w:tc>
          <w:tcPr>
            <w:tcW w:w="1995"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 </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2012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2013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2014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2015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2016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2017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2018 г.</w:t>
            </w:r>
          </w:p>
        </w:tc>
        <w:tc>
          <w:tcPr>
            <w:tcW w:w="960" w:type="dxa"/>
            <w:shd w:val="clear" w:color="auto" w:fill="auto"/>
            <w:vAlign w:val="bottom"/>
            <w:hideMark/>
          </w:tcPr>
          <w:p w:rsidR="00E46E49" w:rsidRPr="00E46E49" w:rsidRDefault="00E46E49" w:rsidP="00E46E49">
            <w:pPr>
              <w:jc w:val="center"/>
              <w:rPr>
                <w:rFonts w:eastAsia="Times New Roman"/>
                <w:b/>
                <w:bCs/>
                <w:color w:val="000000"/>
              </w:rPr>
            </w:pPr>
            <w:r w:rsidRPr="00E46E49">
              <w:rPr>
                <w:rFonts w:eastAsia="Times New Roman"/>
                <w:b/>
                <w:bCs/>
                <w:color w:val="000000"/>
              </w:rPr>
              <w:t>2019 г.</w:t>
            </w:r>
          </w:p>
        </w:tc>
      </w:tr>
      <w:tr w:rsidR="00E46E49" w:rsidRPr="00E46E49" w:rsidTr="00BE1647">
        <w:trPr>
          <w:trHeight w:val="330"/>
        </w:trPr>
        <w:tc>
          <w:tcPr>
            <w:tcW w:w="1995" w:type="dxa"/>
            <w:shd w:val="clear" w:color="auto" w:fill="auto"/>
            <w:vAlign w:val="bottom"/>
            <w:hideMark/>
          </w:tcPr>
          <w:p w:rsidR="00E46E49" w:rsidRPr="00E46E49" w:rsidRDefault="00E46E49" w:rsidP="00E46E49">
            <w:pPr>
              <w:rPr>
                <w:rFonts w:eastAsia="Times New Roman"/>
                <w:b/>
                <w:bCs/>
                <w:color w:val="000000"/>
              </w:rPr>
            </w:pPr>
            <w:r w:rsidRPr="00E46E49">
              <w:rPr>
                <w:rFonts w:eastAsia="Times New Roman"/>
                <w:b/>
                <w:bCs/>
                <w:color w:val="000000"/>
              </w:rPr>
              <w:t>ЕЭС России</w:t>
            </w:r>
          </w:p>
        </w:tc>
        <w:tc>
          <w:tcPr>
            <w:tcW w:w="960" w:type="dxa"/>
            <w:shd w:val="clear" w:color="auto" w:fill="auto"/>
            <w:noWrap/>
            <w:vAlign w:val="bottom"/>
            <w:hideMark/>
          </w:tcPr>
          <w:p w:rsidR="00E46E49" w:rsidRPr="00E46E49" w:rsidRDefault="00E46E49" w:rsidP="00E46E49">
            <w:pPr>
              <w:jc w:val="center"/>
              <w:rPr>
                <w:rFonts w:eastAsia="Times New Roman"/>
                <w:b/>
                <w:bCs/>
                <w:color w:val="000000"/>
                <w:sz w:val="22"/>
                <w:szCs w:val="22"/>
              </w:rPr>
            </w:pPr>
            <w:r w:rsidRPr="00E46E49">
              <w:rPr>
                <w:rFonts w:eastAsia="Times New Roman"/>
                <w:b/>
                <w:bCs/>
                <w:color w:val="000000"/>
                <w:sz w:val="22"/>
                <w:szCs w:val="22"/>
              </w:rPr>
              <w:t>223,1</w:t>
            </w:r>
          </w:p>
        </w:tc>
        <w:tc>
          <w:tcPr>
            <w:tcW w:w="960" w:type="dxa"/>
            <w:shd w:val="clear" w:color="auto" w:fill="auto"/>
            <w:noWrap/>
            <w:vAlign w:val="bottom"/>
            <w:hideMark/>
          </w:tcPr>
          <w:p w:rsidR="00E46E49" w:rsidRPr="00E46E49" w:rsidRDefault="00D86BF4" w:rsidP="00E46E49">
            <w:pPr>
              <w:jc w:val="center"/>
              <w:rPr>
                <w:rFonts w:eastAsia="Times New Roman"/>
                <w:b/>
                <w:bCs/>
                <w:color w:val="000000"/>
                <w:sz w:val="22"/>
                <w:szCs w:val="22"/>
              </w:rPr>
            </w:pPr>
            <w:r>
              <w:rPr>
                <w:rFonts w:eastAsia="Times New Roman"/>
                <w:b/>
                <w:bCs/>
                <w:color w:val="000000"/>
                <w:sz w:val="22"/>
                <w:szCs w:val="22"/>
              </w:rPr>
              <w:t>227,8</w:t>
            </w:r>
          </w:p>
        </w:tc>
        <w:tc>
          <w:tcPr>
            <w:tcW w:w="960" w:type="dxa"/>
            <w:shd w:val="clear" w:color="auto" w:fill="auto"/>
            <w:noWrap/>
            <w:vAlign w:val="bottom"/>
            <w:hideMark/>
          </w:tcPr>
          <w:p w:rsidR="00E46E49" w:rsidRPr="00E46E49" w:rsidRDefault="00D86BF4" w:rsidP="00E46E49">
            <w:pPr>
              <w:jc w:val="center"/>
              <w:rPr>
                <w:rFonts w:eastAsia="Times New Roman"/>
                <w:b/>
                <w:bCs/>
                <w:color w:val="000000"/>
                <w:sz w:val="22"/>
                <w:szCs w:val="22"/>
              </w:rPr>
            </w:pPr>
            <w:r>
              <w:rPr>
                <w:rFonts w:eastAsia="Times New Roman"/>
                <w:b/>
                <w:bCs/>
                <w:color w:val="000000"/>
                <w:sz w:val="22"/>
                <w:szCs w:val="22"/>
              </w:rPr>
              <w:t>232,7</w:t>
            </w:r>
          </w:p>
        </w:tc>
        <w:tc>
          <w:tcPr>
            <w:tcW w:w="960" w:type="dxa"/>
            <w:shd w:val="clear" w:color="auto" w:fill="auto"/>
            <w:noWrap/>
            <w:vAlign w:val="bottom"/>
            <w:hideMark/>
          </w:tcPr>
          <w:p w:rsidR="00E46E49" w:rsidRPr="00E46E49" w:rsidRDefault="00E46E49" w:rsidP="00E46E49">
            <w:pPr>
              <w:jc w:val="center"/>
              <w:rPr>
                <w:rFonts w:eastAsia="Times New Roman"/>
                <w:b/>
                <w:bCs/>
                <w:color w:val="000000"/>
                <w:sz w:val="22"/>
                <w:szCs w:val="22"/>
              </w:rPr>
            </w:pPr>
            <w:r w:rsidRPr="00E46E49">
              <w:rPr>
                <w:rFonts w:eastAsia="Times New Roman"/>
                <w:b/>
                <w:bCs/>
                <w:color w:val="000000"/>
                <w:sz w:val="22"/>
                <w:szCs w:val="22"/>
              </w:rPr>
              <w:t>237,8</w:t>
            </w:r>
          </w:p>
        </w:tc>
        <w:tc>
          <w:tcPr>
            <w:tcW w:w="960" w:type="dxa"/>
            <w:shd w:val="clear" w:color="auto" w:fill="auto"/>
            <w:noWrap/>
            <w:vAlign w:val="bottom"/>
            <w:hideMark/>
          </w:tcPr>
          <w:p w:rsidR="00E46E49" w:rsidRPr="00E46E49" w:rsidRDefault="00D86BF4" w:rsidP="00E46E49">
            <w:pPr>
              <w:jc w:val="center"/>
              <w:rPr>
                <w:rFonts w:eastAsia="Times New Roman"/>
                <w:b/>
                <w:bCs/>
                <w:color w:val="000000"/>
                <w:sz w:val="22"/>
                <w:szCs w:val="22"/>
              </w:rPr>
            </w:pPr>
            <w:r>
              <w:rPr>
                <w:rFonts w:eastAsia="Times New Roman"/>
                <w:b/>
                <w:bCs/>
                <w:color w:val="000000"/>
                <w:sz w:val="22"/>
                <w:szCs w:val="22"/>
              </w:rPr>
              <w:t>238,7</w:t>
            </w:r>
          </w:p>
        </w:tc>
        <w:tc>
          <w:tcPr>
            <w:tcW w:w="960" w:type="dxa"/>
            <w:shd w:val="clear" w:color="auto" w:fill="auto"/>
            <w:noWrap/>
            <w:vAlign w:val="bottom"/>
            <w:hideMark/>
          </w:tcPr>
          <w:p w:rsidR="00E46E49" w:rsidRPr="00E46E49" w:rsidRDefault="00D86BF4" w:rsidP="00E46E49">
            <w:pPr>
              <w:jc w:val="center"/>
              <w:rPr>
                <w:rFonts w:eastAsia="Times New Roman"/>
                <w:b/>
                <w:bCs/>
                <w:color w:val="000000"/>
                <w:sz w:val="22"/>
                <w:szCs w:val="22"/>
              </w:rPr>
            </w:pPr>
            <w:r>
              <w:rPr>
                <w:rFonts w:eastAsia="Times New Roman"/>
                <w:b/>
                <w:bCs/>
                <w:color w:val="000000"/>
                <w:sz w:val="22"/>
                <w:szCs w:val="22"/>
              </w:rPr>
              <w:t>239,7</w:t>
            </w:r>
          </w:p>
        </w:tc>
        <w:tc>
          <w:tcPr>
            <w:tcW w:w="960" w:type="dxa"/>
            <w:shd w:val="clear" w:color="auto" w:fill="auto"/>
            <w:noWrap/>
            <w:vAlign w:val="bottom"/>
            <w:hideMark/>
          </w:tcPr>
          <w:p w:rsidR="00E46E49" w:rsidRPr="00E46E49" w:rsidRDefault="00E46E49" w:rsidP="00E46E49">
            <w:pPr>
              <w:jc w:val="center"/>
              <w:rPr>
                <w:rFonts w:eastAsia="Times New Roman"/>
                <w:b/>
                <w:bCs/>
                <w:color w:val="000000"/>
                <w:sz w:val="22"/>
                <w:szCs w:val="22"/>
              </w:rPr>
            </w:pPr>
            <w:r w:rsidRPr="00E46E49">
              <w:rPr>
                <w:rFonts w:eastAsia="Times New Roman"/>
                <w:b/>
                <w:bCs/>
                <w:color w:val="000000"/>
                <w:sz w:val="22"/>
                <w:szCs w:val="22"/>
              </w:rPr>
              <w:t>238,6</w:t>
            </w:r>
          </w:p>
        </w:tc>
        <w:tc>
          <w:tcPr>
            <w:tcW w:w="960" w:type="dxa"/>
            <w:shd w:val="clear" w:color="auto" w:fill="auto"/>
            <w:noWrap/>
            <w:vAlign w:val="bottom"/>
            <w:hideMark/>
          </w:tcPr>
          <w:p w:rsidR="00E46E49" w:rsidRPr="00E46E49" w:rsidRDefault="00D86BF4" w:rsidP="00E46E49">
            <w:pPr>
              <w:jc w:val="center"/>
              <w:rPr>
                <w:rFonts w:eastAsia="Times New Roman"/>
                <w:b/>
                <w:bCs/>
                <w:color w:val="000000"/>
                <w:sz w:val="22"/>
                <w:szCs w:val="22"/>
              </w:rPr>
            </w:pPr>
            <w:r>
              <w:rPr>
                <w:rFonts w:eastAsia="Times New Roman"/>
                <w:b/>
                <w:bCs/>
                <w:color w:val="000000"/>
                <w:sz w:val="22"/>
                <w:szCs w:val="22"/>
              </w:rPr>
              <w:t>237,8</w:t>
            </w:r>
          </w:p>
        </w:tc>
      </w:tr>
      <w:tr w:rsidR="00E46E49" w:rsidRPr="00E46E49" w:rsidTr="00BE1647">
        <w:trPr>
          <w:trHeight w:val="330"/>
        </w:trPr>
        <w:tc>
          <w:tcPr>
            <w:tcW w:w="1995" w:type="dxa"/>
            <w:shd w:val="clear" w:color="auto" w:fill="auto"/>
            <w:vAlign w:val="bottom"/>
            <w:hideMark/>
          </w:tcPr>
          <w:p w:rsidR="00E46E49" w:rsidRPr="00E46E49" w:rsidRDefault="00E46E49" w:rsidP="00E46E49">
            <w:pPr>
              <w:rPr>
                <w:rFonts w:eastAsia="Times New Roman"/>
                <w:color w:val="000000"/>
              </w:rPr>
            </w:pPr>
            <w:r w:rsidRPr="00E46E49">
              <w:rPr>
                <w:rFonts w:eastAsia="Times New Roman"/>
                <w:color w:val="000000"/>
              </w:rPr>
              <w:t xml:space="preserve">         АЭС</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25,3</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24,3</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25,4</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26,8</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28</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28,8</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28,5</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28,3</w:t>
            </w:r>
          </w:p>
        </w:tc>
      </w:tr>
      <w:tr w:rsidR="00E46E49" w:rsidRPr="00E46E49" w:rsidTr="00BE1647">
        <w:trPr>
          <w:trHeight w:val="330"/>
        </w:trPr>
        <w:tc>
          <w:tcPr>
            <w:tcW w:w="1995" w:type="dxa"/>
            <w:shd w:val="clear" w:color="auto" w:fill="auto"/>
            <w:vAlign w:val="bottom"/>
            <w:hideMark/>
          </w:tcPr>
          <w:p w:rsidR="00E46E49" w:rsidRPr="00E46E49" w:rsidRDefault="00E46E49" w:rsidP="00E46E49">
            <w:pPr>
              <w:rPr>
                <w:rFonts w:eastAsia="Times New Roman"/>
                <w:color w:val="000000"/>
              </w:rPr>
            </w:pPr>
            <w:r w:rsidRPr="00E46E49">
              <w:rPr>
                <w:rFonts w:eastAsia="Times New Roman"/>
                <w:color w:val="000000"/>
              </w:rPr>
              <w:t xml:space="preserve">         ГЭС</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44,8</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46,6</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46,7</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46,9</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47,2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47,6</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47,6</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47,6</w:t>
            </w:r>
          </w:p>
        </w:tc>
      </w:tr>
      <w:tr w:rsidR="00E46E49" w:rsidRPr="00E46E49" w:rsidTr="00BE1647">
        <w:trPr>
          <w:trHeight w:val="330"/>
        </w:trPr>
        <w:tc>
          <w:tcPr>
            <w:tcW w:w="1995" w:type="dxa"/>
            <w:shd w:val="clear" w:color="auto" w:fill="auto"/>
            <w:vAlign w:val="bottom"/>
            <w:hideMark/>
          </w:tcPr>
          <w:p w:rsidR="00E46E49" w:rsidRPr="00E46E49" w:rsidRDefault="00E46E49" w:rsidP="00E46E49">
            <w:pPr>
              <w:rPr>
                <w:rFonts w:eastAsia="Times New Roman"/>
                <w:color w:val="000000"/>
              </w:rPr>
            </w:pPr>
            <w:r w:rsidRPr="00E46E49">
              <w:rPr>
                <w:rFonts w:eastAsia="Times New Roman"/>
                <w:color w:val="000000"/>
              </w:rPr>
              <w:t xml:space="preserve">         ГАЭС</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1,2</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1,9</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2,2</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2,2</w:t>
            </w:r>
          </w:p>
        </w:tc>
      </w:tr>
      <w:tr w:rsidR="00E46E49" w:rsidRPr="00E46E49" w:rsidTr="00BE1647">
        <w:trPr>
          <w:trHeight w:val="330"/>
        </w:trPr>
        <w:tc>
          <w:tcPr>
            <w:tcW w:w="1995" w:type="dxa"/>
            <w:shd w:val="clear" w:color="auto" w:fill="auto"/>
            <w:vAlign w:val="bottom"/>
            <w:hideMark/>
          </w:tcPr>
          <w:p w:rsidR="00E46E49" w:rsidRPr="00E46E49" w:rsidRDefault="00E46E49" w:rsidP="00E46E49">
            <w:pPr>
              <w:rPr>
                <w:rFonts w:eastAsia="Times New Roman"/>
                <w:color w:val="000000"/>
              </w:rPr>
            </w:pPr>
            <w:r w:rsidRPr="00E46E49">
              <w:rPr>
                <w:rFonts w:eastAsia="Times New Roman"/>
                <w:color w:val="000000"/>
              </w:rPr>
              <w:t xml:space="preserve">         ТЭС</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151,8</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155</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158,4</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161,8</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161,3</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161,1</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160</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159,7</w:t>
            </w:r>
          </w:p>
        </w:tc>
      </w:tr>
      <w:tr w:rsidR="00E46E49" w:rsidRPr="00E46E49" w:rsidTr="00BE1647">
        <w:trPr>
          <w:trHeight w:val="645"/>
        </w:trPr>
        <w:tc>
          <w:tcPr>
            <w:tcW w:w="1995" w:type="dxa"/>
            <w:shd w:val="clear" w:color="auto" w:fill="auto"/>
            <w:vAlign w:val="bottom"/>
            <w:hideMark/>
          </w:tcPr>
          <w:p w:rsidR="00E46E49" w:rsidRPr="00E46E49" w:rsidRDefault="00E46E49" w:rsidP="00E46E49">
            <w:pPr>
              <w:rPr>
                <w:rFonts w:eastAsia="Times New Roman"/>
                <w:color w:val="000000"/>
              </w:rPr>
            </w:pPr>
            <w:r w:rsidRPr="00E46E49">
              <w:rPr>
                <w:rFonts w:eastAsia="Times New Roman"/>
                <w:color w:val="000000"/>
              </w:rPr>
              <w:t xml:space="preserve">          в т.ч.   ТЭЦ</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83,6</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84,8</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86,8</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86,9</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85,8</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85,5</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85,2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84,8</w:t>
            </w:r>
          </w:p>
        </w:tc>
      </w:tr>
      <w:tr w:rsidR="00E46E49" w:rsidRPr="00E46E49" w:rsidTr="00BE1647">
        <w:trPr>
          <w:trHeight w:val="645"/>
        </w:trPr>
        <w:tc>
          <w:tcPr>
            <w:tcW w:w="1995" w:type="dxa"/>
            <w:shd w:val="clear" w:color="auto" w:fill="auto"/>
            <w:vAlign w:val="bottom"/>
            <w:hideMark/>
          </w:tcPr>
          <w:p w:rsidR="00E46E49" w:rsidRPr="00E46E49" w:rsidRDefault="00E46E49" w:rsidP="00E46E49">
            <w:pPr>
              <w:rPr>
                <w:rFonts w:eastAsia="Times New Roman"/>
                <w:color w:val="000000"/>
              </w:rPr>
            </w:pPr>
            <w:r w:rsidRPr="00E46E49">
              <w:rPr>
                <w:rFonts w:eastAsia="Times New Roman"/>
                <w:color w:val="000000"/>
              </w:rPr>
              <w:t xml:space="preserve">                      КЭС</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68,1</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70,3</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71,4</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74,7</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75,4</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75,4</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75</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74,8</w:t>
            </w:r>
          </w:p>
        </w:tc>
      </w:tr>
      <w:tr w:rsidR="00E46E49" w:rsidRPr="00E46E49" w:rsidTr="00BE1647">
        <w:trPr>
          <w:trHeight w:val="330"/>
        </w:trPr>
        <w:tc>
          <w:tcPr>
            <w:tcW w:w="1995" w:type="dxa"/>
            <w:shd w:val="clear" w:color="auto" w:fill="auto"/>
            <w:vAlign w:val="bottom"/>
            <w:hideMark/>
          </w:tcPr>
          <w:p w:rsidR="00E46E49" w:rsidRPr="00E46E49" w:rsidRDefault="00E46E49" w:rsidP="00E46E49">
            <w:pPr>
              <w:jc w:val="center"/>
              <w:rPr>
                <w:rFonts w:eastAsia="Times New Roman"/>
                <w:color w:val="000000"/>
              </w:rPr>
            </w:pPr>
            <w:r w:rsidRPr="00E46E49">
              <w:rPr>
                <w:rFonts w:eastAsia="Times New Roman"/>
                <w:color w:val="000000"/>
              </w:rPr>
              <w:t xml:space="preserve">         ВИЭ</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0,01</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0,01</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0,01</w:t>
            </w:r>
          </w:p>
        </w:tc>
        <w:tc>
          <w:tcPr>
            <w:tcW w:w="960" w:type="dxa"/>
            <w:shd w:val="clear" w:color="auto" w:fill="auto"/>
            <w:noWrap/>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0,01</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0,02</w:t>
            </w:r>
          </w:p>
        </w:tc>
        <w:tc>
          <w:tcPr>
            <w:tcW w:w="960" w:type="dxa"/>
            <w:shd w:val="clear" w:color="auto" w:fill="auto"/>
            <w:vAlign w:val="bottom"/>
            <w:hideMark/>
          </w:tcPr>
          <w:p w:rsidR="00E46E49" w:rsidRPr="00E46E49" w:rsidRDefault="00E46E49" w:rsidP="00E46E49">
            <w:pPr>
              <w:jc w:val="center"/>
              <w:rPr>
                <w:rFonts w:eastAsia="Times New Roman"/>
                <w:color w:val="000000"/>
                <w:sz w:val="22"/>
                <w:szCs w:val="22"/>
              </w:rPr>
            </w:pPr>
            <w:r w:rsidRPr="00E46E49">
              <w:rPr>
                <w:rFonts w:eastAsia="Times New Roman"/>
                <w:color w:val="000000"/>
                <w:sz w:val="22"/>
                <w:szCs w:val="22"/>
              </w:rPr>
              <w:t>0,02</w:t>
            </w:r>
          </w:p>
        </w:tc>
      </w:tr>
    </w:tbl>
    <w:p w:rsidR="00E46E49" w:rsidRDefault="00E46E49" w:rsidP="00EE1A61">
      <w:pPr>
        <w:ind w:firstLine="709"/>
        <w:jc w:val="both"/>
      </w:pPr>
    </w:p>
    <w:p w:rsidR="00BE1647" w:rsidRDefault="00BE1647" w:rsidP="00EE1A61">
      <w:pPr>
        <w:ind w:firstLine="709"/>
        <w:jc w:val="both"/>
      </w:pPr>
    </w:p>
    <w:p w:rsidR="00E46E49" w:rsidRPr="00A81F9F" w:rsidRDefault="00E46E49" w:rsidP="00EE1A61">
      <w:pPr>
        <w:ind w:firstLine="709"/>
        <w:jc w:val="both"/>
      </w:pPr>
    </w:p>
    <w:p w:rsidR="009478DB" w:rsidRDefault="007C1ADE" w:rsidP="00BE1647">
      <w:pPr>
        <w:ind w:hanging="426"/>
        <w:jc w:val="center"/>
      </w:pPr>
      <w:r>
        <w:rPr>
          <w:noProof/>
        </w:rPr>
        <w:drawing>
          <wp:inline distT="0" distB="0" distL="0" distR="0">
            <wp:extent cx="6467985" cy="4592806"/>
            <wp:effectExtent l="17109" t="7769" r="10956" b="0"/>
            <wp:docPr id="2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21E76" w:rsidRDefault="00321E76" w:rsidP="00EE1A61">
      <w:pPr>
        <w:ind w:firstLine="709"/>
        <w:jc w:val="both"/>
      </w:pPr>
    </w:p>
    <w:p w:rsidR="00BE1647" w:rsidRPr="00A81F9F" w:rsidRDefault="00BE1647" w:rsidP="00BE1647">
      <w:pPr>
        <w:ind w:firstLine="709"/>
        <w:jc w:val="both"/>
      </w:pPr>
      <w:r>
        <w:t>Рис. 3</w:t>
      </w:r>
      <w:r w:rsidR="00E95947">
        <w:t>9</w:t>
      </w:r>
      <w:r>
        <w:t>.</w:t>
      </w:r>
      <w:r w:rsidRPr="00BE1647">
        <w:t xml:space="preserve"> </w:t>
      </w:r>
      <w:r w:rsidRPr="00A81F9F">
        <w:t>Структура установленной мощности на электростанциях ЕЭС России в соответ</w:t>
      </w:r>
      <w:r>
        <w:t>ствии с прогнозом Минэнерго 2013</w:t>
      </w:r>
      <w:r w:rsidRPr="00A81F9F">
        <w:t xml:space="preserve">г. на период </w:t>
      </w:r>
      <w:r>
        <w:t>2013 – 2019</w:t>
      </w:r>
      <w:r w:rsidRPr="00A81F9F">
        <w:t xml:space="preserve">гг. </w:t>
      </w:r>
    </w:p>
    <w:p w:rsidR="00BE1647" w:rsidRDefault="00BE1647" w:rsidP="00085E0C">
      <w:pPr>
        <w:jc w:val="both"/>
      </w:pPr>
    </w:p>
    <w:p w:rsidR="00BE1647" w:rsidRPr="004B5A3F" w:rsidRDefault="004B5A3F" w:rsidP="00297B4E">
      <w:pPr>
        <w:ind w:firstLine="709"/>
        <w:jc w:val="both"/>
      </w:pPr>
      <w:r>
        <w:t>Анализ</w:t>
      </w:r>
      <w:r w:rsidR="00BE1647">
        <w:t xml:space="preserve"> пр</w:t>
      </w:r>
      <w:r>
        <w:t>огнозов</w:t>
      </w:r>
      <w:r w:rsidR="00BE1647">
        <w:t xml:space="preserve"> </w:t>
      </w:r>
      <w:r>
        <w:t xml:space="preserve">установленных </w:t>
      </w:r>
      <w:r w:rsidR="00BE1647">
        <w:t xml:space="preserve">мощностей </w:t>
      </w:r>
      <w:r>
        <w:t xml:space="preserve">в ЕЭС России </w:t>
      </w:r>
      <w:r w:rsidR="00BE1647">
        <w:t xml:space="preserve">по </w:t>
      </w:r>
      <w:r>
        <w:t xml:space="preserve">Минэнерго 2011, 2012 и 2013, </w:t>
      </w:r>
      <w:r w:rsidR="00D86BF4">
        <w:t>(периодичность</w:t>
      </w:r>
      <w:r>
        <w:t xml:space="preserve"> 1 раз в год</w:t>
      </w:r>
      <w:r w:rsidR="00D86BF4">
        <w:t>)</w:t>
      </w:r>
      <w:r>
        <w:t xml:space="preserve">, </w:t>
      </w:r>
      <w:r w:rsidR="00BE1647">
        <w:t xml:space="preserve">показал, что они </w:t>
      </w:r>
      <w:r w:rsidRPr="004B5A3F">
        <w:t>существенно отличаются друг от друга.</w:t>
      </w:r>
      <w:r>
        <w:t xml:space="preserve"> </w:t>
      </w:r>
      <w:r w:rsidR="00E208B2">
        <w:t>Н</w:t>
      </w:r>
      <w:r w:rsidR="00120B49">
        <w:t xml:space="preserve">а начало периода – 2012 г. - эти установленные мощности в прогнозах Минэнерго 2011, 2012, 2013, равны, соответственно, </w:t>
      </w:r>
      <w:r w:rsidR="00E208B2">
        <w:t>227,5 ГВт, 228,3 ГВт</w:t>
      </w:r>
      <w:r w:rsidR="00120B49">
        <w:t xml:space="preserve"> 223,1 ГВт</w:t>
      </w:r>
      <w:r w:rsidR="00E208B2">
        <w:t xml:space="preserve">, разница между </w:t>
      </w:r>
      <w:r w:rsidR="00297B4E">
        <w:t xml:space="preserve">прогнозами </w:t>
      </w:r>
      <w:r w:rsidR="00E208B2">
        <w:t>Минэнерго 2012 и 2013 – уже 5,2 ГВт</w:t>
      </w:r>
      <w:r w:rsidR="00297B4E">
        <w:t xml:space="preserve">, а на конец периода - </w:t>
      </w:r>
      <w:r>
        <w:t xml:space="preserve"> в 2017 г. </w:t>
      </w:r>
      <w:r w:rsidR="00D86BF4">
        <w:t xml:space="preserve">эти </w:t>
      </w:r>
      <w:r>
        <w:t>установленные мощности</w:t>
      </w:r>
      <w:r w:rsidR="00297B4E">
        <w:t xml:space="preserve"> равны</w:t>
      </w:r>
      <w:r w:rsidR="00D86BF4">
        <w:t>, соответственно, 258,6 ГВт, 246 ГВт и 239,7 ГВт</w:t>
      </w:r>
      <w:r w:rsidR="00297B4E">
        <w:t>, т.е.  соответствующая р</w:t>
      </w:r>
      <w:r w:rsidR="00120B49">
        <w:t>азница</w:t>
      </w:r>
      <w:r w:rsidR="00297B4E">
        <w:t xml:space="preserve"> достигла</w:t>
      </w:r>
      <w:r w:rsidR="00120B49">
        <w:t xml:space="preserve"> </w:t>
      </w:r>
      <w:r w:rsidR="00297B4E">
        <w:t>7,7</w:t>
      </w:r>
      <w:r w:rsidR="00120B49">
        <w:t xml:space="preserve"> ГВт.</w:t>
      </w:r>
    </w:p>
    <w:p w:rsidR="00BE1647" w:rsidRDefault="00BE1647" w:rsidP="00BE1647">
      <w:pPr>
        <w:jc w:val="both"/>
      </w:pPr>
    </w:p>
    <w:p w:rsidR="00DD0D46" w:rsidRDefault="006B5673" w:rsidP="00A26E66">
      <w:pPr>
        <w:ind w:firstLine="709"/>
        <w:jc w:val="both"/>
      </w:pPr>
      <w:r>
        <w:t>Динамика у</w:t>
      </w:r>
      <w:r w:rsidR="00DD0D46">
        <w:t>становленн</w:t>
      </w:r>
      <w:r>
        <w:t>ых</w:t>
      </w:r>
      <w:r w:rsidR="00DD0D46">
        <w:t xml:space="preserve"> мощност</w:t>
      </w:r>
      <w:r>
        <w:t>ей по годам в ЕЭС России по прогнозу Минэнерго 2013 должна быть скорректирована в соответствие с реалистичной</w:t>
      </w:r>
      <w:r w:rsidR="00447E17">
        <w:t xml:space="preserve"> программой</w:t>
      </w:r>
      <w:r>
        <w:t xml:space="preserve"> вводов новых генерирующих мощностей АЭС (см. раздел</w:t>
      </w:r>
      <w:r w:rsidR="00447E17">
        <w:t xml:space="preserve"> 5,2</w:t>
      </w:r>
      <w:r>
        <w:t>, Таблица</w:t>
      </w:r>
      <w:r w:rsidR="00447E17">
        <w:t xml:space="preserve"> </w:t>
      </w:r>
      <w:r w:rsidR="002632A4">
        <w:t>8</w:t>
      </w:r>
      <w:r w:rsidR="00447E17">
        <w:t>).</w:t>
      </w:r>
    </w:p>
    <w:p w:rsidR="005740CE" w:rsidRDefault="005740CE" w:rsidP="00A26E66">
      <w:pPr>
        <w:jc w:val="both"/>
      </w:pPr>
    </w:p>
    <w:p w:rsidR="007313FB" w:rsidRDefault="00E95947" w:rsidP="00A26E66">
      <w:pPr>
        <w:ind w:firstLine="709"/>
        <w:jc w:val="both"/>
      </w:pPr>
      <w:r>
        <w:t>На рис. 40</w:t>
      </w:r>
      <w:r w:rsidR="002B53CD">
        <w:t xml:space="preserve"> </w:t>
      </w:r>
      <w:r w:rsidR="005740CE">
        <w:t>показаны</w:t>
      </w:r>
      <w:r w:rsidR="00447E17">
        <w:t xml:space="preserve"> скорректированны</w:t>
      </w:r>
      <w:r w:rsidR="007313FB">
        <w:t>й</w:t>
      </w:r>
      <w:r w:rsidR="00447E17">
        <w:t xml:space="preserve"> </w:t>
      </w:r>
      <w:r w:rsidR="005740CE">
        <w:t xml:space="preserve"> </w:t>
      </w:r>
      <w:r w:rsidR="007313FB">
        <w:t xml:space="preserve">прогноз Минэнерго 2013 по </w:t>
      </w:r>
      <w:r w:rsidR="005740CE">
        <w:t>размер</w:t>
      </w:r>
      <w:r w:rsidR="007313FB">
        <w:t>у</w:t>
      </w:r>
      <w:r w:rsidR="002B53CD">
        <w:t xml:space="preserve"> и структур</w:t>
      </w:r>
      <w:r w:rsidR="007313FB">
        <w:t>е</w:t>
      </w:r>
      <w:r w:rsidR="002B53CD">
        <w:t xml:space="preserve"> установленной мощности </w:t>
      </w:r>
      <w:r w:rsidR="007313FB">
        <w:t xml:space="preserve">в </w:t>
      </w:r>
      <w:r w:rsidR="002B53CD">
        <w:t>ЕЭС России</w:t>
      </w:r>
      <w:r w:rsidR="007313FB">
        <w:t xml:space="preserve">. </w:t>
      </w:r>
      <w:r w:rsidR="0031118B">
        <w:t xml:space="preserve"> </w:t>
      </w:r>
    </w:p>
    <w:p w:rsidR="007313FB" w:rsidRDefault="007313FB" w:rsidP="00A26E66">
      <w:pPr>
        <w:ind w:firstLine="709"/>
        <w:jc w:val="both"/>
      </w:pPr>
    </w:p>
    <w:p w:rsidR="00BE1E0D" w:rsidRPr="004B5A3F" w:rsidRDefault="00BE1E0D" w:rsidP="00BE1647">
      <w:pPr>
        <w:jc w:val="both"/>
      </w:pPr>
    </w:p>
    <w:p w:rsidR="006D573B" w:rsidRDefault="006D573B" w:rsidP="006119E7">
      <w:pPr>
        <w:ind w:firstLine="709"/>
        <w:jc w:val="both"/>
      </w:pPr>
    </w:p>
    <w:p w:rsidR="006D573B" w:rsidRDefault="007C1ADE" w:rsidP="00286C12">
      <w:pPr>
        <w:jc w:val="center"/>
      </w:pPr>
      <w:r>
        <w:rPr>
          <w:noProof/>
        </w:rPr>
        <w:drawing>
          <wp:inline distT="0" distB="0" distL="0" distR="0">
            <wp:extent cx="5485627" cy="4220861"/>
            <wp:effectExtent l="13147" t="6194" r="6676" b="2045"/>
            <wp:docPr id="2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523B5" w:rsidRDefault="006523B5" w:rsidP="006523B5">
      <w:pPr>
        <w:ind w:firstLine="709"/>
        <w:jc w:val="both"/>
      </w:pPr>
    </w:p>
    <w:p w:rsidR="006523B5" w:rsidRPr="00A81F9F" w:rsidRDefault="00E95947" w:rsidP="006523B5">
      <w:pPr>
        <w:ind w:firstLine="709"/>
        <w:jc w:val="both"/>
      </w:pPr>
      <w:r>
        <w:t>Рис. 40</w:t>
      </w:r>
      <w:r w:rsidR="006523B5">
        <w:t>.</w:t>
      </w:r>
      <w:r w:rsidR="006523B5" w:rsidRPr="00BE1647">
        <w:t xml:space="preserve"> </w:t>
      </w:r>
      <w:r w:rsidR="006523B5" w:rsidRPr="00A81F9F">
        <w:t>Структура установленной мощности на электростанциях ЕЭС России в соответ</w:t>
      </w:r>
      <w:r w:rsidR="006523B5">
        <w:t>ствии с прогнозом СПЭ 2013</w:t>
      </w:r>
      <w:r w:rsidR="006523B5" w:rsidRPr="00A81F9F">
        <w:t xml:space="preserve"> на период </w:t>
      </w:r>
      <w:r w:rsidR="006523B5">
        <w:t xml:space="preserve">2013 – 2019 </w:t>
      </w:r>
      <w:r w:rsidR="006523B5" w:rsidRPr="00A81F9F">
        <w:t xml:space="preserve">гг. </w:t>
      </w:r>
    </w:p>
    <w:p w:rsidR="007313FB" w:rsidRDefault="007313FB" w:rsidP="007313FB">
      <w:pPr>
        <w:ind w:firstLine="709"/>
      </w:pPr>
    </w:p>
    <w:p w:rsidR="004605B3" w:rsidRDefault="007313FB" w:rsidP="00A26E66">
      <w:pPr>
        <w:ind w:firstLine="709"/>
        <w:jc w:val="both"/>
      </w:pPr>
      <w:r>
        <w:t>Кроме того,</w:t>
      </w:r>
      <w:r w:rsidR="00E95947">
        <w:t xml:space="preserve"> на рис. 40</w:t>
      </w:r>
      <w:r>
        <w:t xml:space="preserve"> показан уровень установленной мощности, равный </w:t>
      </w:r>
      <w:r>
        <w:br/>
      </w:r>
      <w:r w:rsidRPr="001071B4">
        <w:t>224,8 ГВт</w:t>
      </w:r>
      <w:r>
        <w:t xml:space="preserve"> =237,8 ГВт-13 ГВт, который получается из-за снижения на 13 ГВт от 216 ГВт – уровень спроса на мощность </w:t>
      </w:r>
      <w:r w:rsidR="00A96C37">
        <w:t>в 2019 г. (</w:t>
      </w:r>
      <w:r>
        <w:t>Минэнерго 2013</w:t>
      </w:r>
      <w:r w:rsidR="00A96C37">
        <w:t xml:space="preserve">, </w:t>
      </w:r>
      <w:r>
        <w:t>см. Раздел 4, рис. 33).</w:t>
      </w:r>
      <w:r w:rsidR="004605B3">
        <w:t xml:space="preserve"> </w:t>
      </w:r>
    </w:p>
    <w:p w:rsidR="001071B4" w:rsidRDefault="001071B4" w:rsidP="00A26E66">
      <w:pPr>
        <w:ind w:firstLine="709"/>
        <w:jc w:val="both"/>
      </w:pPr>
      <w:r>
        <w:t xml:space="preserve">В прогнозе СПЭ 2013 (октябрь) </w:t>
      </w:r>
      <w:r w:rsidR="00790D01">
        <w:t xml:space="preserve">к 2019 г. </w:t>
      </w:r>
      <w:r w:rsidR="004605B3">
        <w:t xml:space="preserve">величина установленной мощности в ЕЭС России  </w:t>
      </w:r>
      <w:r w:rsidR="00790D01">
        <w:t xml:space="preserve">принимается  на уровне </w:t>
      </w:r>
      <w:r w:rsidR="004605B3" w:rsidRPr="001071B4">
        <w:rPr>
          <w:b/>
        </w:rPr>
        <w:t>224,8 ГВт</w:t>
      </w:r>
      <w:r>
        <w:t>. Тогда</w:t>
      </w:r>
      <w:r w:rsidR="00F87ADF">
        <w:t>,</w:t>
      </w:r>
      <w:r w:rsidR="004C7F7B">
        <w:t xml:space="preserve"> даже</w:t>
      </w:r>
      <w:r w:rsidR="00F87ADF">
        <w:t xml:space="preserve"> </w:t>
      </w:r>
      <w:r w:rsidR="004C7F7B">
        <w:t xml:space="preserve">скорректированный </w:t>
      </w:r>
      <w:r w:rsidR="00F87ADF">
        <w:t xml:space="preserve">размер </w:t>
      </w:r>
      <w:r w:rsidR="004C7F7B">
        <w:t>установленной мощности</w:t>
      </w:r>
      <w:r>
        <w:t xml:space="preserve"> в ЕЭС России </w:t>
      </w:r>
      <w:r w:rsidR="00790D01">
        <w:t xml:space="preserve">по </w:t>
      </w:r>
      <w:r>
        <w:t xml:space="preserve">Минэнерго 2013 </w:t>
      </w:r>
      <w:r w:rsidR="004C7F7B">
        <w:t xml:space="preserve"> </w:t>
      </w:r>
      <w:r w:rsidR="004C7F7B" w:rsidRPr="005F1EA7">
        <w:rPr>
          <w:b/>
        </w:rPr>
        <w:t>завышен</w:t>
      </w:r>
      <w:r w:rsidR="004C7F7B">
        <w:t xml:space="preserve"> </w:t>
      </w:r>
      <w:r>
        <w:t xml:space="preserve">по отношению к СПЭ 2013 </w:t>
      </w:r>
      <w:r w:rsidR="004C7F7B">
        <w:t xml:space="preserve">на </w:t>
      </w:r>
      <w:r w:rsidR="004C7F7B" w:rsidRPr="004C7F7B">
        <w:rPr>
          <w:b/>
        </w:rPr>
        <w:t>8,5 ГВт</w:t>
      </w:r>
      <w:r w:rsidR="004C7F7B">
        <w:t xml:space="preserve"> или </w:t>
      </w:r>
      <w:r>
        <w:t>3,8%.</w:t>
      </w:r>
    </w:p>
    <w:p w:rsidR="00F87ADF" w:rsidRDefault="00526D81" w:rsidP="00A26E66">
      <w:pPr>
        <w:ind w:firstLine="709"/>
        <w:jc w:val="both"/>
      </w:pPr>
      <w:r>
        <w:t>Дополнительно</w:t>
      </w:r>
      <w:r w:rsidR="004C7F7B">
        <w:t xml:space="preserve"> необходимо </w:t>
      </w:r>
      <w:r w:rsidR="00650A12">
        <w:t>иметь в виду</w:t>
      </w:r>
      <w:r w:rsidR="00077743">
        <w:t xml:space="preserve">, что </w:t>
      </w:r>
      <w:r w:rsidR="00790D01">
        <w:t>в скорректированном прогнозе Минэнерго 2013 (</w:t>
      </w:r>
      <w:r w:rsidR="00077743">
        <w:t>рис. 3</w:t>
      </w:r>
      <w:r w:rsidR="00220C70">
        <w:t>9</w:t>
      </w:r>
      <w:r w:rsidR="00790D01">
        <w:t>)</w:t>
      </w:r>
      <w:r w:rsidR="00077743">
        <w:t xml:space="preserve"> не </w:t>
      </w:r>
      <w:r w:rsidR="00790D01">
        <w:t>учитывается</w:t>
      </w:r>
      <w:r w:rsidR="00DA4283">
        <w:t xml:space="preserve"> запас</w:t>
      </w:r>
      <w:r w:rsidR="00F03571">
        <w:t xml:space="preserve"> по установленной</w:t>
      </w:r>
      <w:r w:rsidR="00077743">
        <w:t xml:space="preserve"> </w:t>
      </w:r>
      <w:r w:rsidR="00F03571">
        <w:t xml:space="preserve">мощности в ЕЭС России </w:t>
      </w:r>
      <w:r w:rsidR="00A90122">
        <w:t xml:space="preserve">в </w:t>
      </w:r>
      <w:r w:rsidR="00A90122">
        <w:rPr>
          <w:b/>
        </w:rPr>
        <w:t>4</w:t>
      </w:r>
      <w:r w:rsidR="00A90122" w:rsidRPr="00DF5864">
        <w:rPr>
          <w:b/>
        </w:rPr>
        <w:t xml:space="preserve"> ГВт</w:t>
      </w:r>
      <w:r w:rsidR="00A90122">
        <w:t xml:space="preserve"> к 2019 г. </w:t>
      </w:r>
      <w:r w:rsidR="00F20C7C">
        <w:t>за</w:t>
      </w:r>
      <w:r w:rsidR="00F03571">
        <w:t xml:space="preserve"> счет</w:t>
      </w:r>
      <w:r w:rsidR="00DA4283">
        <w:t xml:space="preserve"> </w:t>
      </w:r>
      <w:r w:rsidR="00650A12">
        <w:t xml:space="preserve">вероятного </w:t>
      </w:r>
      <w:r w:rsidR="00F03571">
        <w:t xml:space="preserve">уменьшения </w:t>
      </w:r>
      <w:r w:rsidR="00650A12">
        <w:t xml:space="preserve">объема </w:t>
      </w:r>
      <w:r w:rsidR="00F03571">
        <w:t>вывод</w:t>
      </w:r>
      <w:r w:rsidR="00650A12">
        <w:t>ов</w:t>
      </w:r>
      <w:r>
        <w:t xml:space="preserve"> </w:t>
      </w:r>
      <w:r w:rsidR="00F03571">
        <w:t xml:space="preserve">из эксплуатации энергоблоков АЭС на </w:t>
      </w:r>
      <w:r w:rsidR="00F03571" w:rsidRPr="00F03571">
        <w:rPr>
          <w:b/>
        </w:rPr>
        <w:t xml:space="preserve">4 ГВт </w:t>
      </w:r>
      <w:r>
        <w:rPr>
          <w:b/>
        </w:rPr>
        <w:t xml:space="preserve"> </w:t>
      </w:r>
      <w:r w:rsidRPr="00526D81">
        <w:t>к 2019 г.</w:t>
      </w:r>
      <w:r>
        <w:rPr>
          <w:b/>
        </w:rPr>
        <w:t xml:space="preserve"> </w:t>
      </w:r>
      <w:r w:rsidR="00F03571">
        <w:t>с 8,27 ГВт по прогнозам Минэнерго 2013 до 4,27  - реально, (см. раздел 5.1</w:t>
      </w:r>
      <w:r w:rsidR="00F20C7C">
        <w:t>)</w:t>
      </w:r>
      <w:r w:rsidR="004008BD">
        <w:t xml:space="preserve">. Тогда установленная мощность станет равной </w:t>
      </w:r>
      <w:r w:rsidR="004008BD">
        <w:br/>
      </w:r>
      <w:r w:rsidR="004008BD" w:rsidRPr="005D7550">
        <w:rPr>
          <w:b/>
        </w:rPr>
        <w:t>237,8 ГВт</w:t>
      </w:r>
      <w:r w:rsidR="004008BD">
        <w:t>=233,8ГВт+4 ГВт, т.е. вернется на уровень, принятый в Минэнерго 2013</w:t>
      </w:r>
      <w:r w:rsidR="00DA4283">
        <w:t>.</w:t>
      </w:r>
      <w:r w:rsidR="00943C88">
        <w:t xml:space="preserve"> </w:t>
      </w:r>
      <w:r w:rsidR="00DA4283">
        <w:t>Кроме того,</w:t>
      </w:r>
      <w:r w:rsidR="00F87ADF">
        <w:t xml:space="preserve"> полученный размер</w:t>
      </w:r>
      <w:r w:rsidR="00DA4283">
        <w:t xml:space="preserve"> установленной мощности </w:t>
      </w:r>
      <w:r w:rsidR="00DA4283" w:rsidRPr="00F87ADF">
        <w:rPr>
          <w:b/>
        </w:rPr>
        <w:t xml:space="preserve">224,8 </w:t>
      </w:r>
      <w:r w:rsidR="00F87ADF" w:rsidRPr="00F87ADF">
        <w:rPr>
          <w:b/>
        </w:rPr>
        <w:t>ГВт</w:t>
      </w:r>
      <w:r w:rsidR="00F87ADF">
        <w:t xml:space="preserve"> </w:t>
      </w:r>
      <w:r w:rsidR="00DA4283">
        <w:t xml:space="preserve">завышен на величину 2,3-2,6 ГВт из-за необоснованно </w:t>
      </w:r>
      <w:r w:rsidR="00943C88">
        <w:t>высокого</w:t>
      </w:r>
      <w:r w:rsidR="00F87ADF">
        <w:t xml:space="preserve"> </w:t>
      </w:r>
      <w:r w:rsidR="00943C88">
        <w:t>объем</w:t>
      </w:r>
      <w:r w:rsidR="00F87ADF">
        <w:t xml:space="preserve">а </w:t>
      </w:r>
      <w:r w:rsidR="00DF5864">
        <w:t>экспорта</w:t>
      </w:r>
      <w:r w:rsidR="00F87ADF">
        <w:t xml:space="preserve"> мощности</w:t>
      </w:r>
      <w:r w:rsidR="00DA4283">
        <w:t xml:space="preserve">, принятого в </w:t>
      </w:r>
      <w:r w:rsidR="00DF5864">
        <w:t>прогнозе Минэнерго 2013</w:t>
      </w:r>
      <w:r w:rsidR="00DA4283">
        <w:t>, см. раздел 4.</w:t>
      </w:r>
      <w:r w:rsidR="00943C88">
        <w:t xml:space="preserve">  В сумме это составляет</w:t>
      </w:r>
      <w:r w:rsidR="005F1EA7">
        <w:t xml:space="preserve"> </w:t>
      </w:r>
      <w:r w:rsidR="00943C88" w:rsidRPr="00943C88">
        <w:rPr>
          <w:b/>
        </w:rPr>
        <w:t>6,3-6,6 ГВт</w:t>
      </w:r>
      <w:r w:rsidR="00943C88">
        <w:t xml:space="preserve"> мощностей </w:t>
      </w:r>
      <w:r w:rsidR="005F1EA7" w:rsidRPr="005F1EA7">
        <w:rPr>
          <w:b/>
        </w:rPr>
        <w:t>в запас</w:t>
      </w:r>
      <w:r w:rsidR="005F1EA7">
        <w:t xml:space="preserve"> </w:t>
      </w:r>
      <w:r w:rsidR="00943C88">
        <w:t>к установленной мощности</w:t>
      </w:r>
      <w:r w:rsidR="004605B3">
        <w:t>, принятой в прогнозе СПЭ 2013 (октябрь).</w:t>
      </w:r>
    </w:p>
    <w:p w:rsidR="009478DB" w:rsidRPr="00A81F9F" w:rsidRDefault="001E4119" w:rsidP="00212929">
      <w:pPr>
        <w:pStyle w:val="2"/>
      </w:pPr>
      <w:r>
        <w:br w:type="page"/>
      </w:r>
      <w:bookmarkStart w:id="71" w:name="_Toc370759789"/>
      <w:bookmarkStart w:id="72" w:name="_Toc374557796"/>
      <w:r w:rsidR="009478DB" w:rsidRPr="00A81F9F">
        <w:t>По Разделу 6. Прогноз балансов мощности и электрич</w:t>
      </w:r>
      <w:r w:rsidR="00EE6DCD">
        <w:t>еской энергии ЕЭС России на 2013-2019</w:t>
      </w:r>
      <w:r w:rsidR="009478DB" w:rsidRPr="00A81F9F">
        <w:t xml:space="preserve"> гг.</w:t>
      </w:r>
      <w:bookmarkEnd w:id="71"/>
      <w:bookmarkEnd w:id="72"/>
    </w:p>
    <w:p w:rsidR="009478DB" w:rsidRPr="00A81F9F" w:rsidRDefault="009478DB" w:rsidP="00EE1A61">
      <w:pPr>
        <w:ind w:firstLine="709"/>
        <w:jc w:val="both"/>
      </w:pPr>
    </w:p>
    <w:p w:rsidR="006711A5" w:rsidRDefault="009478DB" w:rsidP="00A26E66">
      <w:pPr>
        <w:ind w:firstLine="709"/>
        <w:jc w:val="both"/>
      </w:pPr>
      <w:r w:rsidRPr="00A81F9F">
        <w:t xml:space="preserve">По окончательному прогнозу </w:t>
      </w:r>
      <w:r w:rsidR="00EE6DCD">
        <w:t>СПЭ 2013</w:t>
      </w:r>
      <w:r w:rsidRPr="00A81F9F">
        <w:t xml:space="preserve"> </w:t>
      </w:r>
      <w:r w:rsidR="00EE6DCD">
        <w:t>(октябрь)</w:t>
      </w:r>
      <w:r w:rsidRPr="00A81F9F">
        <w:t xml:space="preserve"> установленная мощность электростанций</w:t>
      </w:r>
      <w:r w:rsidR="00EE6DCD" w:rsidRPr="00EE6DCD">
        <w:t xml:space="preserve"> </w:t>
      </w:r>
      <w:r w:rsidR="00EE6DCD">
        <w:t>в</w:t>
      </w:r>
      <w:r w:rsidR="00EE6DCD" w:rsidRPr="00A81F9F">
        <w:t xml:space="preserve"> ЕЭС России</w:t>
      </w:r>
      <w:r w:rsidR="00EE6DCD">
        <w:t xml:space="preserve"> </w:t>
      </w:r>
      <w:r w:rsidR="00521BDD">
        <w:t>должна возрасти</w:t>
      </w:r>
      <w:r w:rsidRPr="00A81F9F">
        <w:t xml:space="preserve"> с фактической величины </w:t>
      </w:r>
      <w:r w:rsidR="00EE6DCD">
        <w:rPr>
          <w:rStyle w:val="af5"/>
          <w:rFonts w:eastAsia="Calibri"/>
          <w:sz w:val="30"/>
        </w:rPr>
        <w:t>223,1</w:t>
      </w:r>
      <w:r w:rsidRPr="00A81F9F">
        <w:rPr>
          <w:rStyle w:val="af5"/>
          <w:rFonts w:eastAsia="Calibri"/>
          <w:sz w:val="30"/>
        </w:rPr>
        <w:t xml:space="preserve"> ГВт</w:t>
      </w:r>
      <w:r w:rsidR="00521BDD">
        <w:rPr>
          <w:rStyle w:val="af5"/>
          <w:rFonts w:eastAsia="Calibri"/>
          <w:sz w:val="30"/>
        </w:rPr>
        <w:t xml:space="preserve"> </w:t>
      </w:r>
      <w:r w:rsidR="00EE6DCD">
        <w:t xml:space="preserve"> </w:t>
      </w:r>
      <w:r w:rsidR="00521BDD">
        <w:t>в 2012</w:t>
      </w:r>
      <w:r w:rsidR="00521BDD" w:rsidRPr="00A81F9F">
        <w:t xml:space="preserve"> г</w:t>
      </w:r>
      <w:r w:rsidR="00521BDD">
        <w:t xml:space="preserve">. до </w:t>
      </w:r>
      <w:r w:rsidR="00521BDD">
        <w:rPr>
          <w:rStyle w:val="af5"/>
          <w:rFonts w:eastAsia="Calibri"/>
          <w:sz w:val="30"/>
        </w:rPr>
        <w:t>224,8</w:t>
      </w:r>
      <w:r w:rsidR="00521BDD" w:rsidRPr="00A81F9F">
        <w:rPr>
          <w:rStyle w:val="af5"/>
          <w:rFonts w:eastAsia="Calibri"/>
          <w:sz w:val="30"/>
        </w:rPr>
        <w:t xml:space="preserve"> ГВт</w:t>
      </w:r>
      <w:r w:rsidR="00521BDD">
        <w:rPr>
          <w:rStyle w:val="af5"/>
          <w:rFonts w:eastAsia="Calibri"/>
          <w:sz w:val="30"/>
        </w:rPr>
        <w:t xml:space="preserve"> </w:t>
      </w:r>
      <w:r w:rsidR="00521BDD">
        <w:t xml:space="preserve"> в 2019 г., т.е. возрасти </w:t>
      </w:r>
      <w:r w:rsidR="00EE6DCD">
        <w:t xml:space="preserve"> всего </w:t>
      </w:r>
      <w:r w:rsidRPr="00A81F9F">
        <w:t xml:space="preserve">на </w:t>
      </w:r>
      <w:r w:rsidR="00EE6DCD">
        <w:rPr>
          <w:rStyle w:val="af5"/>
          <w:rFonts w:eastAsia="Calibri"/>
          <w:sz w:val="30"/>
        </w:rPr>
        <w:t>1,7</w:t>
      </w:r>
      <w:r w:rsidRPr="00A81F9F">
        <w:rPr>
          <w:rStyle w:val="af5"/>
          <w:rFonts w:eastAsia="Calibri"/>
          <w:sz w:val="30"/>
        </w:rPr>
        <w:t xml:space="preserve"> ГВт</w:t>
      </w:r>
      <w:r w:rsidR="00521BDD">
        <w:rPr>
          <w:rStyle w:val="af5"/>
          <w:rFonts w:eastAsia="Calibri"/>
          <w:sz w:val="30"/>
        </w:rPr>
        <w:t>.</w:t>
      </w:r>
      <w:r w:rsidRPr="00A81F9F">
        <w:t xml:space="preserve"> </w:t>
      </w:r>
      <w:r w:rsidR="00521BDD">
        <w:t xml:space="preserve">Однако, </w:t>
      </w:r>
      <w:r w:rsidR="005D7550">
        <w:t xml:space="preserve">наиболее вероятная величина установленной мощности будет равняться </w:t>
      </w:r>
      <w:r w:rsidR="005D7550" w:rsidRPr="005D7550">
        <w:rPr>
          <w:b/>
        </w:rPr>
        <w:t>237,8 ГВт</w:t>
      </w:r>
      <w:r w:rsidR="005D7550">
        <w:t>.</w:t>
      </w:r>
      <w:r w:rsidR="00521BDD">
        <w:t>, (Минэнерго 2013).</w:t>
      </w:r>
      <w:r w:rsidR="005D7550">
        <w:t xml:space="preserve"> </w:t>
      </w:r>
      <w:r w:rsidR="0021648F">
        <w:t>Разница в 13 ГВт между необходим</w:t>
      </w:r>
      <w:r w:rsidR="00CC11CF">
        <w:t>ым уровнем установленной мощности</w:t>
      </w:r>
      <w:r w:rsidR="0021648F">
        <w:t xml:space="preserve"> </w:t>
      </w:r>
      <w:r w:rsidR="00CC11CF">
        <w:t xml:space="preserve">в ЕЭС России </w:t>
      </w:r>
      <w:r w:rsidR="0021648F">
        <w:t>по СПЭ 2013</w:t>
      </w:r>
      <w:r w:rsidR="00CC11CF">
        <w:t xml:space="preserve"> (октябрь)</w:t>
      </w:r>
      <w:r w:rsidR="0021648F">
        <w:t xml:space="preserve"> и </w:t>
      </w:r>
      <w:r w:rsidR="00CC11CF">
        <w:t xml:space="preserve">дополнительно </w:t>
      </w:r>
      <w:r w:rsidR="0021648F">
        <w:t xml:space="preserve">построенными </w:t>
      </w:r>
      <w:r w:rsidR="00CC11CF">
        <w:t>в период 2013-2019 гг. в соответствие с</w:t>
      </w:r>
      <w:r w:rsidR="0021648F">
        <w:t xml:space="preserve"> Минэнерго 2013 </w:t>
      </w:r>
      <w:r w:rsidR="00D86A70">
        <w:t>увеличит</w:t>
      </w:r>
      <w:r w:rsidR="0021648F">
        <w:t xml:space="preserve"> нормативный </w:t>
      </w:r>
      <w:r w:rsidR="00D86A70">
        <w:t xml:space="preserve">резерв </w:t>
      </w:r>
      <w:r w:rsidR="0021648F">
        <w:t>генерирующих мощностей</w:t>
      </w:r>
      <w:r w:rsidR="00D86A70">
        <w:t xml:space="preserve"> с 20,5% до 28, 4% или</w:t>
      </w:r>
      <w:r w:rsidR="00F54BAE">
        <w:t xml:space="preserve"> </w:t>
      </w:r>
      <w:r w:rsidR="00D86A70">
        <w:t>на</w:t>
      </w:r>
      <w:r w:rsidR="00F54BAE">
        <w:t xml:space="preserve"> 7,9%  (13 ГВт/165 ГВт, см. раздел 4)</w:t>
      </w:r>
      <w:r w:rsidR="00D86A70">
        <w:t>.</w:t>
      </w:r>
      <w:r w:rsidR="0021648F">
        <w:t xml:space="preserve"> </w:t>
      </w:r>
    </w:p>
    <w:p w:rsidR="00E92584" w:rsidRDefault="00E92584" w:rsidP="00521BDD">
      <w:pPr>
        <w:ind w:firstLine="709"/>
        <w:jc w:val="both"/>
      </w:pPr>
      <w:r>
        <w:t>Структуры</w:t>
      </w:r>
      <w:r w:rsidR="009478DB" w:rsidRPr="00A81F9F">
        <w:t xml:space="preserve"> генерирующих мощностей ЕЭС России </w:t>
      </w:r>
      <w:r>
        <w:t>и по прогнозу Минэнерго 2013</w:t>
      </w:r>
      <w:r w:rsidR="009478DB" w:rsidRPr="00A81F9F">
        <w:t xml:space="preserve"> г. </w:t>
      </w:r>
      <w:r>
        <w:t>и по прогнозу СПЭ 2013 (октябрь) близки между собой</w:t>
      </w:r>
      <w:r w:rsidR="006711A5">
        <w:t>. К 2019 г.:</w:t>
      </w:r>
    </w:p>
    <w:p w:rsidR="006711A5" w:rsidRDefault="00E92584" w:rsidP="00521BDD">
      <w:pPr>
        <w:ind w:firstLine="709"/>
        <w:jc w:val="both"/>
      </w:pPr>
      <w:r>
        <w:t xml:space="preserve">- </w:t>
      </w:r>
      <w:r w:rsidR="009478DB" w:rsidRPr="00A81F9F">
        <w:t>доля АЭ</w:t>
      </w:r>
      <w:r>
        <w:t>С возрастет незначительно с 11,3% до 11,9%</w:t>
      </w:r>
      <w:r w:rsidR="009478DB" w:rsidRPr="00A81F9F">
        <w:t xml:space="preserve">., </w:t>
      </w:r>
    </w:p>
    <w:p w:rsidR="006711A5" w:rsidRDefault="006711A5" w:rsidP="00521BDD">
      <w:pPr>
        <w:ind w:firstLine="709"/>
        <w:jc w:val="both"/>
      </w:pPr>
      <w:r>
        <w:t xml:space="preserve">- </w:t>
      </w:r>
      <w:r w:rsidR="009478DB" w:rsidRPr="00A81F9F">
        <w:t xml:space="preserve">доля ГЭС и ГАЭС </w:t>
      </w:r>
      <w:r>
        <w:t>возрастет с 20,6% до 20,9</w:t>
      </w:r>
      <w:r w:rsidR="009478DB" w:rsidRPr="00A81F9F">
        <w:t xml:space="preserve">%, </w:t>
      </w:r>
    </w:p>
    <w:p w:rsidR="006711A5" w:rsidRPr="00A26E66" w:rsidRDefault="006711A5" w:rsidP="00A26E66">
      <w:pPr>
        <w:ind w:firstLine="709"/>
        <w:jc w:val="both"/>
        <w:rPr>
          <w:rFonts w:cs="Arial"/>
          <w:b/>
          <w:bCs/>
          <w:sz w:val="30"/>
          <w:szCs w:val="26"/>
        </w:rPr>
      </w:pPr>
      <w:r>
        <w:t>- доля ТЭС снизится с 68,1% до 67,2</w:t>
      </w:r>
      <w:r w:rsidR="009478DB" w:rsidRPr="00A81F9F">
        <w:t>%.</w:t>
      </w:r>
    </w:p>
    <w:p w:rsidR="00C5205C" w:rsidRDefault="009478DB" w:rsidP="00EE1A61">
      <w:pPr>
        <w:ind w:firstLine="709"/>
        <w:jc w:val="both"/>
      </w:pPr>
      <w:r w:rsidRPr="00A81F9F">
        <w:t xml:space="preserve">А в обеспечении баланса мощности может участвовать располагаемая мощность электростанции ЕЭС России в размере </w:t>
      </w:r>
      <w:r w:rsidR="00774151">
        <w:rPr>
          <w:rStyle w:val="af5"/>
          <w:rFonts w:eastAsia="Calibri"/>
          <w:sz w:val="30"/>
        </w:rPr>
        <w:t>203</w:t>
      </w:r>
      <w:r w:rsidRPr="00A81F9F">
        <w:rPr>
          <w:rStyle w:val="af5"/>
          <w:rFonts w:eastAsia="Calibri"/>
          <w:sz w:val="30"/>
        </w:rPr>
        <w:t xml:space="preserve"> ГВт</w:t>
      </w:r>
      <w:r w:rsidR="00774151">
        <w:rPr>
          <w:rStyle w:val="af5"/>
          <w:rFonts w:eastAsia="Calibri"/>
          <w:sz w:val="30"/>
        </w:rPr>
        <w:t xml:space="preserve"> </w:t>
      </w:r>
      <w:r w:rsidR="00220C70">
        <w:rPr>
          <w:bCs/>
        </w:rPr>
        <w:t>(см. рис.40</w:t>
      </w:r>
      <w:r w:rsidR="00774151">
        <w:rPr>
          <w:bCs/>
        </w:rPr>
        <w:t>).</w:t>
      </w:r>
      <w:r w:rsidRPr="00A81F9F">
        <w:t xml:space="preserve"> При этом сверхнормативный резерв мощности составляет существенную величину – </w:t>
      </w:r>
      <w:r w:rsidR="00774151">
        <w:rPr>
          <w:rStyle w:val="af5"/>
          <w:rFonts w:eastAsia="Calibri"/>
          <w:sz w:val="30"/>
        </w:rPr>
        <w:t xml:space="preserve">13 </w:t>
      </w:r>
      <w:r w:rsidRPr="00A81F9F">
        <w:rPr>
          <w:rStyle w:val="af5"/>
          <w:rFonts w:eastAsia="Calibri"/>
          <w:sz w:val="30"/>
        </w:rPr>
        <w:t>ГВт</w:t>
      </w:r>
      <w:r w:rsidRPr="00A81F9F">
        <w:t xml:space="preserve"> или </w:t>
      </w:r>
      <w:r w:rsidR="00774151">
        <w:rPr>
          <w:rStyle w:val="af5"/>
          <w:rFonts w:eastAsia="Calibri"/>
          <w:sz w:val="30"/>
        </w:rPr>
        <w:t>7,9</w:t>
      </w:r>
      <w:r w:rsidRPr="00A81F9F">
        <w:rPr>
          <w:rStyle w:val="af5"/>
          <w:rFonts w:eastAsia="Calibri"/>
          <w:sz w:val="30"/>
        </w:rPr>
        <w:t xml:space="preserve"> %</w:t>
      </w:r>
      <w:r w:rsidRPr="00A81F9F">
        <w:t xml:space="preserve"> от спроса на мощность.</w:t>
      </w:r>
    </w:p>
    <w:p w:rsidR="009478DB" w:rsidRDefault="009478DB" w:rsidP="00EE1A61">
      <w:pPr>
        <w:ind w:firstLine="709"/>
        <w:jc w:val="both"/>
        <w:rPr>
          <w:b/>
        </w:rPr>
      </w:pPr>
      <w:r w:rsidRPr="00A81F9F">
        <w:t xml:space="preserve"> </w:t>
      </w:r>
      <w:r w:rsidR="00C5205C">
        <w:t>Для определения располагаемой мощности в прогнозе СПЭ 2013 (октябрь) принимаются те же самые величины распределения мощностей, которые не участвуют в балансе мощностей на час прохождения максимума потребления по ЕЭС России и изменяются от  16,1 ГВт в 2013 г. до</w:t>
      </w:r>
      <w:r w:rsidR="0080693A">
        <w:t xml:space="preserve"> 23,4</w:t>
      </w:r>
      <w:r w:rsidR="00C5205C">
        <w:t xml:space="preserve"> ГВт в 2019 г.  Минэнерго 2013</w:t>
      </w:r>
      <w:r w:rsidRPr="00A81F9F">
        <w:t xml:space="preserve"> г.</w:t>
      </w:r>
      <w:r w:rsidR="009B1F70">
        <w:t xml:space="preserve"> располагаемая мощность равна 216 ГВт (см. рис. </w:t>
      </w:r>
      <w:r w:rsidR="00220C70">
        <w:t>40</w:t>
      </w:r>
      <w:r w:rsidR="009B1F70">
        <w:t xml:space="preserve">), а установленная – 237,8 ГВт, разница – </w:t>
      </w:r>
      <w:r w:rsidR="009B1F70" w:rsidRPr="009B1F70">
        <w:rPr>
          <w:b/>
        </w:rPr>
        <w:t>21,8 ГВт.</w:t>
      </w:r>
    </w:p>
    <w:p w:rsidR="0080693A" w:rsidRPr="00325BAA" w:rsidRDefault="0080693A" w:rsidP="00EE1A61">
      <w:pPr>
        <w:ind w:firstLine="709"/>
        <w:jc w:val="both"/>
      </w:pPr>
      <w:r w:rsidRPr="00325BAA">
        <w:t xml:space="preserve">Тогда, </w:t>
      </w:r>
      <w:r w:rsidR="00325BAA" w:rsidRPr="00325BAA">
        <w:t xml:space="preserve">по Минэнерго 2013, </w:t>
      </w:r>
      <w:r w:rsidRPr="00325BAA">
        <w:t>располагаемая мощность</w:t>
      </w:r>
      <w:r w:rsidR="00325BAA" w:rsidRPr="00325BAA">
        <w:t xml:space="preserve"> в 2013</w:t>
      </w:r>
      <w:r w:rsidRPr="00325BAA">
        <w:t xml:space="preserve"> – </w:t>
      </w:r>
      <w:r w:rsidR="005E296B" w:rsidRPr="00325BAA">
        <w:rPr>
          <w:b/>
        </w:rPr>
        <w:t>207,7 ГВт</w:t>
      </w:r>
      <w:r w:rsidR="005E296B" w:rsidRPr="00325BAA">
        <w:t xml:space="preserve">, а в 2019 г. – </w:t>
      </w:r>
      <w:r w:rsidR="005E296B" w:rsidRPr="00325BAA">
        <w:rPr>
          <w:b/>
        </w:rPr>
        <w:t>221,2 ГВт</w:t>
      </w:r>
      <w:r w:rsidR="00325BAA" w:rsidRPr="00325BAA">
        <w:t xml:space="preserve">, а по СПЭ 2013 – </w:t>
      </w:r>
      <w:r w:rsidR="00325BAA" w:rsidRPr="00325BAA">
        <w:rPr>
          <w:b/>
        </w:rPr>
        <w:t>207,7 ГВт</w:t>
      </w:r>
      <w:r w:rsidR="00325BAA" w:rsidRPr="00325BAA">
        <w:t xml:space="preserve"> и </w:t>
      </w:r>
      <w:r w:rsidR="00325BAA" w:rsidRPr="00325BAA">
        <w:rPr>
          <w:b/>
        </w:rPr>
        <w:t>216,7</w:t>
      </w:r>
      <w:r w:rsidR="00325BAA" w:rsidRPr="00325BAA">
        <w:t xml:space="preserve"> ГВт, соответственно.</w:t>
      </w:r>
    </w:p>
    <w:p w:rsidR="009478DB" w:rsidRPr="00A81F9F" w:rsidRDefault="009478DB" w:rsidP="00EE1A61">
      <w:pPr>
        <w:ind w:hanging="180"/>
        <w:jc w:val="both"/>
      </w:pPr>
    </w:p>
    <w:p w:rsidR="009478DB" w:rsidRPr="00A81F9F" w:rsidRDefault="007C1ADE" w:rsidP="00FE28EE">
      <w:pPr>
        <w:ind w:hanging="360"/>
        <w:jc w:val="center"/>
      </w:pPr>
      <w:r>
        <w:rPr>
          <w:noProof/>
        </w:rPr>
        <w:drawing>
          <wp:inline distT="0" distB="0" distL="0" distR="0">
            <wp:extent cx="6153150" cy="4114800"/>
            <wp:effectExtent l="0" t="0" r="0" b="0"/>
            <wp:docPr id="24" name="Диаграмма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FE28EE" w:rsidRDefault="00FE28EE" w:rsidP="006119E7">
      <w:pPr>
        <w:ind w:firstLine="709"/>
        <w:jc w:val="both"/>
      </w:pPr>
    </w:p>
    <w:p w:rsidR="009478DB" w:rsidRPr="00A81F9F" w:rsidRDefault="009478DB" w:rsidP="006119E7">
      <w:pPr>
        <w:ind w:firstLine="709"/>
        <w:jc w:val="both"/>
      </w:pPr>
      <w:r w:rsidRPr="00A81F9F">
        <w:t>Рис. 4</w:t>
      </w:r>
      <w:r w:rsidR="00E95947">
        <w:t>1</w:t>
      </w:r>
      <w:r w:rsidRPr="00A81F9F">
        <w:t>. Спрос на мощность, располагаемая и установленная мощности электростанций ЕЭС Р</w:t>
      </w:r>
      <w:r w:rsidR="00806BFA">
        <w:t>оссии по прогнозу Минэнерго 2012, 2013,</w:t>
      </w:r>
      <w:r w:rsidRPr="00A81F9F">
        <w:t xml:space="preserve"> г. и прогнозу </w:t>
      </w:r>
      <w:r w:rsidR="00806BFA">
        <w:t>СПЭ 2013 (октябрь)</w:t>
      </w:r>
    </w:p>
    <w:p w:rsidR="009478DB" w:rsidRPr="00A81F9F" w:rsidRDefault="009478DB" w:rsidP="00EE1A61">
      <w:pPr>
        <w:ind w:firstLine="709"/>
        <w:jc w:val="both"/>
      </w:pPr>
    </w:p>
    <w:p w:rsidR="009478DB" w:rsidRPr="00A81F9F" w:rsidRDefault="009478DB" w:rsidP="006119E7">
      <w:pPr>
        <w:ind w:firstLine="709"/>
        <w:jc w:val="both"/>
      </w:pPr>
      <w:r w:rsidRPr="00A81F9F">
        <w:t>Из рис. 4</w:t>
      </w:r>
      <w:r w:rsidR="00E95947">
        <w:t>1</w:t>
      </w:r>
      <w:r w:rsidRPr="00A81F9F">
        <w:t xml:space="preserve"> видно, что разница между спросом на мощно</w:t>
      </w:r>
      <w:r w:rsidR="00EA0722">
        <w:t>сть по прогнозам Минэнерго 2013</w:t>
      </w:r>
      <w:r w:rsidRPr="00A81F9F">
        <w:t xml:space="preserve"> </w:t>
      </w:r>
      <w:r w:rsidR="004C71FA">
        <w:t xml:space="preserve">и спросом на электрическую мощность </w:t>
      </w:r>
      <w:r w:rsidRPr="00A81F9F">
        <w:t>со</w:t>
      </w:r>
      <w:r w:rsidR="00EA0722">
        <w:t xml:space="preserve">ставляет </w:t>
      </w:r>
      <w:r w:rsidR="004C71FA">
        <w:t>13</w:t>
      </w:r>
      <w:r w:rsidRPr="00A81F9F">
        <w:t xml:space="preserve"> ГВт. Если считать, что стоимость 1 ГВт мощности </w:t>
      </w:r>
      <w:r w:rsidR="004C71FA">
        <w:t xml:space="preserve">в среднем составляет </w:t>
      </w:r>
      <w:r w:rsidRPr="00A81F9F">
        <w:t>минимум 2</w:t>
      </w:r>
      <w:r w:rsidR="004C71FA">
        <w:t>,5</w:t>
      </w:r>
      <w:r w:rsidRPr="00A81F9F">
        <w:t xml:space="preserve">$ млрд., это </w:t>
      </w:r>
      <w:r w:rsidR="004C71FA">
        <w:t>значит, что эта разница стоит 32,5</w:t>
      </w:r>
      <w:r w:rsidRPr="00A81F9F">
        <w:t xml:space="preserve"> $ млрд., плюс 60% от стоимости генерации </w:t>
      </w:r>
      <w:r w:rsidR="00783B8D">
        <w:t xml:space="preserve">затрат </w:t>
      </w:r>
      <w:r w:rsidRPr="00A81F9F">
        <w:t>на</w:t>
      </w:r>
      <w:r w:rsidR="00783B8D">
        <w:t xml:space="preserve"> строительство сетевых объектов</w:t>
      </w:r>
      <w:r w:rsidRPr="00A81F9F">
        <w:t xml:space="preserve"> </w:t>
      </w:r>
      <w:r w:rsidR="00783B8D">
        <w:t>для выдачи</w:t>
      </w:r>
      <w:r w:rsidRPr="00A81F9F">
        <w:t xml:space="preserve"> нагрузки </w:t>
      </w:r>
      <w:r w:rsidR="00783B8D">
        <w:t>потребителей с этих мощностей или 19,5</w:t>
      </w:r>
      <w:r w:rsidRPr="00A81F9F">
        <w:t>$ млрд. В сумме это составит огром</w:t>
      </w:r>
      <w:r w:rsidR="00783B8D">
        <w:t>ную величину, около 52</w:t>
      </w:r>
      <w:r w:rsidRPr="00A81F9F">
        <w:t xml:space="preserve">$ млрд. </w:t>
      </w:r>
      <w:r w:rsidR="00783B8D">
        <w:t>или 1,66 трлн. руб. в ценах 2013</w:t>
      </w:r>
      <w:r w:rsidRPr="00A81F9F">
        <w:t xml:space="preserve">г. </w:t>
      </w:r>
    </w:p>
    <w:p w:rsidR="009478DB" w:rsidRPr="00A81F9F" w:rsidRDefault="009478DB" w:rsidP="00EE1A61">
      <w:pPr>
        <w:ind w:firstLine="709"/>
        <w:jc w:val="both"/>
      </w:pPr>
      <w:r w:rsidRPr="00A81F9F">
        <w:t>Структуру производства электроэнергии и баланс электрической энергии по отдельным ОЭС России мо</w:t>
      </w:r>
      <w:r w:rsidR="00B76BBC">
        <w:t>жно легко пересчитать с учетом</w:t>
      </w:r>
      <w:r w:rsidRPr="00A81F9F">
        <w:t xml:space="preserve"> сокращения объема вводов АЭС и </w:t>
      </w:r>
      <w:r w:rsidR="00B76BBC">
        <w:t xml:space="preserve">необходимого сокращения объемов </w:t>
      </w:r>
      <w:r w:rsidRPr="00A81F9F">
        <w:t xml:space="preserve">ТЭС. </w:t>
      </w:r>
    </w:p>
    <w:p w:rsidR="009478DB" w:rsidRPr="00A81F9F" w:rsidRDefault="009478DB" w:rsidP="00EE1A61">
      <w:pPr>
        <w:ind w:firstLine="709"/>
        <w:jc w:val="both"/>
      </w:pPr>
    </w:p>
    <w:p w:rsidR="009478DB" w:rsidRPr="00A81F9F" w:rsidRDefault="009478DB" w:rsidP="00212929">
      <w:pPr>
        <w:pStyle w:val="2"/>
      </w:pPr>
      <w:r w:rsidRPr="00A81F9F">
        <w:br w:type="page"/>
      </w:r>
      <w:bookmarkStart w:id="73" w:name="_Toc370759790"/>
      <w:bookmarkStart w:id="74" w:name="_Toc374557797"/>
      <w:r w:rsidRPr="00A81F9F">
        <w:t>По Разделу 7. Прогноз спроса на топливо организации электроэнергетики ЕЭС России (без учета децентрализованных источников) на период 201</w:t>
      </w:r>
      <w:r w:rsidR="00BE12A5">
        <w:t>3</w:t>
      </w:r>
      <w:r w:rsidRPr="00A81F9F">
        <w:t>-201</w:t>
      </w:r>
      <w:r w:rsidR="00BE12A5">
        <w:t>9</w:t>
      </w:r>
      <w:r w:rsidRPr="00A81F9F">
        <w:t xml:space="preserve"> гг.</w:t>
      </w:r>
      <w:bookmarkEnd w:id="73"/>
      <w:bookmarkEnd w:id="74"/>
    </w:p>
    <w:p w:rsidR="009478DB" w:rsidRPr="00A81F9F" w:rsidRDefault="009478DB" w:rsidP="00EE1A61">
      <w:pPr>
        <w:ind w:firstLine="709"/>
        <w:jc w:val="both"/>
        <w:rPr>
          <w:b/>
          <w:bCs/>
          <w:i/>
          <w:iCs/>
          <w:sz w:val="28"/>
          <w:szCs w:val="28"/>
        </w:rPr>
      </w:pPr>
    </w:p>
    <w:p w:rsidR="009478DB" w:rsidRPr="00A81F9F" w:rsidRDefault="009478DB" w:rsidP="00EE1A61">
      <w:pPr>
        <w:ind w:firstLine="709"/>
        <w:jc w:val="both"/>
      </w:pPr>
      <w:r w:rsidRPr="00A81F9F">
        <w:t xml:space="preserve">Прогноз спроса на топливо необходимо пересчитать в соответствии с предложенным прогнозом </w:t>
      </w:r>
      <w:r w:rsidR="00BE12A5">
        <w:t xml:space="preserve">СПЭ </w:t>
      </w:r>
      <w:r w:rsidRPr="00A81F9F">
        <w:t>201</w:t>
      </w:r>
      <w:r w:rsidR="00BE12A5">
        <w:t>3</w:t>
      </w:r>
      <w:r w:rsidRPr="00A81F9F">
        <w:t xml:space="preserve"> г. по эл</w:t>
      </w:r>
      <w:r w:rsidR="00BE12A5">
        <w:t>ектропотреблению и снижению на 30</w:t>
      </w:r>
      <w:r w:rsidRPr="00A81F9F">
        <w:t xml:space="preserve">% вводов новых мощностей на ТЭС. </w:t>
      </w:r>
    </w:p>
    <w:p w:rsidR="009478DB" w:rsidRPr="00A81F9F" w:rsidRDefault="009478DB" w:rsidP="00EE1A61">
      <w:pPr>
        <w:ind w:firstLine="709"/>
        <w:jc w:val="both"/>
      </w:pPr>
      <w:r w:rsidRPr="00A81F9F">
        <w:t xml:space="preserve">По прогнозам Минэнерго </w:t>
      </w:r>
      <w:smartTag w:uri="urn:schemas-microsoft-com:office:smarttags" w:element="metricconverter">
        <w:smartTagPr>
          <w:attr w:name="ProductID" w:val="2012 г"/>
        </w:smartTagPr>
        <w:r w:rsidRPr="00A81F9F">
          <w:t>2012 г</w:t>
        </w:r>
      </w:smartTag>
      <w:r w:rsidRPr="00A81F9F">
        <w:t xml:space="preserve">. удельные расходы топлива на отпущенную электрическую энергию будут снижаться с 335,8 г/кВт*ч в 2010 году до 310,4 г/кВт*ч в 2018 году, всего на 7,6%. Что чрезвычайно мало. Это связано с тем, что Минэнерго </w:t>
      </w:r>
      <w:r w:rsidRPr="00A81F9F">
        <w:rPr>
          <w:rStyle w:val="af5"/>
          <w:rFonts w:eastAsia="Calibri"/>
          <w:sz w:val="30"/>
        </w:rPr>
        <w:t>не предложило</w:t>
      </w:r>
      <w:r w:rsidRPr="00A81F9F">
        <w:t xml:space="preserve"> программу реконструкции техперевооружения энергоблоков блоков ТЭС, в первую очередь серийных (150, 200 и 300 МВт суммарной мощностью около 30 ГВт). В России сегодня есть такой пример реконструкции, это блок №6 Киришской ГРЭС. В результате реконструкции энергоблок из 300 МВт превратился в блок 775 МВт, КПД увеличилось с 34,8% до 55,5%, а удельный расход топлива сократился с 353,1 г/кВт*ч до 221,5 г/кВт*ч. При этом стоимость реконструкции, в пересчете на 1 кВт новой установленной мощности, составил 950$.</w:t>
      </w:r>
    </w:p>
    <w:p w:rsidR="009478DB" w:rsidRPr="00A81F9F" w:rsidRDefault="009478DB" w:rsidP="00EE1A61">
      <w:pPr>
        <w:ind w:firstLine="709"/>
        <w:jc w:val="both"/>
      </w:pPr>
      <w:r w:rsidRPr="00A81F9F">
        <w:t xml:space="preserve">Этот пример указывать главный путь развития отечественной электроэнергетики – </w:t>
      </w:r>
      <w:r w:rsidRPr="00A81F9F">
        <w:rPr>
          <w:rStyle w:val="af5"/>
          <w:rFonts w:eastAsia="Calibri"/>
          <w:sz w:val="30"/>
        </w:rPr>
        <w:t xml:space="preserve">не строительство новых </w:t>
      </w:r>
      <w:r w:rsidRPr="00A81F9F">
        <w:t xml:space="preserve">энергоблоков, </w:t>
      </w:r>
      <w:r w:rsidRPr="00A81F9F">
        <w:rPr>
          <w:rStyle w:val="af5"/>
          <w:rFonts w:eastAsia="Calibri"/>
          <w:sz w:val="30"/>
        </w:rPr>
        <w:t>а реконструкция и тех перевооружение</w:t>
      </w:r>
      <w:r w:rsidRPr="00A81F9F">
        <w:t xml:space="preserve"> действующих газовых энергоблоков ТЭС.</w:t>
      </w:r>
    </w:p>
    <w:p w:rsidR="009478DB" w:rsidRPr="00A81F9F" w:rsidRDefault="009478DB" w:rsidP="00EE1A61">
      <w:pPr>
        <w:ind w:firstLine="709"/>
        <w:jc w:val="both"/>
      </w:pPr>
      <w:r w:rsidRPr="00A81F9F">
        <w:t>В прогнозе Минэнерго 201</w:t>
      </w:r>
      <w:r w:rsidR="00BE12A5">
        <w:t>2</w:t>
      </w:r>
      <w:r w:rsidRPr="00A81F9F">
        <w:t xml:space="preserve"> г. </w:t>
      </w:r>
      <w:r w:rsidR="00F80151">
        <w:t>в период 201</w:t>
      </w:r>
      <w:r w:rsidR="00BC3B06">
        <w:t>2</w:t>
      </w:r>
      <w:r w:rsidR="00F80151">
        <w:t>-201</w:t>
      </w:r>
      <w:r w:rsidR="00BC3B06">
        <w:t>8</w:t>
      </w:r>
      <w:r w:rsidRPr="00A81F9F">
        <w:t xml:space="preserve"> гг. расход газа увеличивается с 212811 тыс. тут до 225152 тыс. тут, или на 5,8%. Простейшие оценки показывают, что за счет реализации  масштабной программы реконструкции и техперевооружения газовых ТЭС можно снизить потребление газа минимум на 10% за этот период времени. </w:t>
      </w:r>
    </w:p>
    <w:p w:rsidR="009478DB" w:rsidRPr="00A81F9F" w:rsidRDefault="009478DB" w:rsidP="00EE1A61">
      <w:pPr>
        <w:ind w:firstLine="709"/>
        <w:jc w:val="both"/>
      </w:pPr>
    </w:p>
    <w:p w:rsidR="009478DB" w:rsidRPr="00A81F9F" w:rsidRDefault="009478DB" w:rsidP="00212929">
      <w:pPr>
        <w:pStyle w:val="2"/>
      </w:pPr>
      <w:r w:rsidRPr="00A81F9F">
        <w:br w:type="page"/>
      </w:r>
      <w:bookmarkStart w:id="75" w:name="_Toc370759791"/>
      <w:bookmarkStart w:id="76" w:name="_Toc374557798"/>
      <w:r w:rsidRPr="00A81F9F">
        <w:t>По Разделу 8. Развитие магистральных и распределительных сетей с учетом требований по обеспечению регулирования (компенсации) реактивной электрической мощности за 201</w:t>
      </w:r>
      <w:r w:rsidR="00D41413">
        <w:t>3</w:t>
      </w:r>
      <w:r w:rsidRPr="00A81F9F">
        <w:t>-201</w:t>
      </w:r>
      <w:r w:rsidR="00D41413">
        <w:t>9</w:t>
      </w:r>
      <w:r w:rsidRPr="00A81F9F">
        <w:t xml:space="preserve"> гг.</w:t>
      </w:r>
      <w:bookmarkEnd w:id="75"/>
      <w:bookmarkEnd w:id="76"/>
    </w:p>
    <w:p w:rsidR="004B0235" w:rsidRDefault="004B0235" w:rsidP="004B0235">
      <w:pPr>
        <w:ind w:firstLine="709"/>
        <w:jc w:val="both"/>
      </w:pPr>
      <w:r>
        <w:t xml:space="preserve">Для обоснования прогнозов вводов электросетевых объектом ЕНЭС напряжением 220 кВ и выше по СПЭ 2013 проанализируем </w:t>
      </w:r>
      <w:r w:rsidR="00612C97">
        <w:t>прогнозы этих вводов</w:t>
      </w:r>
      <w:r>
        <w:t xml:space="preserve"> по Минэнерго 2011, 2012, 2013</w:t>
      </w:r>
      <w:r w:rsidR="00612C97">
        <w:t xml:space="preserve">. </w:t>
      </w:r>
    </w:p>
    <w:p w:rsidR="009478DB" w:rsidRPr="00A92FDE" w:rsidRDefault="009478DB" w:rsidP="00EE1A61">
      <w:pPr>
        <w:ind w:firstLine="709"/>
        <w:jc w:val="both"/>
      </w:pPr>
      <w:r w:rsidRPr="00A81F9F">
        <w:t xml:space="preserve">В пояснительной записке по Схеме и </w:t>
      </w:r>
      <w:r w:rsidR="000C175B">
        <w:t>П</w:t>
      </w:r>
      <w:r w:rsidRPr="00A81F9F">
        <w:t xml:space="preserve">рограмме развития энергосистемы ЕЭС России </w:t>
      </w:r>
      <w:r w:rsidR="000C175B">
        <w:t xml:space="preserve">как </w:t>
      </w:r>
      <w:r w:rsidRPr="00A81F9F">
        <w:t xml:space="preserve">на 2012-2018 гг. (Минэнерго </w:t>
      </w:r>
      <w:smartTag w:uri="urn:schemas-microsoft-com:office:smarttags" w:element="metricconverter">
        <w:smartTagPr>
          <w:attr w:name="ProductID" w:val="2012 г"/>
        </w:smartTagPr>
        <w:r w:rsidRPr="00A81F9F">
          <w:t>2012 г</w:t>
        </w:r>
      </w:smartTag>
      <w:r w:rsidRPr="00A81F9F">
        <w:t>.)</w:t>
      </w:r>
      <w:r w:rsidR="000C175B">
        <w:t>, так и на 2013-2019 гг. (Минэнерго 2013 г.)</w:t>
      </w:r>
      <w:r w:rsidRPr="00A81F9F">
        <w:t xml:space="preserve"> </w:t>
      </w:r>
      <w:r w:rsidRPr="000C175B">
        <w:rPr>
          <w:rStyle w:val="af5"/>
          <w:rFonts w:eastAsia="Calibri"/>
          <w:b w:val="0"/>
          <w:sz w:val="24"/>
          <w:szCs w:val="24"/>
        </w:rPr>
        <w:t>отсутствуют</w:t>
      </w:r>
      <w:r w:rsidRPr="00A81F9F">
        <w:t xml:space="preserve"> данные за </w:t>
      </w:r>
      <w:smartTag w:uri="urn:schemas-microsoft-com:office:smarttags" w:element="metricconverter">
        <w:smartTagPr>
          <w:attr w:name="ProductID" w:val="2011 г"/>
        </w:smartTagPr>
        <w:r w:rsidRPr="00A81F9F">
          <w:t>2011 г</w:t>
        </w:r>
      </w:smartTag>
      <w:r w:rsidRPr="00A81F9F">
        <w:t>.</w:t>
      </w:r>
      <w:r w:rsidR="000C175B">
        <w:t xml:space="preserve"> и 2012 г.</w:t>
      </w:r>
      <w:r w:rsidRPr="00A81F9F">
        <w:t xml:space="preserve"> по фактическим вводам элетросетевых объектов напряжением </w:t>
      </w:r>
      <w:r w:rsidRPr="00A92FDE">
        <w:t>220 кВ и выше (в отличие от</w:t>
      </w:r>
      <w:r w:rsidR="000C175B" w:rsidRPr="00A92FDE">
        <w:t xml:space="preserve"> данных по</w:t>
      </w:r>
      <w:r w:rsidRPr="00A92FDE">
        <w:t xml:space="preserve"> ввод</w:t>
      </w:r>
      <w:r w:rsidR="000C175B" w:rsidRPr="00A92FDE">
        <w:t>ам</w:t>
      </w:r>
      <w:r w:rsidRPr="00A92FDE">
        <w:t xml:space="preserve"> генерирующих мощностей).</w:t>
      </w:r>
    </w:p>
    <w:p w:rsidR="009478DB" w:rsidRPr="00A92FDE" w:rsidRDefault="009478DB" w:rsidP="00EE1A61">
      <w:pPr>
        <w:ind w:firstLine="709"/>
        <w:jc w:val="both"/>
      </w:pPr>
      <w:r w:rsidRPr="00A92FDE">
        <w:t xml:space="preserve">По Минэнерго </w:t>
      </w:r>
      <w:smartTag w:uri="urn:schemas-microsoft-com:office:smarttags" w:element="metricconverter">
        <w:smartTagPr>
          <w:attr w:name="ProductID" w:val="2011 г"/>
        </w:smartTagPr>
        <w:r w:rsidRPr="00A92FDE">
          <w:t>2011 г</w:t>
        </w:r>
      </w:smartTag>
      <w:r w:rsidRPr="00A92FDE">
        <w:t xml:space="preserve">. в период 2011-2017гг. </w:t>
      </w:r>
      <w:r w:rsidR="00D03D2F" w:rsidRPr="00A92FDE">
        <w:t xml:space="preserve">в ЕЭС России </w:t>
      </w:r>
      <w:r w:rsidRPr="00A92FDE">
        <w:t xml:space="preserve">намечался ввод высоковольтных линий (ВЛ), напряжением 220 кВ и выше, протяженностью </w:t>
      </w:r>
      <w:r w:rsidRPr="00A92FDE">
        <w:rPr>
          <w:rStyle w:val="af5"/>
          <w:rFonts w:eastAsia="Calibri"/>
          <w:sz w:val="24"/>
          <w:szCs w:val="24"/>
        </w:rPr>
        <w:t>45,1 тыс. км</w:t>
      </w:r>
      <w:r w:rsidRPr="00A92FDE">
        <w:t xml:space="preserve"> и трансформаторной мощностью </w:t>
      </w:r>
      <w:r w:rsidRPr="00A92FDE">
        <w:rPr>
          <w:rStyle w:val="af5"/>
          <w:rFonts w:eastAsia="Calibri"/>
          <w:sz w:val="24"/>
          <w:szCs w:val="24"/>
        </w:rPr>
        <w:t>152,8</w:t>
      </w:r>
      <w:r w:rsidR="00D03D2F" w:rsidRPr="00A92FDE">
        <w:rPr>
          <w:rStyle w:val="af5"/>
          <w:rFonts w:eastAsia="Calibri"/>
          <w:sz w:val="24"/>
          <w:szCs w:val="24"/>
        </w:rPr>
        <w:t xml:space="preserve"> тыс.</w:t>
      </w:r>
      <w:r w:rsidRPr="00A92FDE">
        <w:rPr>
          <w:rStyle w:val="af5"/>
          <w:rFonts w:eastAsia="Calibri"/>
          <w:sz w:val="24"/>
          <w:szCs w:val="24"/>
        </w:rPr>
        <w:t xml:space="preserve"> МВА</w:t>
      </w:r>
      <w:r w:rsidRPr="00A92FDE">
        <w:t xml:space="preserve"> </w:t>
      </w:r>
      <w:r w:rsidR="00A92FDE" w:rsidRPr="00A92FDE">
        <w:t xml:space="preserve">(или в среднем в год </w:t>
      </w:r>
      <w:r w:rsidR="00A92FDE" w:rsidRPr="00EB648A">
        <w:rPr>
          <w:b/>
          <w:u w:val="single"/>
        </w:rPr>
        <w:t>6,4 тыс. км</w:t>
      </w:r>
      <w:r w:rsidR="00A92FDE" w:rsidRPr="00A92FDE">
        <w:t xml:space="preserve"> и трансформаторная мощность – </w:t>
      </w:r>
      <w:r w:rsidR="00A92FDE" w:rsidRPr="00EB648A">
        <w:rPr>
          <w:b/>
          <w:u w:val="single"/>
        </w:rPr>
        <w:t>21,8 тыс. МВА</w:t>
      </w:r>
      <w:r w:rsidR="00A92FDE" w:rsidRPr="00A92FDE">
        <w:t>). П</w:t>
      </w:r>
      <w:r w:rsidRPr="00A92FDE">
        <w:t xml:space="preserve">ри этом был запланирован прирост этих мощностей в размере </w:t>
      </w:r>
      <w:r w:rsidRPr="00A92FDE">
        <w:rPr>
          <w:rStyle w:val="af5"/>
          <w:rFonts w:eastAsia="Calibri"/>
          <w:sz w:val="24"/>
          <w:szCs w:val="24"/>
        </w:rPr>
        <w:t>125,3</w:t>
      </w:r>
      <w:r w:rsidR="00D03D2F" w:rsidRPr="00A92FDE">
        <w:rPr>
          <w:rStyle w:val="af5"/>
          <w:rFonts w:eastAsia="Calibri"/>
          <w:sz w:val="24"/>
          <w:szCs w:val="24"/>
        </w:rPr>
        <w:t xml:space="preserve"> тыс.</w:t>
      </w:r>
      <w:r w:rsidRPr="00A92FDE">
        <w:rPr>
          <w:rStyle w:val="af5"/>
          <w:rFonts w:eastAsia="Calibri"/>
          <w:sz w:val="24"/>
          <w:szCs w:val="24"/>
        </w:rPr>
        <w:t xml:space="preserve"> МВА</w:t>
      </w:r>
      <w:r w:rsidRPr="00A92FDE">
        <w:t>. Таким образом, в этот период времени должно было</w:t>
      </w:r>
      <w:r w:rsidR="001C0550" w:rsidRPr="00A92FDE">
        <w:t xml:space="preserve"> быть</w:t>
      </w:r>
      <w:r w:rsidRPr="00A92FDE">
        <w:t xml:space="preserve"> выведено из эксплуатации </w:t>
      </w:r>
      <w:r w:rsidRPr="00A92FDE">
        <w:rPr>
          <w:rStyle w:val="af5"/>
          <w:rFonts w:eastAsia="Calibri"/>
          <w:sz w:val="24"/>
          <w:szCs w:val="24"/>
        </w:rPr>
        <w:t>27,5</w:t>
      </w:r>
      <w:r w:rsidR="00D03D2F" w:rsidRPr="00A92FDE">
        <w:rPr>
          <w:rStyle w:val="af5"/>
          <w:rFonts w:eastAsia="Calibri"/>
          <w:sz w:val="24"/>
          <w:szCs w:val="24"/>
        </w:rPr>
        <w:t xml:space="preserve"> тыс.</w:t>
      </w:r>
      <w:r w:rsidRPr="00A92FDE">
        <w:rPr>
          <w:rStyle w:val="af5"/>
          <w:rFonts w:eastAsia="Calibri"/>
          <w:sz w:val="24"/>
          <w:szCs w:val="24"/>
        </w:rPr>
        <w:t xml:space="preserve"> МВА</w:t>
      </w:r>
      <w:r w:rsidRPr="00A92FDE">
        <w:t xml:space="preserve">, в среднем – по </w:t>
      </w:r>
      <w:r w:rsidRPr="00A92FDE">
        <w:rPr>
          <w:rStyle w:val="af5"/>
          <w:rFonts w:eastAsia="Calibri"/>
          <w:sz w:val="24"/>
          <w:szCs w:val="24"/>
        </w:rPr>
        <w:t>3,93</w:t>
      </w:r>
      <w:r w:rsidR="00EB648A">
        <w:rPr>
          <w:rStyle w:val="af5"/>
          <w:rFonts w:eastAsia="Calibri"/>
          <w:sz w:val="24"/>
          <w:szCs w:val="24"/>
        </w:rPr>
        <w:t xml:space="preserve"> тыс.</w:t>
      </w:r>
      <w:r w:rsidRPr="00A92FDE">
        <w:rPr>
          <w:rStyle w:val="af5"/>
          <w:rFonts w:eastAsia="Calibri"/>
          <w:sz w:val="24"/>
          <w:szCs w:val="24"/>
        </w:rPr>
        <w:t xml:space="preserve"> МВА</w:t>
      </w:r>
      <w:r w:rsidRPr="00A92FDE">
        <w:t xml:space="preserve"> в год.  </w:t>
      </w:r>
    </w:p>
    <w:p w:rsidR="00075759" w:rsidRPr="00A92FDE" w:rsidRDefault="009478DB" w:rsidP="00EE1A61">
      <w:pPr>
        <w:ind w:firstLine="709"/>
        <w:jc w:val="both"/>
      </w:pPr>
      <w:r w:rsidRPr="00A92FDE">
        <w:t xml:space="preserve">В прогнозе Минэнерго </w:t>
      </w:r>
      <w:smartTag w:uri="urn:schemas-microsoft-com:office:smarttags" w:element="metricconverter">
        <w:smartTagPr>
          <w:attr w:name="ProductID" w:val="2012 г"/>
        </w:smartTagPr>
        <w:r w:rsidRPr="00A92FDE">
          <w:t>2012 г</w:t>
        </w:r>
      </w:smartTag>
      <w:r w:rsidRPr="00A92FDE">
        <w:t xml:space="preserve">. </w:t>
      </w:r>
      <w:r w:rsidR="00D03D2F" w:rsidRPr="00A92FDE">
        <w:t xml:space="preserve">в ЕЭС России </w:t>
      </w:r>
      <w:r w:rsidR="00F80151" w:rsidRPr="00A92FDE">
        <w:t>в период 201</w:t>
      </w:r>
      <w:r w:rsidR="00075759" w:rsidRPr="00A92FDE">
        <w:t>2</w:t>
      </w:r>
      <w:r w:rsidR="00F80151" w:rsidRPr="00A92FDE">
        <w:t>-201</w:t>
      </w:r>
      <w:r w:rsidR="00075759" w:rsidRPr="00A92FDE">
        <w:t>8</w:t>
      </w:r>
      <w:r w:rsidRPr="00A92FDE">
        <w:t xml:space="preserve"> гг. </w:t>
      </w:r>
      <w:r w:rsidR="00075759" w:rsidRPr="00A92FDE">
        <w:t xml:space="preserve">планировался </w:t>
      </w:r>
      <w:r w:rsidRPr="00A92FDE">
        <w:t>ввод ВЛ</w:t>
      </w:r>
      <w:r w:rsidR="00075759" w:rsidRPr="00A92FDE">
        <w:t>, напряжением 220 кВ и выше,</w:t>
      </w:r>
      <w:r w:rsidRPr="00A92FDE">
        <w:t xml:space="preserve"> протяженность</w:t>
      </w:r>
      <w:r w:rsidR="00075759" w:rsidRPr="00A92FDE">
        <w:t>ю</w:t>
      </w:r>
      <w:r w:rsidRPr="00A92FDE">
        <w:t xml:space="preserve"> </w:t>
      </w:r>
      <w:r w:rsidRPr="00A92FDE">
        <w:rPr>
          <w:rStyle w:val="af5"/>
          <w:rFonts w:eastAsia="Calibri"/>
          <w:sz w:val="24"/>
          <w:szCs w:val="24"/>
        </w:rPr>
        <w:t>44 тыс. км</w:t>
      </w:r>
      <w:r w:rsidRPr="00A92FDE">
        <w:t>. и трансформаторн</w:t>
      </w:r>
      <w:r w:rsidR="00075759" w:rsidRPr="00A92FDE">
        <w:t>ой</w:t>
      </w:r>
      <w:r w:rsidRPr="00A92FDE">
        <w:t xml:space="preserve"> мощност</w:t>
      </w:r>
      <w:r w:rsidR="00075759" w:rsidRPr="00A92FDE">
        <w:t>и</w:t>
      </w:r>
      <w:r w:rsidRPr="00A92FDE">
        <w:t xml:space="preserve"> – </w:t>
      </w:r>
      <w:r w:rsidRPr="00A92FDE">
        <w:rPr>
          <w:rStyle w:val="af5"/>
          <w:rFonts w:eastAsia="Calibri"/>
          <w:sz w:val="24"/>
          <w:szCs w:val="24"/>
        </w:rPr>
        <w:t>168,2</w:t>
      </w:r>
      <w:r w:rsidR="00D03D2F" w:rsidRPr="00A92FDE">
        <w:rPr>
          <w:rStyle w:val="af5"/>
          <w:rFonts w:eastAsia="Calibri"/>
          <w:sz w:val="24"/>
          <w:szCs w:val="24"/>
        </w:rPr>
        <w:t xml:space="preserve"> тыс.</w:t>
      </w:r>
      <w:r w:rsidRPr="00A92FDE">
        <w:rPr>
          <w:rStyle w:val="af5"/>
          <w:rFonts w:eastAsia="Calibri"/>
          <w:sz w:val="24"/>
          <w:szCs w:val="24"/>
        </w:rPr>
        <w:t xml:space="preserve"> МВА</w:t>
      </w:r>
      <w:r w:rsidR="00EB648A">
        <w:t xml:space="preserve"> (или </w:t>
      </w:r>
      <w:r w:rsidR="00EB648A" w:rsidRPr="00A92FDE">
        <w:t xml:space="preserve">в среднем в год </w:t>
      </w:r>
      <w:r w:rsidR="00EB648A" w:rsidRPr="00EB648A">
        <w:rPr>
          <w:b/>
          <w:u w:val="single"/>
        </w:rPr>
        <w:t>6,</w:t>
      </w:r>
      <w:r w:rsidR="00EB648A">
        <w:rPr>
          <w:b/>
          <w:u w:val="single"/>
        </w:rPr>
        <w:t>3</w:t>
      </w:r>
      <w:r w:rsidR="00EB648A" w:rsidRPr="00EB648A">
        <w:rPr>
          <w:b/>
          <w:u w:val="single"/>
        </w:rPr>
        <w:t xml:space="preserve"> тыс. км</w:t>
      </w:r>
      <w:r w:rsidR="00EB648A" w:rsidRPr="00A92FDE">
        <w:t xml:space="preserve"> и трансформаторн</w:t>
      </w:r>
      <w:r w:rsidR="00EB648A">
        <w:t>ой</w:t>
      </w:r>
      <w:r w:rsidR="00EB648A" w:rsidRPr="00A92FDE">
        <w:t xml:space="preserve"> мощнос</w:t>
      </w:r>
      <w:r w:rsidR="00EB648A">
        <w:t>ти</w:t>
      </w:r>
      <w:r w:rsidR="00EB648A" w:rsidRPr="00A92FDE">
        <w:t xml:space="preserve"> – </w:t>
      </w:r>
      <w:r w:rsidR="00EB648A">
        <w:rPr>
          <w:b/>
          <w:u w:val="single"/>
        </w:rPr>
        <w:t>24</w:t>
      </w:r>
      <w:r w:rsidR="00EB648A" w:rsidRPr="00EB648A">
        <w:rPr>
          <w:b/>
          <w:u w:val="single"/>
        </w:rPr>
        <w:t xml:space="preserve"> тыс. МВА</w:t>
      </w:r>
      <w:r w:rsidR="00EB648A" w:rsidRPr="00EB648A">
        <w:t>)</w:t>
      </w:r>
      <w:r w:rsidRPr="00A92FDE">
        <w:t xml:space="preserve"> при этом </w:t>
      </w:r>
      <w:r w:rsidRPr="00A92FDE">
        <w:rPr>
          <w:rStyle w:val="af5"/>
          <w:rFonts w:eastAsia="Calibri"/>
          <w:sz w:val="24"/>
          <w:szCs w:val="24"/>
        </w:rPr>
        <w:t>не указан</w:t>
      </w:r>
      <w:r w:rsidRPr="00A92FDE">
        <w:t xml:space="preserve"> какой прирост мощности запланирован на этот период. </w:t>
      </w:r>
    </w:p>
    <w:p w:rsidR="009478DB" w:rsidRDefault="00075759" w:rsidP="00EE1A61">
      <w:pPr>
        <w:ind w:firstLine="709"/>
        <w:jc w:val="both"/>
      </w:pPr>
      <w:r w:rsidRPr="00A92FDE">
        <w:t xml:space="preserve">В прогнозе Минэнерго 2013 г. </w:t>
      </w:r>
      <w:r w:rsidR="00D03D2F" w:rsidRPr="00A92FDE">
        <w:t xml:space="preserve">в ЕЭС России </w:t>
      </w:r>
      <w:r w:rsidRPr="00A92FDE">
        <w:t xml:space="preserve">в период 2013-2019 гг. планируется ввод ВЛ, напряжением 220 кВ и выше, </w:t>
      </w:r>
      <w:r w:rsidR="00D03D2F" w:rsidRPr="00A92FDE">
        <w:rPr>
          <w:b/>
        </w:rPr>
        <w:t>40,6 тыс. км</w:t>
      </w:r>
      <w:r w:rsidR="00D03D2F" w:rsidRPr="00A92FDE">
        <w:t xml:space="preserve"> и трансформаторн</w:t>
      </w:r>
      <w:r w:rsidR="001C0550" w:rsidRPr="00A92FDE">
        <w:t>ой</w:t>
      </w:r>
      <w:r w:rsidR="00D03D2F" w:rsidRPr="00A92FDE">
        <w:t xml:space="preserve"> мощност</w:t>
      </w:r>
      <w:r w:rsidR="001C0550" w:rsidRPr="00A92FDE">
        <w:t>ью</w:t>
      </w:r>
      <w:r w:rsidR="00D03D2F" w:rsidRPr="00A92FDE">
        <w:t xml:space="preserve"> – </w:t>
      </w:r>
      <w:r w:rsidR="00D03D2F" w:rsidRPr="00A92FDE">
        <w:rPr>
          <w:b/>
        </w:rPr>
        <w:t>137,7 тыс. МВА</w:t>
      </w:r>
      <w:r w:rsidR="00EB648A">
        <w:t xml:space="preserve"> (или </w:t>
      </w:r>
      <w:r w:rsidR="00EB648A" w:rsidRPr="00A92FDE">
        <w:t xml:space="preserve">в среднем в год </w:t>
      </w:r>
      <w:r w:rsidR="00EB648A">
        <w:rPr>
          <w:b/>
          <w:u w:val="single"/>
        </w:rPr>
        <w:t>5,8</w:t>
      </w:r>
      <w:r w:rsidR="00EB648A" w:rsidRPr="00EB648A">
        <w:rPr>
          <w:b/>
          <w:u w:val="single"/>
        </w:rPr>
        <w:t xml:space="preserve"> тыс. км</w:t>
      </w:r>
      <w:r w:rsidR="00EB648A" w:rsidRPr="00A92FDE">
        <w:t xml:space="preserve"> и трансформаторн</w:t>
      </w:r>
      <w:r w:rsidR="00EB648A">
        <w:t>ой</w:t>
      </w:r>
      <w:r w:rsidR="00EB648A" w:rsidRPr="00A92FDE">
        <w:t xml:space="preserve"> мощнос</w:t>
      </w:r>
      <w:r w:rsidR="00EB648A">
        <w:t>ти</w:t>
      </w:r>
      <w:r w:rsidR="00EB648A" w:rsidRPr="00A92FDE">
        <w:t xml:space="preserve"> – </w:t>
      </w:r>
      <w:r w:rsidR="00EB648A">
        <w:rPr>
          <w:b/>
          <w:u w:val="single"/>
        </w:rPr>
        <w:t>19,7</w:t>
      </w:r>
      <w:r w:rsidR="00EB648A" w:rsidRPr="00EB648A">
        <w:rPr>
          <w:b/>
          <w:u w:val="single"/>
        </w:rPr>
        <w:t xml:space="preserve"> тыс. МВА</w:t>
      </w:r>
      <w:r w:rsidR="00EB648A" w:rsidRPr="00EB648A">
        <w:t>)</w:t>
      </w:r>
      <w:r w:rsidR="00EB648A">
        <w:t>.</w:t>
      </w:r>
    </w:p>
    <w:p w:rsidR="00A63BC1" w:rsidRPr="00A92FDE" w:rsidRDefault="00A63BC1" w:rsidP="00EE1A61">
      <w:pPr>
        <w:ind w:firstLine="709"/>
        <w:jc w:val="both"/>
      </w:pPr>
      <w:r>
        <w:t xml:space="preserve">Таким образом, среднегодовые вводы ВЛ, напряжением 220 кВ и выше, в Минэнерго в 2011 г., 2012 г., 2013 г. планировались </w:t>
      </w:r>
      <w:r w:rsidR="0090326B">
        <w:t>по протяженности линий электропередач</w:t>
      </w:r>
      <w:r w:rsidR="0090326B" w:rsidRPr="0090326B">
        <w:t xml:space="preserve"> </w:t>
      </w:r>
      <w:r w:rsidR="0090326B">
        <w:t xml:space="preserve">соответственно 6,4, 6,3 и 5,8 тыс. км, а по трансформаторной мощности 21,8, 24 и 19,7 тыс. МВА. </w:t>
      </w:r>
    </w:p>
    <w:p w:rsidR="001B7B5E" w:rsidRPr="001B7B5E" w:rsidRDefault="001B7B5E" w:rsidP="001B7B5E">
      <w:pPr>
        <w:ind w:firstLine="709"/>
        <w:jc w:val="both"/>
      </w:pPr>
      <w:r w:rsidRPr="00A92FDE">
        <w:t xml:space="preserve">На основании анализа первичных данных по вводу </w:t>
      </w:r>
      <w:r w:rsidR="00BB5F70">
        <w:t>в 2011 г.</w:t>
      </w:r>
      <w:r w:rsidR="00BB5F70" w:rsidRPr="00A92FDE">
        <w:t xml:space="preserve"> </w:t>
      </w:r>
      <w:r w:rsidRPr="00A92FDE">
        <w:t>электросетевых объектов ЕНЭС</w:t>
      </w:r>
      <w:r>
        <w:t xml:space="preserve"> </w:t>
      </w:r>
      <w:r w:rsidRPr="00A92FDE">
        <w:t xml:space="preserve">напряжением 220 кВ и выше было получено, что в </w:t>
      </w:r>
      <w:r w:rsidR="00BB5F70">
        <w:t>этом</w:t>
      </w:r>
      <w:r w:rsidRPr="00A92FDE">
        <w:t xml:space="preserve"> году были введены в эксплуатацию высоковольтные линии (ВЛ) протяженностью </w:t>
      </w:r>
      <w:r w:rsidRPr="00A92FDE">
        <w:rPr>
          <w:rStyle w:val="af5"/>
          <w:rFonts w:eastAsia="Calibri"/>
          <w:sz w:val="24"/>
          <w:szCs w:val="24"/>
        </w:rPr>
        <w:t>2,5 тыс. км</w:t>
      </w:r>
      <w:r w:rsidRPr="00A92FDE">
        <w:t xml:space="preserve"> и трансформаторные </w:t>
      </w:r>
      <w:r w:rsidRPr="001B7B5E">
        <w:t xml:space="preserve">мощности </w:t>
      </w:r>
      <w:r w:rsidRPr="001B7B5E">
        <w:rPr>
          <w:rStyle w:val="af5"/>
          <w:rFonts w:eastAsia="Calibri"/>
          <w:sz w:val="24"/>
          <w:szCs w:val="24"/>
        </w:rPr>
        <w:t>16</w:t>
      </w:r>
      <w:r w:rsidR="00BB5F70">
        <w:rPr>
          <w:rStyle w:val="af5"/>
          <w:rFonts w:eastAsia="Calibri"/>
          <w:sz w:val="24"/>
          <w:szCs w:val="24"/>
        </w:rPr>
        <w:t>,</w:t>
      </w:r>
      <w:r w:rsidRPr="001B7B5E">
        <w:rPr>
          <w:rStyle w:val="af5"/>
          <w:rFonts w:eastAsia="Calibri"/>
          <w:sz w:val="24"/>
          <w:szCs w:val="24"/>
        </w:rPr>
        <w:t>2</w:t>
      </w:r>
      <w:r w:rsidR="00BB5F70">
        <w:rPr>
          <w:rStyle w:val="af5"/>
          <w:rFonts w:eastAsia="Calibri"/>
          <w:sz w:val="24"/>
          <w:szCs w:val="24"/>
        </w:rPr>
        <w:t xml:space="preserve"> тыс.</w:t>
      </w:r>
      <w:r w:rsidRPr="001B7B5E">
        <w:rPr>
          <w:rStyle w:val="af5"/>
          <w:rFonts w:eastAsia="Calibri"/>
          <w:sz w:val="24"/>
          <w:szCs w:val="24"/>
        </w:rPr>
        <w:t xml:space="preserve"> МВА</w:t>
      </w:r>
      <w:r w:rsidRPr="001B7B5E">
        <w:t xml:space="preserve">, из которых объекты нового строительства и объекты для выдачи мощности электростанций составили </w:t>
      </w:r>
      <w:r w:rsidR="00BB5F70">
        <w:rPr>
          <w:rStyle w:val="af5"/>
          <w:rFonts w:eastAsia="Calibri"/>
          <w:sz w:val="24"/>
          <w:szCs w:val="24"/>
        </w:rPr>
        <w:t>1</w:t>
      </w:r>
      <w:r w:rsidRPr="001B7B5E">
        <w:rPr>
          <w:rStyle w:val="af5"/>
          <w:rFonts w:eastAsia="Calibri"/>
          <w:sz w:val="24"/>
          <w:szCs w:val="24"/>
        </w:rPr>
        <w:t>0</w:t>
      </w:r>
      <w:r w:rsidR="00BB5F70">
        <w:rPr>
          <w:rStyle w:val="af5"/>
          <w:rFonts w:eastAsia="Calibri"/>
          <w:sz w:val="24"/>
          <w:szCs w:val="24"/>
        </w:rPr>
        <w:t xml:space="preserve"> тыс.</w:t>
      </w:r>
      <w:r w:rsidRPr="001B7B5E">
        <w:rPr>
          <w:rStyle w:val="af5"/>
          <w:rFonts w:eastAsia="Calibri"/>
          <w:sz w:val="24"/>
          <w:szCs w:val="24"/>
        </w:rPr>
        <w:t xml:space="preserve"> МВА (61,5%)</w:t>
      </w:r>
      <w:r w:rsidRPr="001B7B5E">
        <w:t xml:space="preserve">, а объекты реновации – </w:t>
      </w:r>
      <w:r w:rsidRPr="001B7B5E">
        <w:rPr>
          <w:rStyle w:val="af5"/>
          <w:rFonts w:eastAsia="Calibri"/>
          <w:sz w:val="24"/>
          <w:szCs w:val="24"/>
        </w:rPr>
        <w:t>6</w:t>
      </w:r>
      <w:r w:rsidR="00BB5F70">
        <w:rPr>
          <w:rStyle w:val="af5"/>
          <w:rFonts w:eastAsia="Calibri"/>
          <w:sz w:val="24"/>
          <w:szCs w:val="24"/>
        </w:rPr>
        <w:t>,</w:t>
      </w:r>
      <w:r w:rsidRPr="001B7B5E">
        <w:rPr>
          <w:rStyle w:val="af5"/>
          <w:rFonts w:eastAsia="Calibri"/>
          <w:sz w:val="24"/>
          <w:szCs w:val="24"/>
        </w:rPr>
        <w:t>24</w:t>
      </w:r>
      <w:r w:rsidR="00BB5F70">
        <w:rPr>
          <w:rStyle w:val="af5"/>
          <w:rFonts w:eastAsia="Calibri"/>
          <w:sz w:val="24"/>
          <w:szCs w:val="24"/>
        </w:rPr>
        <w:t xml:space="preserve"> тыс.</w:t>
      </w:r>
      <w:r w:rsidRPr="001B7B5E">
        <w:rPr>
          <w:rStyle w:val="af5"/>
          <w:rFonts w:eastAsia="Calibri"/>
          <w:sz w:val="24"/>
          <w:szCs w:val="24"/>
        </w:rPr>
        <w:t xml:space="preserve"> МВА (38,5%)</w:t>
      </w:r>
      <w:r w:rsidRPr="001B7B5E">
        <w:t>.</w:t>
      </w:r>
      <w:r w:rsidR="00BB5F70">
        <w:t xml:space="preserve"> </w:t>
      </w:r>
    </w:p>
    <w:p w:rsidR="001B7B5E" w:rsidRPr="001B7B5E" w:rsidRDefault="001B7B5E" w:rsidP="001B7B5E">
      <w:pPr>
        <w:ind w:firstLine="709"/>
        <w:jc w:val="both"/>
      </w:pPr>
      <w:r w:rsidRPr="001B7B5E">
        <w:t xml:space="preserve">На официальном сайте ФСК ЕЭС, в разделе «ФСК: цифры и факты» даны несколько другие значения. А именно: в одном месте, протяженность поставленных под напряжение линий электропередачи ОАО «ФСК ЕЭС» в 2011 году равнялась </w:t>
      </w:r>
      <w:r w:rsidRPr="001B7B5E">
        <w:rPr>
          <w:rStyle w:val="af5"/>
          <w:rFonts w:eastAsia="Calibri"/>
          <w:sz w:val="24"/>
          <w:szCs w:val="24"/>
        </w:rPr>
        <w:t>2,94 тыс. км</w:t>
      </w:r>
      <w:r w:rsidRPr="001B7B5E">
        <w:t xml:space="preserve">. В другом месте общая протяженность поставленных под напряжение линий электропередачи ОАО «ФСК ЕЭС» в 2011 году уже составляла </w:t>
      </w:r>
      <w:r w:rsidRPr="00A63BC1">
        <w:rPr>
          <w:rStyle w:val="af5"/>
          <w:rFonts w:eastAsia="Calibri"/>
          <w:sz w:val="24"/>
          <w:szCs w:val="24"/>
          <w:u w:val="single"/>
        </w:rPr>
        <w:t>3,05 тыс. км</w:t>
      </w:r>
      <w:r w:rsidR="00157F62">
        <w:t>.</w:t>
      </w:r>
      <w:r w:rsidRPr="001B7B5E">
        <w:t xml:space="preserve"> Там же приводится объем трансформаторной мощности, поставленной ФСК ЕЭС под напряжение в 2011 году, который равнялся </w:t>
      </w:r>
      <w:r w:rsidRPr="00A63BC1">
        <w:rPr>
          <w:rStyle w:val="af5"/>
          <w:rFonts w:eastAsia="Calibri"/>
          <w:sz w:val="24"/>
          <w:szCs w:val="24"/>
          <w:u w:val="single"/>
        </w:rPr>
        <w:t>18</w:t>
      </w:r>
      <w:r w:rsidR="00BB5F70" w:rsidRPr="00A63BC1">
        <w:rPr>
          <w:rStyle w:val="af5"/>
          <w:rFonts w:eastAsia="Calibri"/>
          <w:sz w:val="24"/>
          <w:szCs w:val="24"/>
          <w:u w:val="single"/>
        </w:rPr>
        <w:t>,</w:t>
      </w:r>
      <w:r w:rsidRPr="00A63BC1">
        <w:rPr>
          <w:rStyle w:val="af5"/>
          <w:rFonts w:eastAsia="Calibri"/>
          <w:sz w:val="24"/>
          <w:szCs w:val="24"/>
          <w:u w:val="single"/>
        </w:rPr>
        <w:t>1</w:t>
      </w:r>
      <w:r w:rsidR="00BB5F70" w:rsidRPr="00A63BC1">
        <w:rPr>
          <w:rStyle w:val="af5"/>
          <w:rFonts w:eastAsia="Calibri"/>
          <w:sz w:val="24"/>
          <w:szCs w:val="24"/>
          <w:u w:val="single"/>
        </w:rPr>
        <w:t xml:space="preserve"> тыс.</w:t>
      </w:r>
      <w:r w:rsidRPr="00A63BC1">
        <w:rPr>
          <w:rStyle w:val="af5"/>
          <w:rFonts w:eastAsia="Calibri"/>
          <w:sz w:val="24"/>
          <w:szCs w:val="24"/>
          <w:u w:val="single"/>
        </w:rPr>
        <w:t xml:space="preserve"> МВА</w:t>
      </w:r>
      <w:r w:rsidRPr="001B7B5E">
        <w:t xml:space="preserve">. </w:t>
      </w:r>
    </w:p>
    <w:p w:rsidR="001C0550" w:rsidRDefault="001B7B5E" w:rsidP="001B7B5E">
      <w:pPr>
        <w:ind w:firstLine="709"/>
        <w:jc w:val="both"/>
      </w:pPr>
      <w:r w:rsidRPr="001B7B5E">
        <w:t xml:space="preserve">Из материалов годового отчета ФСК ЕЭС за 2012 следует, что в том году было введено в эксплуатацию </w:t>
      </w:r>
      <w:r w:rsidRPr="00A63BC1">
        <w:rPr>
          <w:b/>
          <w:u w:val="single"/>
        </w:rPr>
        <w:t>3,64 тыс. км</w:t>
      </w:r>
      <w:r w:rsidRPr="001B7B5E">
        <w:t xml:space="preserve"> воздушных линий электропередач и </w:t>
      </w:r>
      <w:r w:rsidRPr="00A63BC1">
        <w:rPr>
          <w:b/>
          <w:u w:val="single"/>
        </w:rPr>
        <w:t>17</w:t>
      </w:r>
      <w:r w:rsidR="00BB5F70" w:rsidRPr="00A63BC1">
        <w:rPr>
          <w:b/>
          <w:u w:val="single"/>
        </w:rPr>
        <w:t>,</w:t>
      </w:r>
      <w:r w:rsidRPr="00A63BC1">
        <w:rPr>
          <w:b/>
          <w:u w:val="single"/>
        </w:rPr>
        <w:t>8</w:t>
      </w:r>
      <w:r w:rsidR="00BB5F70" w:rsidRPr="00A63BC1">
        <w:rPr>
          <w:b/>
          <w:u w:val="single"/>
        </w:rPr>
        <w:t xml:space="preserve"> тыс.</w:t>
      </w:r>
      <w:r w:rsidRPr="00A63BC1">
        <w:rPr>
          <w:b/>
          <w:u w:val="single"/>
        </w:rPr>
        <w:t xml:space="preserve"> МВА</w:t>
      </w:r>
      <w:r w:rsidRPr="001B7B5E">
        <w:t xml:space="preserve"> трансформаторных мощностей.</w:t>
      </w:r>
    </w:p>
    <w:p w:rsidR="009478DB" w:rsidRPr="00A92FDE" w:rsidRDefault="00244129" w:rsidP="006119E7">
      <w:pPr>
        <w:ind w:firstLine="709"/>
        <w:jc w:val="both"/>
      </w:pPr>
      <w:r>
        <w:t>На рис.</w:t>
      </w:r>
      <w:r w:rsidR="009478DB" w:rsidRPr="00A92FDE">
        <w:t xml:space="preserve"> 4</w:t>
      </w:r>
      <w:r>
        <w:t>2</w:t>
      </w:r>
      <w:r w:rsidR="009478DB" w:rsidRPr="00A92FDE">
        <w:t xml:space="preserve"> дано сравнение ежегодных вводов протяженност</w:t>
      </w:r>
      <w:r w:rsidR="00735B72">
        <w:t>ей</w:t>
      </w:r>
      <w:r w:rsidR="009478DB" w:rsidRPr="00A92FDE">
        <w:t xml:space="preserve"> </w:t>
      </w:r>
      <w:r w:rsidR="002666F0">
        <w:t>ВЛ</w:t>
      </w:r>
      <w:r w:rsidR="005E562D">
        <w:t xml:space="preserve">, напряжением 220 кВ и выше, </w:t>
      </w:r>
      <w:r w:rsidR="009478DB" w:rsidRPr="00A92FDE">
        <w:t xml:space="preserve">по прогнозам Минэнерго </w:t>
      </w:r>
      <w:smartTag w:uri="urn:schemas-microsoft-com:office:smarttags" w:element="metricconverter">
        <w:smartTagPr>
          <w:attr w:name="ProductID" w:val="2011 г"/>
        </w:smartTagPr>
        <w:r w:rsidR="009478DB" w:rsidRPr="00A92FDE">
          <w:t>2011 г</w:t>
        </w:r>
      </w:smartTag>
      <w:r w:rsidR="009478DB" w:rsidRPr="00A92FDE">
        <w:t xml:space="preserve">., </w:t>
      </w:r>
      <w:smartTag w:uri="urn:schemas-microsoft-com:office:smarttags" w:element="metricconverter">
        <w:smartTagPr>
          <w:attr w:name="ProductID" w:val="2012 г"/>
        </w:smartTagPr>
        <w:r w:rsidR="009478DB" w:rsidRPr="00A92FDE">
          <w:t>2012 г</w:t>
        </w:r>
      </w:smartTag>
      <w:r w:rsidR="009478DB" w:rsidRPr="00A92FDE">
        <w:t>.</w:t>
      </w:r>
      <w:r w:rsidR="005E562D">
        <w:t>, 2013 г.</w:t>
      </w:r>
      <w:r w:rsidR="009478DB" w:rsidRPr="00A92FDE">
        <w:t xml:space="preserve"> и </w:t>
      </w:r>
      <w:r w:rsidR="005E562D">
        <w:t>СПЭ</w:t>
      </w:r>
      <w:r w:rsidR="009478DB" w:rsidRPr="00A92FDE">
        <w:t xml:space="preserve"> 201</w:t>
      </w:r>
      <w:r w:rsidR="005E562D">
        <w:t>3</w:t>
      </w:r>
      <w:r w:rsidR="009478DB" w:rsidRPr="00A92FDE">
        <w:t xml:space="preserve"> г. Там </w:t>
      </w:r>
      <w:r w:rsidR="005E562D">
        <w:t>же показаны фактические значения</w:t>
      </w:r>
      <w:r w:rsidR="009478DB" w:rsidRPr="00A92FDE">
        <w:t xml:space="preserve"> </w:t>
      </w:r>
      <w:r w:rsidR="00735B72">
        <w:t xml:space="preserve">протяженностей, </w:t>
      </w:r>
      <w:r w:rsidR="009478DB" w:rsidRPr="00A92FDE">
        <w:t>вв</w:t>
      </w:r>
      <w:r w:rsidR="00735B72">
        <w:t>еденных</w:t>
      </w:r>
      <w:r w:rsidR="009478DB" w:rsidRPr="00A92FDE">
        <w:t xml:space="preserve"> в </w:t>
      </w:r>
      <w:smartTag w:uri="urn:schemas-microsoft-com:office:smarttags" w:element="metricconverter">
        <w:smartTagPr>
          <w:attr w:name="ProductID" w:val="2011 г"/>
        </w:smartTagPr>
        <w:r w:rsidR="009478DB" w:rsidRPr="00A92FDE">
          <w:t>2011 г</w:t>
        </w:r>
      </w:smartTag>
      <w:r w:rsidR="009478DB" w:rsidRPr="00A92FDE">
        <w:t>.</w:t>
      </w:r>
      <w:r w:rsidR="00735B72">
        <w:t xml:space="preserve"> и 2012 г.</w:t>
      </w:r>
    </w:p>
    <w:p w:rsidR="00612C97" w:rsidRPr="00A81F9F" w:rsidRDefault="00612C97" w:rsidP="00612C97">
      <w:pPr>
        <w:ind w:firstLine="709"/>
        <w:jc w:val="both"/>
      </w:pPr>
      <w:r>
        <w:t xml:space="preserve"> </w:t>
      </w:r>
    </w:p>
    <w:p w:rsidR="00612C97" w:rsidRPr="00A81F9F" w:rsidRDefault="007C1ADE" w:rsidP="006D1F38">
      <w:pPr>
        <w:jc w:val="both"/>
      </w:pPr>
      <w:r>
        <w:rPr>
          <w:noProof/>
        </w:rPr>
        <w:drawing>
          <wp:inline distT="0" distB="0" distL="0" distR="0">
            <wp:extent cx="6089068" cy="3516083"/>
            <wp:effectExtent l="12060" t="6031" r="4397" b="2136"/>
            <wp:docPr id="22"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478DB" w:rsidRPr="00A81F9F" w:rsidRDefault="009478DB" w:rsidP="00EE1A61">
      <w:pPr>
        <w:ind w:firstLine="709"/>
        <w:jc w:val="both"/>
      </w:pPr>
    </w:p>
    <w:p w:rsidR="009478DB" w:rsidRPr="00A81F9F" w:rsidRDefault="009478DB" w:rsidP="006119E7">
      <w:pPr>
        <w:ind w:firstLine="709"/>
        <w:jc w:val="both"/>
      </w:pPr>
      <w:r w:rsidRPr="00A81F9F">
        <w:t>Рис. 4</w:t>
      </w:r>
      <w:r w:rsidR="00244129">
        <w:t>2</w:t>
      </w:r>
      <w:r w:rsidRPr="00A81F9F">
        <w:t xml:space="preserve">. Сравнение вводов протяженности </w:t>
      </w:r>
      <w:r w:rsidR="006D1F38">
        <w:t>ВЛ, напряжением 220 кВ и выше, по прогнозам Минэнерго 2011г.,</w:t>
      </w:r>
      <w:r w:rsidRPr="00A81F9F">
        <w:t xml:space="preserve"> 2012г.</w:t>
      </w:r>
      <w:r w:rsidR="006D1F38">
        <w:t>, 2013 г.</w:t>
      </w:r>
      <w:r w:rsidRPr="00A81F9F">
        <w:t xml:space="preserve"> и прогнозу </w:t>
      </w:r>
      <w:r w:rsidR="006D1F38">
        <w:t xml:space="preserve">СПЭ 2013 </w:t>
      </w:r>
      <w:r w:rsidRPr="00A81F9F">
        <w:t>г.</w:t>
      </w:r>
    </w:p>
    <w:p w:rsidR="009478DB" w:rsidRDefault="009478DB" w:rsidP="00605598">
      <w:pPr>
        <w:ind w:hanging="180"/>
        <w:jc w:val="both"/>
      </w:pPr>
    </w:p>
    <w:p w:rsidR="006D1F38" w:rsidRDefault="006D1F38" w:rsidP="00605598">
      <w:pPr>
        <w:ind w:hanging="180"/>
        <w:jc w:val="both"/>
      </w:pPr>
      <w:r>
        <w:tab/>
      </w:r>
      <w:r>
        <w:tab/>
        <w:t>Видно, что ввод протяженности ВЛ</w:t>
      </w:r>
      <w:r w:rsidR="00C76C5A">
        <w:t>, напряжением 220 кВ и выше,</w:t>
      </w:r>
      <w:r>
        <w:t xml:space="preserve"> по годам в соответствии с прогнозом Минэнерго</w:t>
      </w:r>
      <w:r w:rsidR="00C76C5A">
        <w:t xml:space="preserve"> 2011г., 2012 г. и 2013 г. не согласованы между собой. Например, ввод протяженности ВЛ, напряжением 220 кВ и выше, в 2013 году по прогнозу Минэнерго 2011 г., 2012 г. и 2013 г. </w:t>
      </w:r>
      <w:r w:rsidR="00042F25">
        <w:t xml:space="preserve">равны соответственно 8,5, 3,9, 5,7 тыс. км. </w:t>
      </w:r>
      <w:r w:rsidR="009147B2">
        <w:t xml:space="preserve">Аналогичная картина в 2015 и 2016 гг. (см. </w:t>
      </w:r>
      <w:r w:rsidR="005441BB">
        <w:t>Рис.</w:t>
      </w:r>
      <w:r w:rsidR="009147B2">
        <w:t xml:space="preserve"> 4</w:t>
      </w:r>
      <w:r w:rsidR="00797BC8">
        <w:t>1</w:t>
      </w:r>
      <w:r w:rsidR="009147B2">
        <w:t xml:space="preserve">). </w:t>
      </w:r>
      <w:r w:rsidR="00042F25">
        <w:t xml:space="preserve">Это значит, что </w:t>
      </w:r>
      <w:r w:rsidR="003414B7">
        <w:t>прогнозы Минэнерго 2011 г., 2012 г., 2013 г.</w:t>
      </w:r>
      <w:r w:rsidR="00042F25">
        <w:t xml:space="preserve"> </w:t>
      </w:r>
      <w:r w:rsidR="003414B7">
        <w:t xml:space="preserve">каждый год меняются кардинально и </w:t>
      </w:r>
      <w:r w:rsidR="009147B2">
        <w:t xml:space="preserve">между ними </w:t>
      </w:r>
      <w:r w:rsidR="003414B7">
        <w:t xml:space="preserve">отсутствует </w:t>
      </w:r>
      <w:r w:rsidR="009147B2">
        <w:t>всякая</w:t>
      </w:r>
      <w:r w:rsidR="003414B7">
        <w:t xml:space="preserve"> преемственность.</w:t>
      </w:r>
    </w:p>
    <w:p w:rsidR="00A26E66" w:rsidRDefault="009147B2" w:rsidP="00A26E66">
      <w:pPr>
        <w:jc w:val="both"/>
      </w:pPr>
      <w:r>
        <w:tab/>
      </w:r>
      <w:r w:rsidR="004D0EF2">
        <w:t>Теперь рассмотрим, как фактически реализуются эти прогнозы.</w:t>
      </w:r>
      <w:r>
        <w:t xml:space="preserve"> </w:t>
      </w:r>
      <w:r w:rsidR="004D0EF2">
        <w:t>В</w:t>
      </w:r>
      <w:r>
        <w:t>вод протяженностей ВЛ в 2011 г. и 2012 г.</w:t>
      </w:r>
      <w:r w:rsidR="0007770F">
        <w:t xml:space="preserve"> разительно</w:t>
      </w:r>
      <w:r>
        <w:t xml:space="preserve"> </w:t>
      </w:r>
      <w:r w:rsidR="0007770F">
        <w:t xml:space="preserve">отличается от прогнозных Минэнерго 2011 г. и 2012 г. Например, в 2011 году по прогнозу Минэнерго 2011 г. был запланирован ввод ВЛ протяженностью 4,4 тыс. км, а введено в эксплуатацию максимум 3,05 тыс. км, </w:t>
      </w:r>
      <w:r w:rsidR="008E49C9">
        <w:t xml:space="preserve">т.е. </w:t>
      </w:r>
      <w:r w:rsidR="0007770F">
        <w:t xml:space="preserve">на 31% меньше. В 2012 году </w:t>
      </w:r>
      <w:r w:rsidR="008E49C9">
        <w:t xml:space="preserve">по прогнозу Минэнерго 2011 г. и 2012 г. был запланирован ввод ВЛ протяженностью соответственно 7,7 и 6,7 тыс. км, а фактический ввод составил 4,5 тыс. км (из которых 3,6 тыс. км – ФСК и 0,9 тыс. км – МРСК), соответственно меньше на 42% и </w:t>
      </w:r>
      <w:r w:rsidR="00A52B12">
        <w:t xml:space="preserve">33%. Вот пример соответствия </w:t>
      </w:r>
      <w:r w:rsidR="00A52B12" w:rsidRPr="00A52B12">
        <w:rPr>
          <w:b/>
        </w:rPr>
        <w:t>прогнозов Минэнерго</w:t>
      </w:r>
      <w:r w:rsidR="00A52B12">
        <w:t xml:space="preserve"> и их </w:t>
      </w:r>
      <w:r w:rsidR="00A52B12" w:rsidRPr="00A52B12">
        <w:rPr>
          <w:b/>
        </w:rPr>
        <w:t>практической реализацией</w:t>
      </w:r>
      <w:r w:rsidR="00A52B12">
        <w:t xml:space="preserve"> (всегда завышены на 30% и больше).</w:t>
      </w:r>
      <w:r w:rsidR="00643C0F">
        <w:t xml:space="preserve"> Следует обратить внимание, что по последнему прогнозу Минэнерго 2013 г. в период 2013-2019 гг. предусмотрен ввод ВЛ, напряжением 220 кВ и выше, со среднегодовой протяженностью </w:t>
      </w:r>
      <w:r w:rsidR="00643C0F" w:rsidRPr="00643C0F">
        <w:rPr>
          <w:b/>
        </w:rPr>
        <w:t>5,8 тыс. км</w:t>
      </w:r>
      <w:r w:rsidR="00643C0F">
        <w:t>. А</w:t>
      </w:r>
      <w:r w:rsidR="007640EC">
        <w:t xml:space="preserve"> результат</w:t>
      </w:r>
      <w:r w:rsidR="004A1626">
        <w:t xml:space="preserve"> на 2012 год</w:t>
      </w:r>
      <w:r w:rsidR="00643C0F">
        <w:t xml:space="preserve"> </w:t>
      </w:r>
      <w:r w:rsidR="004A1626">
        <w:t>всего</w:t>
      </w:r>
      <w:r w:rsidR="00A26E66">
        <w:t xml:space="preserve"> 4,5тыс.</w:t>
      </w:r>
      <w:r w:rsidR="00643C0F">
        <w:t>км.</w:t>
      </w:r>
    </w:p>
    <w:p w:rsidR="00E24FF3" w:rsidRPr="00A92FDE" w:rsidRDefault="00244129" w:rsidP="00A26E66">
      <w:pPr>
        <w:ind w:firstLine="851"/>
        <w:jc w:val="both"/>
      </w:pPr>
      <w:r>
        <w:t>На рис.</w:t>
      </w:r>
      <w:r w:rsidR="00E24FF3" w:rsidRPr="00A92FDE">
        <w:t xml:space="preserve"> 4</w:t>
      </w:r>
      <w:r>
        <w:t>3</w:t>
      </w:r>
      <w:r w:rsidR="00E24FF3" w:rsidRPr="00A92FDE">
        <w:t xml:space="preserve"> дано сравнение ежегодных вводов </w:t>
      </w:r>
      <w:r w:rsidR="00E24FF3">
        <w:t xml:space="preserve">трансформаторных мощностей </w:t>
      </w:r>
      <w:r w:rsidR="00E24FF3" w:rsidRPr="00A92FDE">
        <w:t xml:space="preserve">по прогнозам Минэнерго </w:t>
      </w:r>
      <w:smartTag w:uri="urn:schemas-microsoft-com:office:smarttags" w:element="metricconverter">
        <w:smartTagPr>
          <w:attr w:name="ProductID" w:val="2011 г"/>
        </w:smartTagPr>
        <w:r w:rsidR="00E24FF3" w:rsidRPr="00A92FDE">
          <w:t>2011 г</w:t>
        </w:r>
      </w:smartTag>
      <w:r w:rsidR="00E24FF3" w:rsidRPr="00A92FDE">
        <w:t xml:space="preserve">., </w:t>
      </w:r>
      <w:smartTag w:uri="urn:schemas-microsoft-com:office:smarttags" w:element="metricconverter">
        <w:smartTagPr>
          <w:attr w:name="ProductID" w:val="2012 г"/>
        </w:smartTagPr>
        <w:r w:rsidR="00E24FF3" w:rsidRPr="00A92FDE">
          <w:t>2012 г</w:t>
        </w:r>
      </w:smartTag>
      <w:r w:rsidR="00E24FF3" w:rsidRPr="00A92FDE">
        <w:t>.</w:t>
      </w:r>
      <w:r w:rsidR="00E24FF3">
        <w:t>, 2013 г.</w:t>
      </w:r>
      <w:r w:rsidR="00E24FF3" w:rsidRPr="00A92FDE">
        <w:t xml:space="preserve"> и </w:t>
      </w:r>
      <w:r w:rsidR="00E24FF3">
        <w:t>СПЭ</w:t>
      </w:r>
      <w:r w:rsidR="00E24FF3" w:rsidRPr="00A92FDE">
        <w:t xml:space="preserve"> 201</w:t>
      </w:r>
      <w:r w:rsidR="00E24FF3">
        <w:t>3</w:t>
      </w:r>
      <w:r w:rsidR="00E24FF3" w:rsidRPr="00A92FDE">
        <w:t xml:space="preserve"> г. Там </w:t>
      </w:r>
      <w:r w:rsidR="00E24FF3">
        <w:t>же показаны фактические значения</w:t>
      </w:r>
      <w:r w:rsidR="00E24FF3" w:rsidRPr="00A92FDE">
        <w:t xml:space="preserve"> </w:t>
      </w:r>
      <w:r w:rsidR="00E24FF3">
        <w:t xml:space="preserve">вводов трансформаторных мощностей </w:t>
      </w:r>
      <w:r w:rsidR="00E24FF3" w:rsidRPr="00A92FDE">
        <w:t xml:space="preserve">в </w:t>
      </w:r>
      <w:smartTag w:uri="urn:schemas-microsoft-com:office:smarttags" w:element="metricconverter">
        <w:smartTagPr>
          <w:attr w:name="ProductID" w:val="2011 г"/>
        </w:smartTagPr>
        <w:r w:rsidR="00E24FF3" w:rsidRPr="00A92FDE">
          <w:t>2011 г</w:t>
        </w:r>
      </w:smartTag>
      <w:r w:rsidR="00E24FF3" w:rsidRPr="00A92FDE">
        <w:t>.</w:t>
      </w:r>
      <w:r w:rsidR="00E24FF3">
        <w:t xml:space="preserve"> и 2012 г.</w:t>
      </w:r>
    </w:p>
    <w:p w:rsidR="009478DB" w:rsidRPr="00A81F9F" w:rsidRDefault="009478DB" w:rsidP="00605598">
      <w:pPr>
        <w:ind w:firstLine="709"/>
        <w:jc w:val="both"/>
      </w:pPr>
    </w:p>
    <w:p w:rsidR="009478DB" w:rsidRPr="00A81F9F" w:rsidRDefault="007C1ADE" w:rsidP="00605598">
      <w:pPr>
        <w:jc w:val="both"/>
      </w:pPr>
      <w:r>
        <w:rPr>
          <w:noProof/>
        </w:rPr>
        <w:drawing>
          <wp:inline distT="0" distB="0" distL="0" distR="0">
            <wp:extent cx="6155563" cy="3756279"/>
            <wp:effectExtent l="12192" t="6096" r="4445"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478DB" w:rsidRPr="00A81F9F" w:rsidRDefault="009478DB" w:rsidP="00EE1A61">
      <w:pPr>
        <w:ind w:firstLine="709"/>
        <w:jc w:val="both"/>
      </w:pPr>
    </w:p>
    <w:p w:rsidR="009478DB" w:rsidRPr="00A81F9F" w:rsidRDefault="009478DB" w:rsidP="00185AE3">
      <w:pPr>
        <w:ind w:firstLine="709"/>
        <w:jc w:val="both"/>
      </w:pPr>
      <w:r w:rsidRPr="00A81F9F">
        <w:t>Рис. 4</w:t>
      </w:r>
      <w:r w:rsidR="00244129">
        <w:t>3</w:t>
      </w:r>
      <w:r w:rsidRPr="00A81F9F">
        <w:t>. Сравнение вводов трансформаторных мощностей по прогнозам Минэнерго 2011г., 2012г.</w:t>
      </w:r>
      <w:r w:rsidR="00B20756">
        <w:t>, 2013г.</w:t>
      </w:r>
      <w:r w:rsidRPr="00A81F9F">
        <w:t xml:space="preserve"> и прогнозу </w:t>
      </w:r>
      <w:r w:rsidR="00B20756">
        <w:t>СПЭ</w:t>
      </w:r>
      <w:r w:rsidRPr="00A81F9F">
        <w:t xml:space="preserve"> 201</w:t>
      </w:r>
      <w:r w:rsidR="004779F2">
        <w:t>3</w:t>
      </w:r>
    </w:p>
    <w:p w:rsidR="009478DB" w:rsidRPr="00A81F9F" w:rsidRDefault="009478DB" w:rsidP="00EE1A61">
      <w:pPr>
        <w:ind w:firstLine="709"/>
        <w:jc w:val="both"/>
      </w:pPr>
    </w:p>
    <w:p w:rsidR="006C6A3E" w:rsidRDefault="004779F2" w:rsidP="00185AE3">
      <w:pPr>
        <w:ind w:firstLine="709"/>
        <w:jc w:val="both"/>
      </w:pPr>
      <w:r>
        <w:t>Видно, что</w:t>
      </w:r>
      <w:r w:rsidR="00590B89">
        <w:t xml:space="preserve"> объемы</w:t>
      </w:r>
      <w:r>
        <w:t xml:space="preserve"> ввод</w:t>
      </w:r>
      <w:r w:rsidR="00590B89">
        <w:t>ов</w:t>
      </w:r>
      <w:r>
        <w:t xml:space="preserve"> трансформаторных мощностей, классом напряжения 220 кВ и выше, в ЕЭС России</w:t>
      </w:r>
      <w:r w:rsidR="00B93C5F">
        <w:t xml:space="preserve">, по прогнозам Минэнерго 2011г., 2012г., 2013г. </w:t>
      </w:r>
      <w:r w:rsidR="00590B89">
        <w:t xml:space="preserve">имеют достаточно удовлетворительное согласование между собой, </w:t>
      </w:r>
      <w:r w:rsidR="006C6A3E">
        <w:t xml:space="preserve">кроме 2015 года. Когда по этим прогнозам объемы вводов были равны соответственно 24,4, 35,9, 24,7 тыс. МВА. </w:t>
      </w:r>
    </w:p>
    <w:p w:rsidR="004D0EF2" w:rsidRDefault="006C6A3E" w:rsidP="00185AE3">
      <w:pPr>
        <w:ind w:firstLine="709"/>
        <w:jc w:val="both"/>
      </w:pPr>
      <w:r>
        <w:t xml:space="preserve">Однако фактическая реализация этих прогнозов существенно хуже. В 2011 г. </w:t>
      </w:r>
      <w:r w:rsidR="00C26CEF">
        <w:t xml:space="preserve">был запланирован ввод 24,9 тыс. МВА трансформаторных мощностей. Фактически ввели – 18,1 тыс. МВА, или на 27% меньше. В 2012 г. по прогнозам Минэнерго 2011 г. и 2012 г. был запланирован ввод трансформаторных мощностей соответственно 26,4 и 22,7 тыс. МВА. Фактически было введено – 18,5 тыс. МВА. Соответственно на 30% и </w:t>
      </w:r>
      <w:r w:rsidR="006B5E0A">
        <w:t>19% меньше.</w:t>
      </w:r>
    </w:p>
    <w:p w:rsidR="004D0EF2" w:rsidRPr="00A92FDE" w:rsidRDefault="004D0EF2" w:rsidP="004D0EF2">
      <w:pPr>
        <w:ind w:firstLine="709"/>
        <w:jc w:val="both"/>
      </w:pPr>
      <w:r w:rsidRPr="001B7B5E">
        <w:t xml:space="preserve">В прогнозе </w:t>
      </w:r>
      <w:r w:rsidR="000C5358">
        <w:t>СПЭ</w:t>
      </w:r>
      <w:r w:rsidRPr="001B7B5E">
        <w:t xml:space="preserve"> 201</w:t>
      </w:r>
      <w:r w:rsidR="000C5358">
        <w:t>3</w:t>
      </w:r>
      <w:r w:rsidRPr="001B7B5E">
        <w:t xml:space="preserve">г. в период 2013-2019гг. ввод генерирующих мощностей уменьшился на </w:t>
      </w:r>
      <w:r w:rsidR="000C5358">
        <w:rPr>
          <w:rStyle w:val="af5"/>
          <w:rFonts w:eastAsia="Calibri"/>
          <w:sz w:val="24"/>
          <w:szCs w:val="24"/>
        </w:rPr>
        <w:t>30</w:t>
      </w:r>
      <w:r w:rsidRPr="001B7B5E">
        <w:rPr>
          <w:rStyle w:val="af5"/>
          <w:rFonts w:eastAsia="Calibri"/>
          <w:sz w:val="24"/>
          <w:szCs w:val="24"/>
        </w:rPr>
        <w:t>%</w:t>
      </w:r>
      <w:r w:rsidRPr="001B7B5E">
        <w:t xml:space="preserve"> по срав</w:t>
      </w:r>
      <w:r w:rsidR="000C5358">
        <w:t>нению с прогнозом Минэнерго 2013</w:t>
      </w:r>
      <w:r w:rsidRPr="001B7B5E">
        <w:t xml:space="preserve">г. Поэтому в прогнозе </w:t>
      </w:r>
      <w:r w:rsidR="000C5358">
        <w:t>СПЭ</w:t>
      </w:r>
      <w:r w:rsidRPr="001B7B5E">
        <w:t xml:space="preserve"> 201</w:t>
      </w:r>
      <w:r w:rsidR="000C5358">
        <w:t>3</w:t>
      </w:r>
      <w:r w:rsidRPr="001B7B5E">
        <w:t>г. по объемам вводов протяженности и трансформаторной мощности сетей ЕНЭС  принимается, что ежегодный объем их ввода также</w:t>
      </w:r>
      <w:r w:rsidR="000C5358">
        <w:t xml:space="preserve"> должен быть</w:t>
      </w:r>
      <w:r w:rsidRPr="001B7B5E">
        <w:t xml:space="preserve"> меньше на </w:t>
      </w:r>
      <w:r w:rsidR="000C5358">
        <w:rPr>
          <w:rStyle w:val="af5"/>
          <w:rFonts w:eastAsia="Calibri"/>
          <w:sz w:val="24"/>
          <w:szCs w:val="24"/>
        </w:rPr>
        <w:t>30</w:t>
      </w:r>
      <w:r w:rsidRPr="001B7B5E">
        <w:rPr>
          <w:rStyle w:val="af5"/>
          <w:rFonts w:eastAsia="Calibri"/>
          <w:sz w:val="24"/>
          <w:szCs w:val="24"/>
        </w:rPr>
        <w:t>%</w:t>
      </w:r>
      <w:r w:rsidRPr="001B7B5E">
        <w:t>, чем в пр</w:t>
      </w:r>
      <w:r w:rsidR="000C5358">
        <w:t>огнозе Минэнерго 2013</w:t>
      </w:r>
      <w:r w:rsidRPr="00A92FDE">
        <w:t>г.</w:t>
      </w:r>
      <w:r w:rsidR="00F34AF5">
        <w:t>, что и показано на рис. 4</w:t>
      </w:r>
      <w:r w:rsidR="00797BC8">
        <w:t>2</w:t>
      </w:r>
      <w:r w:rsidR="00F34AF5">
        <w:t>.</w:t>
      </w:r>
      <w:r w:rsidRPr="00A92FDE">
        <w:t xml:space="preserve">  Таким образом, в прогнозе </w:t>
      </w:r>
      <w:r w:rsidR="000C5358">
        <w:t>СПЭ</w:t>
      </w:r>
      <w:r w:rsidRPr="00A92FDE">
        <w:t xml:space="preserve"> 201</w:t>
      </w:r>
      <w:r w:rsidR="000C5358">
        <w:t>3</w:t>
      </w:r>
      <w:r w:rsidRPr="00A92FDE">
        <w:t xml:space="preserve"> г. в период 2013-2019 гг. предлагается ввод высоковольтных линий протяженностью </w:t>
      </w:r>
      <w:r w:rsidR="00E3143E">
        <w:rPr>
          <w:rStyle w:val="af5"/>
          <w:rFonts w:eastAsia="Calibri"/>
          <w:sz w:val="24"/>
          <w:szCs w:val="24"/>
        </w:rPr>
        <w:t>28,4</w:t>
      </w:r>
      <w:r w:rsidRPr="00A92FDE">
        <w:rPr>
          <w:rStyle w:val="af5"/>
          <w:rFonts w:eastAsia="Calibri"/>
          <w:sz w:val="24"/>
          <w:szCs w:val="24"/>
        </w:rPr>
        <w:t xml:space="preserve"> тыс. км</w:t>
      </w:r>
      <w:r w:rsidRPr="00A92FDE">
        <w:t xml:space="preserve"> и трансформаторных мощностей </w:t>
      </w:r>
      <w:r w:rsidR="00E3143E">
        <w:rPr>
          <w:rStyle w:val="af5"/>
          <w:rFonts w:eastAsia="Calibri"/>
          <w:sz w:val="24"/>
          <w:szCs w:val="24"/>
        </w:rPr>
        <w:t>96,4</w:t>
      </w:r>
      <w:r>
        <w:rPr>
          <w:rStyle w:val="af5"/>
          <w:rFonts w:eastAsia="Calibri"/>
          <w:sz w:val="24"/>
          <w:szCs w:val="24"/>
        </w:rPr>
        <w:t xml:space="preserve"> тыс.</w:t>
      </w:r>
      <w:r w:rsidRPr="00A92FDE">
        <w:rPr>
          <w:rStyle w:val="af5"/>
          <w:rFonts w:eastAsia="Calibri"/>
          <w:sz w:val="24"/>
          <w:szCs w:val="24"/>
        </w:rPr>
        <w:t xml:space="preserve"> МВА</w:t>
      </w:r>
      <w:r w:rsidRPr="00A92FDE">
        <w:t xml:space="preserve">, при этом доля объектов реновации </w:t>
      </w:r>
      <w:r w:rsidRPr="00A92FDE">
        <w:rPr>
          <w:rStyle w:val="af5"/>
          <w:rFonts w:eastAsia="Calibri"/>
          <w:sz w:val="24"/>
          <w:szCs w:val="24"/>
        </w:rPr>
        <w:t>должна</w:t>
      </w:r>
      <w:r w:rsidRPr="00A92FDE">
        <w:t xml:space="preserve"> составлять минимум </w:t>
      </w:r>
      <w:r w:rsidRPr="00A92FDE">
        <w:rPr>
          <w:rStyle w:val="af5"/>
          <w:rFonts w:eastAsia="Calibri"/>
          <w:sz w:val="24"/>
          <w:szCs w:val="24"/>
        </w:rPr>
        <w:t>60%</w:t>
      </w:r>
      <w:r w:rsidRPr="00A92FDE">
        <w:t xml:space="preserve"> от общих вводов, а не </w:t>
      </w:r>
      <w:r w:rsidRPr="00A92FDE">
        <w:rPr>
          <w:rStyle w:val="af5"/>
          <w:rFonts w:eastAsia="Calibri"/>
          <w:sz w:val="24"/>
          <w:szCs w:val="24"/>
        </w:rPr>
        <w:t xml:space="preserve">40% </w:t>
      </w:r>
      <w:r w:rsidRPr="00A92FDE">
        <w:t xml:space="preserve">как это имело место в 2011 году. </w:t>
      </w:r>
    </w:p>
    <w:p w:rsidR="009478DB" w:rsidRPr="00A81F9F" w:rsidRDefault="004F350B" w:rsidP="00EE1A61">
      <w:pPr>
        <w:ind w:firstLine="709"/>
        <w:jc w:val="both"/>
      </w:pPr>
      <w:r>
        <w:t>Так как в</w:t>
      </w:r>
      <w:r w:rsidR="009478DB" w:rsidRPr="00A81F9F">
        <w:t xml:space="preserve"> прогнозе Минэнерго </w:t>
      </w:r>
      <w:smartTag w:uri="urn:schemas-microsoft-com:office:smarttags" w:element="metricconverter">
        <w:smartTagPr>
          <w:attr w:name="ProductID" w:val="2012 г"/>
        </w:smartTagPr>
        <w:r w:rsidR="009478DB" w:rsidRPr="00A81F9F">
          <w:t>2012 г</w:t>
        </w:r>
      </w:smartTag>
      <w:r w:rsidR="009478DB" w:rsidRPr="00A81F9F">
        <w:t xml:space="preserve">. не приведена динамика </w:t>
      </w:r>
      <w:r w:rsidR="009478DB" w:rsidRPr="00A81F9F">
        <w:rPr>
          <w:rStyle w:val="af5"/>
          <w:rFonts w:eastAsia="Calibri"/>
          <w:sz w:val="30"/>
        </w:rPr>
        <w:t>вывода</w:t>
      </w:r>
      <w:r w:rsidR="009478DB" w:rsidRPr="00A81F9F">
        <w:t xml:space="preserve"> из эксплуатации трансформаторных мощностей </w:t>
      </w:r>
      <w:r w:rsidR="00F80151">
        <w:t>в период 201</w:t>
      </w:r>
      <w:r>
        <w:t>2</w:t>
      </w:r>
      <w:r w:rsidR="00F80151">
        <w:t>-201</w:t>
      </w:r>
      <w:r>
        <w:t>8</w:t>
      </w:r>
      <w:r w:rsidR="009478DB" w:rsidRPr="00A81F9F">
        <w:t xml:space="preserve"> гг., то затруднительно сравнить данные по прогнозам Минэнерго 2011 и 2012 гг. по динамике роста трансформаторных мощностей нарастающим итогом. </w:t>
      </w:r>
    </w:p>
    <w:p w:rsidR="009478DB" w:rsidRDefault="009478DB" w:rsidP="00EE1A61">
      <w:pPr>
        <w:ind w:firstLine="709"/>
        <w:jc w:val="both"/>
      </w:pPr>
      <w:r w:rsidRPr="00A81F9F">
        <w:t>Для того, чтобы все-таки сопоставить по различным прогнозам протяженность и трансформаторную мощность сетей ЕНЭС напряжением 220 кВ и выше по годам, принимается: во-первых, что в 2011г. фактический рост протяженности сетей и трансформаторных мощностей равны значениям представленным на сайте ФСК ЕЭС, а именно 3</w:t>
      </w:r>
      <w:r w:rsidR="00667D79">
        <w:t>,05 тыс.</w:t>
      </w:r>
      <w:r w:rsidRPr="00A81F9F">
        <w:t xml:space="preserve"> км и 18</w:t>
      </w:r>
      <w:r w:rsidR="00667D79">
        <w:t>,</w:t>
      </w:r>
      <w:r w:rsidRPr="00A81F9F">
        <w:t>1</w:t>
      </w:r>
      <w:r w:rsidR="00667D79">
        <w:t xml:space="preserve"> тыс.</w:t>
      </w:r>
      <w:r w:rsidRPr="00A81F9F">
        <w:t xml:space="preserve"> МВА; во-вторых, вывод из эксплуатации 27,5</w:t>
      </w:r>
      <w:r w:rsidR="00667D79">
        <w:t xml:space="preserve"> тыс.</w:t>
      </w:r>
      <w:r w:rsidRPr="00A81F9F">
        <w:t xml:space="preserve"> МВА трансформаторных мощностей, показанных в прогнозе Минэнерго 2011г., происходит равномерно по годам с темпом 3,93</w:t>
      </w:r>
      <w:r w:rsidR="00667D79">
        <w:t xml:space="preserve"> тыс.</w:t>
      </w:r>
      <w:r w:rsidRPr="00A81F9F">
        <w:t xml:space="preserve"> МВА в год во всех  других прогнозах.  </w:t>
      </w:r>
    </w:p>
    <w:p w:rsidR="00797BC8" w:rsidRPr="00A81F9F" w:rsidRDefault="00797BC8" w:rsidP="00EE1A61">
      <w:pPr>
        <w:ind w:firstLine="709"/>
        <w:jc w:val="both"/>
      </w:pPr>
    </w:p>
    <w:p w:rsidR="009478DB" w:rsidRDefault="007C1ADE" w:rsidP="00185AE3">
      <w:pPr>
        <w:ind w:hanging="360"/>
        <w:jc w:val="center"/>
        <w:rPr>
          <w:noProof/>
        </w:rPr>
      </w:pPr>
      <w:r>
        <w:rPr>
          <w:noProof/>
        </w:rPr>
        <w:drawing>
          <wp:inline distT="0" distB="0" distL="0" distR="0">
            <wp:extent cx="5305425" cy="4257675"/>
            <wp:effectExtent l="19050" t="19050" r="28575" b="28575"/>
            <wp:docPr id="17" name="Рисунок 80" descr="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Рисунок 19"/>
                    <pic:cNvPicPr>
                      <a:picLocks noChangeAspect="1" noChangeArrowheads="1"/>
                    </pic:cNvPicPr>
                  </pic:nvPicPr>
                  <pic:blipFill>
                    <a:blip r:embed="rId60" cstate="print"/>
                    <a:srcRect l="4868" t="16139" r="16798"/>
                    <a:stretch>
                      <a:fillRect/>
                    </a:stretch>
                  </pic:blipFill>
                  <pic:spPr bwMode="auto">
                    <a:xfrm>
                      <a:off x="0" y="0"/>
                      <a:ext cx="5305425" cy="4257675"/>
                    </a:xfrm>
                    <a:prstGeom prst="rect">
                      <a:avLst/>
                    </a:prstGeom>
                    <a:noFill/>
                    <a:ln w="6350" cmpd="sng">
                      <a:solidFill>
                        <a:srgbClr val="000000"/>
                      </a:solidFill>
                      <a:miter lim="800000"/>
                      <a:headEnd/>
                      <a:tailEnd/>
                    </a:ln>
                    <a:effectLst/>
                  </pic:spPr>
                </pic:pic>
              </a:graphicData>
            </a:graphic>
          </wp:inline>
        </w:drawing>
      </w:r>
    </w:p>
    <w:p w:rsidR="00797BC8" w:rsidRPr="00A81F9F" w:rsidRDefault="00797BC8" w:rsidP="00185AE3">
      <w:pPr>
        <w:ind w:hanging="360"/>
        <w:jc w:val="center"/>
      </w:pPr>
    </w:p>
    <w:p w:rsidR="009478DB" w:rsidRPr="00A81F9F" w:rsidRDefault="009478DB" w:rsidP="00185AE3">
      <w:pPr>
        <w:tabs>
          <w:tab w:val="left" w:pos="3540"/>
        </w:tabs>
        <w:ind w:firstLine="709"/>
        <w:jc w:val="both"/>
      </w:pPr>
      <w:r w:rsidRPr="00A81F9F">
        <w:t>Рис. 4</w:t>
      </w:r>
      <w:r w:rsidR="00244129">
        <w:t>4</w:t>
      </w:r>
      <w:r w:rsidRPr="00A81F9F">
        <w:t xml:space="preserve">. Протяженность сетей ЕЭС напряжением 220кВ и выше по прогнозам Минэнерго 2011, 2012гг. и </w:t>
      </w:r>
      <w:r w:rsidR="00667D79">
        <w:t>СПЭ</w:t>
      </w:r>
      <w:r w:rsidRPr="00A81F9F">
        <w:t xml:space="preserve"> 2012г. </w:t>
      </w:r>
    </w:p>
    <w:p w:rsidR="009478DB" w:rsidRPr="00A81F9F" w:rsidRDefault="007C1ADE" w:rsidP="00667D79">
      <w:pPr>
        <w:jc w:val="both"/>
      </w:pPr>
      <w:r>
        <w:rPr>
          <w:noProof/>
        </w:rPr>
        <w:drawing>
          <wp:inline distT="0" distB="0" distL="0" distR="0">
            <wp:extent cx="6057900" cy="4114800"/>
            <wp:effectExtent l="19050" t="19050" r="19050" b="19050"/>
            <wp:docPr id="15" name="Рисунок 81" descr="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Рисунок 20"/>
                    <pic:cNvPicPr>
                      <a:picLocks noChangeAspect="1" noChangeArrowheads="1"/>
                    </pic:cNvPicPr>
                  </pic:nvPicPr>
                  <pic:blipFill>
                    <a:blip r:embed="rId61" cstate="print"/>
                    <a:srcRect l="5028" t="11028" r="6639" b="6760"/>
                    <a:stretch>
                      <a:fillRect/>
                    </a:stretch>
                  </pic:blipFill>
                  <pic:spPr bwMode="auto">
                    <a:xfrm>
                      <a:off x="0" y="0"/>
                      <a:ext cx="6057900" cy="4114800"/>
                    </a:xfrm>
                    <a:prstGeom prst="rect">
                      <a:avLst/>
                    </a:prstGeom>
                    <a:noFill/>
                    <a:ln w="6350" cmpd="sng">
                      <a:solidFill>
                        <a:srgbClr val="000000"/>
                      </a:solidFill>
                      <a:miter lim="800000"/>
                      <a:headEnd/>
                      <a:tailEnd/>
                    </a:ln>
                    <a:effectLst/>
                  </pic:spPr>
                </pic:pic>
              </a:graphicData>
            </a:graphic>
          </wp:inline>
        </w:drawing>
      </w:r>
    </w:p>
    <w:p w:rsidR="009478DB" w:rsidRPr="00A81F9F" w:rsidRDefault="009478DB" w:rsidP="00667D79">
      <w:pPr>
        <w:jc w:val="both"/>
      </w:pPr>
    </w:p>
    <w:p w:rsidR="009478DB" w:rsidRPr="00A81F9F" w:rsidRDefault="009478DB" w:rsidP="00C3655F">
      <w:pPr>
        <w:ind w:firstLine="851"/>
        <w:jc w:val="both"/>
      </w:pPr>
      <w:r w:rsidRPr="00A81F9F">
        <w:t>Рис. 4</w:t>
      </w:r>
      <w:r w:rsidR="00244129">
        <w:t>5</w:t>
      </w:r>
      <w:r w:rsidRPr="00A81F9F">
        <w:t xml:space="preserve">. Трансформаторная мощность сетей ЕНЭС напряжением 220 кВ и выше по прогнозам Минэнерго 2011, 2012гг. и </w:t>
      </w:r>
      <w:r w:rsidR="00667D79">
        <w:t>СПЭ</w:t>
      </w:r>
      <w:r w:rsidRPr="00A81F9F">
        <w:t xml:space="preserve"> 2012г.</w:t>
      </w:r>
    </w:p>
    <w:p w:rsidR="009478DB" w:rsidRPr="00A81F9F" w:rsidRDefault="009478DB" w:rsidP="00EE1A61">
      <w:pPr>
        <w:ind w:hanging="540"/>
        <w:jc w:val="both"/>
      </w:pPr>
    </w:p>
    <w:p w:rsidR="009478DB" w:rsidRPr="00A81F9F" w:rsidRDefault="009478DB" w:rsidP="00C3655F">
      <w:pPr>
        <w:ind w:firstLine="851"/>
        <w:jc w:val="both"/>
      </w:pPr>
      <w:r w:rsidRPr="00A81F9F">
        <w:t>На рис. 4</w:t>
      </w:r>
      <w:r w:rsidR="00244129">
        <w:t>4</w:t>
      </w:r>
      <w:r w:rsidRPr="00A81F9F">
        <w:t xml:space="preserve"> и 4</w:t>
      </w:r>
      <w:r w:rsidR="00244129">
        <w:t>5</w:t>
      </w:r>
      <w:r w:rsidRPr="00A81F9F">
        <w:t xml:space="preserve"> показан рост протяженности и трансформаторной мощности сетей ЕНЭС напряжением 220 кВ и выше в период 2010 – 2018 гг. в соответствии с прогнозами Минэнерго 2011 и 2012гг. и </w:t>
      </w:r>
      <w:r w:rsidR="00667D79">
        <w:t>СПЭ</w:t>
      </w:r>
      <w:r w:rsidRPr="00A81F9F">
        <w:t xml:space="preserve"> 2012г. Из рис. </w:t>
      </w:r>
      <w:r w:rsidR="00667D79">
        <w:t>4</w:t>
      </w:r>
      <w:r w:rsidR="00244129">
        <w:t>4</w:t>
      </w:r>
      <w:r w:rsidRPr="00A81F9F">
        <w:t xml:space="preserve"> и </w:t>
      </w:r>
      <w:r w:rsidR="00667D79">
        <w:t>4</w:t>
      </w:r>
      <w:r w:rsidR="00244129">
        <w:t>5</w:t>
      </w:r>
      <w:r w:rsidRPr="00A81F9F">
        <w:t xml:space="preserve"> видно, что в прогнозе Минэнерго 2012г. в период 2012 – 2014гг. заложены более реалистичные значения вводов протяженности сетей и трансформаторных мощностей, а далее, после 2014г., прогнозы вводов и трансформаторных мощностей (рис. 4</w:t>
      </w:r>
      <w:r w:rsidR="00797BC8">
        <w:t>3</w:t>
      </w:r>
      <w:r w:rsidRPr="00A81F9F">
        <w:t xml:space="preserve">) существенно выше, чем в прогнозе Минэнерго 2011г. Опять за 1 год такое изменение прогнозов вводов в период после 2014г. вызывает естественное сомнение в их достоверности, а также возможности их реализации. На этом же рисунке показан прогноз </w:t>
      </w:r>
      <w:r w:rsidR="00667D79">
        <w:t>СПЭ</w:t>
      </w:r>
      <w:r w:rsidRPr="00A81F9F">
        <w:t xml:space="preserve"> 2012г.  </w:t>
      </w:r>
    </w:p>
    <w:p w:rsidR="009478DB" w:rsidRPr="00A81F9F" w:rsidRDefault="009478DB" w:rsidP="00EE1A61">
      <w:pPr>
        <w:ind w:firstLine="709"/>
        <w:jc w:val="both"/>
      </w:pPr>
    </w:p>
    <w:p w:rsidR="009478DB" w:rsidRPr="00A81F9F" w:rsidRDefault="009478DB" w:rsidP="00212929">
      <w:pPr>
        <w:pStyle w:val="2"/>
      </w:pPr>
      <w:r w:rsidRPr="00A81F9F">
        <w:br w:type="page"/>
      </w:r>
      <w:bookmarkStart w:id="77" w:name="_Toc370759792"/>
      <w:bookmarkStart w:id="78" w:name="_Toc374557799"/>
      <w:r w:rsidRPr="00A81F9F">
        <w:t xml:space="preserve">По Разделу 9. Предложения по развитию электрических сетей напряжением 220-750 кВ по энергосистеме Московской области и г. Москвы на период 2012-2018 гг. </w:t>
      </w:r>
      <w:r w:rsidR="00667D79">
        <w:t>(то же на период 2013-2019 гг.).</w:t>
      </w:r>
      <w:bookmarkEnd w:id="77"/>
      <w:bookmarkEnd w:id="78"/>
    </w:p>
    <w:p w:rsidR="009478DB" w:rsidRPr="00A81F9F" w:rsidRDefault="009478DB" w:rsidP="00726B9F">
      <w:pPr>
        <w:ind w:firstLine="720"/>
        <w:rPr>
          <w:b/>
          <w:sz w:val="28"/>
          <w:szCs w:val="28"/>
        </w:rPr>
      </w:pPr>
      <w:bookmarkStart w:id="79" w:name="_Toc342656896"/>
    </w:p>
    <w:p w:rsidR="009478DB" w:rsidRPr="00A81F9F" w:rsidRDefault="009478DB" w:rsidP="00726B9F">
      <w:pPr>
        <w:ind w:firstLine="720"/>
        <w:rPr>
          <w:sz w:val="28"/>
          <w:szCs w:val="28"/>
        </w:rPr>
      </w:pPr>
      <w:r w:rsidRPr="00A81F9F">
        <w:rPr>
          <w:b/>
          <w:sz w:val="28"/>
          <w:szCs w:val="28"/>
        </w:rPr>
        <w:t>Общая характеристика региона</w:t>
      </w:r>
      <w:bookmarkEnd w:id="79"/>
    </w:p>
    <w:p w:rsidR="009478DB" w:rsidRPr="00A81F9F" w:rsidRDefault="009478DB" w:rsidP="0063374C">
      <w:pPr>
        <w:rPr>
          <w:color w:val="000000"/>
          <w:sz w:val="27"/>
          <w:szCs w:val="27"/>
          <w:shd w:val="clear" w:color="auto" w:fill="FFFFFF"/>
        </w:rPr>
      </w:pPr>
    </w:p>
    <w:p w:rsidR="00C3655F" w:rsidRDefault="009A22DD" w:rsidP="00C3655F">
      <w:pPr>
        <w:ind w:firstLine="720"/>
        <w:jc w:val="both"/>
        <w:rPr>
          <w:color w:val="000000"/>
          <w:shd w:val="clear" w:color="auto" w:fill="FFFFFF"/>
        </w:rPr>
      </w:pPr>
      <w:r w:rsidRPr="00A81F9F">
        <w:rPr>
          <w:color w:val="000000"/>
          <w:shd w:val="clear" w:color="auto" w:fill="FFFFFF"/>
        </w:rPr>
        <w:t>Московская энергосистема осуществляет энергоснабжение потребителей на территории Москвы и Московской области, занимающих, соответственно, площадь  1,1 тыс. км² и 45,8 тыс. км²  А весь регион -  46,9 тыс. км². Численность населения, проживающего в Москве и Московской области, с</w:t>
      </w:r>
      <w:r>
        <w:rPr>
          <w:color w:val="000000"/>
          <w:shd w:val="clear" w:color="auto" w:fill="FFFFFF"/>
        </w:rPr>
        <w:t>оставляет соответственно, 11,979 и 7,048</w:t>
      </w:r>
      <w:r w:rsidRPr="00A81F9F">
        <w:rPr>
          <w:color w:val="000000"/>
          <w:shd w:val="clear" w:color="auto" w:fill="FFFFFF"/>
        </w:rPr>
        <w:t xml:space="preserve"> мл</w:t>
      </w:r>
      <w:r>
        <w:rPr>
          <w:color w:val="000000"/>
          <w:shd w:val="clear" w:color="auto" w:fill="FFFFFF"/>
        </w:rPr>
        <w:t>н. чел., а во всем регионе -  19,027 млн. чел. (на 1 января 2013</w:t>
      </w:r>
      <w:r w:rsidRPr="00A81F9F">
        <w:rPr>
          <w:color w:val="000000"/>
          <w:shd w:val="clear" w:color="auto" w:fill="FFFFFF"/>
        </w:rPr>
        <w:t xml:space="preserve"> года).</w:t>
      </w:r>
    </w:p>
    <w:p w:rsidR="009A22DD" w:rsidRPr="00C3655F" w:rsidRDefault="009A22DD" w:rsidP="00C3655F">
      <w:pPr>
        <w:ind w:firstLine="720"/>
        <w:jc w:val="both"/>
        <w:rPr>
          <w:color w:val="000000"/>
          <w:shd w:val="clear" w:color="auto" w:fill="FFFFFF"/>
        </w:rPr>
      </w:pPr>
      <w:r>
        <w:rPr>
          <w:color w:val="000000"/>
        </w:rPr>
        <w:t xml:space="preserve">На 01.01.2012 </w:t>
      </w:r>
      <w:r w:rsidRPr="00A81F9F">
        <w:rPr>
          <w:color w:val="000000"/>
        </w:rPr>
        <w:t xml:space="preserve"> установленная мощность электростанций Мо</w:t>
      </w:r>
      <w:r>
        <w:rPr>
          <w:color w:val="000000"/>
        </w:rPr>
        <w:t>сковского региона составила 17,4</w:t>
      </w:r>
      <w:r w:rsidRPr="00A81F9F">
        <w:rPr>
          <w:color w:val="000000"/>
        </w:rPr>
        <w:t xml:space="preserve"> ГВт (рис. 52) и мало изменилась в</w:t>
      </w:r>
      <w:r>
        <w:rPr>
          <w:color w:val="000000"/>
        </w:rPr>
        <w:t xml:space="preserve"> 2012-2013</w:t>
      </w:r>
      <w:r w:rsidRPr="00A81F9F">
        <w:rPr>
          <w:color w:val="000000"/>
        </w:rPr>
        <w:t xml:space="preserve"> гг.</w:t>
      </w:r>
      <w:r>
        <w:rPr>
          <w:color w:val="000000"/>
        </w:rPr>
        <w:t xml:space="preserve"> Выработка электроэнергии в 2012 году составила 80</w:t>
      </w:r>
      <w:r w:rsidRPr="00A81F9F">
        <w:rPr>
          <w:color w:val="000000"/>
        </w:rPr>
        <w:t xml:space="preserve">,6 млрд. кВт•ч. </w:t>
      </w:r>
    </w:p>
    <w:p w:rsidR="009478DB" w:rsidRPr="00A81F9F" w:rsidRDefault="007C1ADE" w:rsidP="0063374C">
      <w:pPr>
        <w:pStyle w:val="af1"/>
        <w:shd w:val="clear" w:color="auto" w:fill="FFFFFF"/>
        <w:jc w:val="center"/>
        <w:rPr>
          <w:color w:val="000000"/>
        </w:rPr>
      </w:pPr>
      <w:r>
        <w:rPr>
          <w:noProof/>
          <w:color w:val="000000"/>
        </w:rPr>
        <w:drawing>
          <wp:inline distT="0" distB="0" distL="0" distR="0">
            <wp:extent cx="5067300" cy="3048000"/>
            <wp:effectExtent l="19050" t="19050" r="19050" b="19050"/>
            <wp:docPr id="1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2" cstate="print"/>
                    <a:srcRect l="9579" t="1552" r="2875" b="33150"/>
                    <a:stretch>
                      <a:fillRect/>
                    </a:stretch>
                  </pic:blipFill>
                  <pic:spPr bwMode="auto">
                    <a:xfrm>
                      <a:off x="0" y="0"/>
                      <a:ext cx="5067300" cy="3048000"/>
                    </a:xfrm>
                    <a:prstGeom prst="rect">
                      <a:avLst/>
                    </a:prstGeom>
                    <a:noFill/>
                    <a:ln w="6350" cmpd="sng">
                      <a:solidFill>
                        <a:srgbClr val="000000"/>
                      </a:solidFill>
                      <a:miter lim="800000"/>
                      <a:headEnd/>
                      <a:tailEnd/>
                    </a:ln>
                    <a:effectLst/>
                  </pic:spPr>
                </pic:pic>
              </a:graphicData>
            </a:graphic>
          </wp:inline>
        </w:drawing>
      </w:r>
    </w:p>
    <w:p w:rsidR="009478DB" w:rsidRPr="00A81F9F" w:rsidRDefault="009478DB" w:rsidP="00C3655F">
      <w:pPr>
        <w:pStyle w:val="af1"/>
        <w:shd w:val="clear" w:color="auto" w:fill="FFFFFF"/>
        <w:spacing w:before="0" w:beforeAutospacing="0" w:after="0" w:afterAutospacing="0"/>
        <w:ind w:firstLine="851"/>
        <w:jc w:val="both"/>
        <w:rPr>
          <w:color w:val="000000"/>
        </w:rPr>
      </w:pPr>
      <w:r w:rsidRPr="00A81F9F">
        <w:rPr>
          <w:color w:val="000000"/>
        </w:rPr>
        <w:t xml:space="preserve"> Рис.4</w:t>
      </w:r>
      <w:r w:rsidR="00244129">
        <w:rPr>
          <w:color w:val="000000"/>
        </w:rPr>
        <w:t>6</w:t>
      </w:r>
      <w:r w:rsidRPr="00A81F9F">
        <w:rPr>
          <w:color w:val="000000"/>
        </w:rPr>
        <w:t xml:space="preserve"> Установленная мощность электростанций Московской энергосистемы на 01.01.2010г. </w:t>
      </w:r>
    </w:p>
    <w:p w:rsidR="009478DB" w:rsidRPr="00A81F9F" w:rsidRDefault="009478DB" w:rsidP="0063374C">
      <w:pPr>
        <w:pStyle w:val="af1"/>
        <w:shd w:val="clear" w:color="auto" w:fill="FFFFFF"/>
        <w:spacing w:before="0" w:beforeAutospacing="0" w:after="0" w:afterAutospacing="0"/>
        <w:jc w:val="both"/>
        <w:rPr>
          <w:color w:val="000000"/>
        </w:rPr>
      </w:pPr>
    </w:p>
    <w:p w:rsidR="009A22DD" w:rsidRPr="00C3655F" w:rsidRDefault="009A22DD" w:rsidP="00C3655F">
      <w:pPr>
        <w:pStyle w:val="af1"/>
        <w:shd w:val="clear" w:color="auto" w:fill="FFFFFF"/>
        <w:spacing w:before="0" w:beforeAutospacing="0" w:after="0" w:afterAutospacing="0"/>
        <w:ind w:firstLine="709"/>
        <w:jc w:val="both"/>
        <w:rPr>
          <w:color w:val="000000"/>
        </w:rPr>
      </w:pPr>
      <w:r w:rsidRPr="00A81F9F">
        <w:rPr>
          <w:color w:val="000000"/>
        </w:rPr>
        <w:t xml:space="preserve">В настоящее время Московская энергосистема </w:t>
      </w:r>
      <w:r w:rsidRPr="00A81F9F">
        <w:rPr>
          <w:b/>
          <w:bCs/>
          <w:color w:val="000000"/>
        </w:rPr>
        <w:t>дефицитна</w:t>
      </w:r>
      <w:r w:rsidRPr="00A81F9F">
        <w:rPr>
          <w:color w:val="000000"/>
        </w:rPr>
        <w:t xml:space="preserve"> как по мощности, так и по производству электроэнергии</w:t>
      </w:r>
      <w:r w:rsidRPr="00A81F9F">
        <w:rPr>
          <w:b/>
          <w:bCs/>
          <w:color w:val="000000"/>
        </w:rPr>
        <w:t xml:space="preserve">. </w:t>
      </w:r>
      <w:r w:rsidRPr="00A81F9F">
        <w:rPr>
          <w:color w:val="000000"/>
        </w:rPr>
        <w:t>В период ОЗП 2009/10 гг. из ЕЭС России в нее осуществлялся приём мощности в объёме до 3,0 ГВт, при этом максимально допустимый переток (МДП) составлял  4,0 ГВт. МДП увеличился более чем на 1,0 ГВт после Московской аварии 2005 г. в результате интенсивного развития энергосистемы.</w:t>
      </w:r>
      <w:r>
        <w:rPr>
          <w:color w:val="000000"/>
        </w:rPr>
        <w:t xml:space="preserve"> В  2012 году</w:t>
      </w:r>
      <w:r w:rsidRPr="00A81F9F">
        <w:rPr>
          <w:color w:val="000000"/>
        </w:rPr>
        <w:t xml:space="preserve"> </w:t>
      </w:r>
      <w:r>
        <w:rPr>
          <w:color w:val="000000"/>
        </w:rPr>
        <w:t>собственное производство электроэнергии в регионе составило 80,6 млрд. кВт.ч. при суммарном электропотреблении 100,9 млрд. кВт.ч. Сальдо перетоков в электрической энергии составило 20,3 млрд.кВт.ч.</w:t>
      </w:r>
    </w:p>
    <w:p w:rsidR="009A22DD" w:rsidRPr="00A81F9F" w:rsidRDefault="009A22DD" w:rsidP="00C3655F">
      <w:pPr>
        <w:ind w:firstLine="720"/>
        <w:jc w:val="both"/>
        <w:rPr>
          <w:color w:val="000000"/>
        </w:rPr>
      </w:pPr>
      <w:r w:rsidRPr="00A81F9F">
        <w:rPr>
          <w:color w:val="000000"/>
          <w:shd w:val="clear" w:color="auto" w:fill="FFFFFF"/>
        </w:rPr>
        <w:t>Доля электропотребления Московского региона является доминирующей в ОЭС Центра и</w:t>
      </w:r>
      <w:r>
        <w:rPr>
          <w:color w:val="000000"/>
          <w:shd w:val="clear" w:color="auto" w:fill="FFFFFF"/>
        </w:rPr>
        <w:t xml:space="preserve"> в 2012 году </w:t>
      </w:r>
      <w:r w:rsidRPr="00A81F9F">
        <w:rPr>
          <w:color w:val="000000"/>
          <w:shd w:val="clear" w:color="auto" w:fill="FFFFFF"/>
        </w:rPr>
        <w:t>44% от его суммарного электропотребления и около 10% от суммарного электропотребления ЕЭС России.</w:t>
      </w:r>
      <w:r w:rsidRPr="00A81F9F">
        <w:rPr>
          <w:color w:val="000000"/>
        </w:rPr>
        <w:br/>
      </w:r>
    </w:p>
    <w:p w:rsidR="00D10EC0" w:rsidRDefault="00B715ED" w:rsidP="00D10EC0">
      <w:pPr>
        <w:ind w:firstLine="708"/>
      </w:pPr>
      <w:r w:rsidRPr="00A81F9F">
        <w:rPr>
          <w:color w:val="000000"/>
        </w:rPr>
        <w:t xml:space="preserve">На рис. </w:t>
      </w:r>
      <w:r w:rsidR="00C3655F">
        <w:rPr>
          <w:color w:val="000000"/>
        </w:rPr>
        <w:t>47</w:t>
      </w:r>
      <w:r w:rsidRPr="00A81F9F">
        <w:rPr>
          <w:color w:val="000000"/>
        </w:rPr>
        <w:t xml:space="preserve"> показана динамика электропотребления</w:t>
      </w:r>
      <w:r w:rsidRPr="00A81F9F">
        <w:t xml:space="preserve"> в Москве, Московской области и суммарно в Московском регионе (по данным Росстата</w:t>
      </w:r>
      <w:r>
        <w:t xml:space="preserve"> и СО ЕЭС России</w:t>
      </w:r>
      <w:r w:rsidRPr="00A81F9F">
        <w:t>)</w:t>
      </w:r>
    </w:p>
    <w:p w:rsidR="00ED019B" w:rsidRPr="00A81F9F" w:rsidRDefault="00ED019B" w:rsidP="00D10EC0">
      <w:pPr>
        <w:ind w:firstLine="708"/>
      </w:pPr>
    </w:p>
    <w:p w:rsidR="009478DB" w:rsidRPr="00A81F9F" w:rsidRDefault="007C1ADE" w:rsidP="00ED019B">
      <w:pPr>
        <w:jc w:val="both"/>
        <w:rPr>
          <w:color w:val="000000"/>
          <w:shd w:val="clear" w:color="auto" w:fill="FFFFFF"/>
        </w:rPr>
      </w:pPr>
      <w:r>
        <w:rPr>
          <w:noProof/>
          <w:color w:val="000000"/>
          <w:shd w:val="clear" w:color="auto" w:fill="FFFFFF"/>
        </w:rPr>
        <w:drawing>
          <wp:inline distT="0" distB="0" distL="0" distR="0">
            <wp:extent cx="5943854" cy="6305550"/>
            <wp:effectExtent l="6096" t="0" r="3175" b="0"/>
            <wp:docPr id="1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478DB" w:rsidRPr="00A81F9F" w:rsidRDefault="009478DB" w:rsidP="0063374C">
      <w:pPr>
        <w:ind w:firstLine="720"/>
        <w:rPr>
          <w:color w:val="000000"/>
        </w:rPr>
      </w:pPr>
    </w:p>
    <w:p w:rsidR="009478DB" w:rsidRPr="00A81F9F" w:rsidRDefault="009478DB" w:rsidP="00BD45CD">
      <w:pPr>
        <w:ind w:firstLine="720"/>
        <w:jc w:val="both"/>
      </w:pPr>
      <w:r w:rsidRPr="00A81F9F">
        <w:t>Рис. 4</w:t>
      </w:r>
      <w:r w:rsidR="00244129">
        <w:t>7</w:t>
      </w:r>
      <w:r w:rsidRPr="00A81F9F">
        <w:t>. Динамика электропотребления в Москве, Московской области и суммарно в Московском регионе</w:t>
      </w:r>
      <w:r w:rsidR="00EE283D">
        <w:t xml:space="preserve"> (по данным Росстата, СО ЕЭС и Мосэнергосбыта).</w:t>
      </w:r>
    </w:p>
    <w:p w:rsidR="009478DB" w:rsidRPr="00A81F9F" w:rsidRDefault="009478DB" w:rsidP="0063374C">
      <w:pPr>
        <w:ind w:firstLine="720"/>
        <w:jc w:val="center"/>
        <w:rPr>
          <w:color w:val="000000"/>
          <w:shd w:val="clear" w:color="auto" w:fill="FFFFFF"/>
        </w:rPr>
      </w:pPr>
    </w:p>
    <w:p w:rsidR="00B715ED" w:rsidRDefault="00B715ED" w:rsidP="00C3655F">
      <w:pPr>
        <w:ind w:firstLine="720"/>
        <w:jc w:val="both"/>
        <w:rPr>
          <w:color w:val="000000"/>
          <w:shd w:val="clear" w:color="auto" w:fill="FFFFFF"/>
        </w:rPr>
      </w:pPr>
      <w:r>
        <w:rPr>
          <w:color w:val="000000"/>
          <w:shd w:val="clear" w:color="auto" w:fill="FFFFFF"/>
        </w:rPr>
        <w:t>Видно, что данные Росстата и СО ЕЭС России по электропотреблению в  Московском регионе   несколько отличаются друг от друга. СО ЕЭС России не выделяет отдельно данные по электропотреблению в Москве и Московской области.</w:t>
      </w:r>
      <w:r w:rsidRPr="00C3140A">
        <w:rPr>
          <w:color w:val="000000"/>
          <w:shd w:val="clear" w:color="auto" w:fill="FFFFFF"/>
        </w:rPr>
        <w:t xml:space="preserve"> </w:t>
      </w:r>
      <w:r>
        <w:rPr>
          <w:color w:val="000000"/>
          <w:shd w:val="clear" w:color="auto" w:fill="FFFFFF"/>
        </w:rPr>
        <w:t xml:space="preserve">В последующем анализе в качестве </w:t>
      </w:r>
      <w:r w:rsidRPr="007D5775">
        <w:rPr>
          <w:b/>
          <w:color w:val="000000"/>
          <w:shd w:val="clear" w:color="auto" w:fill="FFFFFF"/>
        </w:rPr>
        <w:t>основных</w:t>
      </w:r>
      <w:r>
        <w:rPr>
          <w:color w:val="000000"/>
          <w:shd w:val="clear" w:color="auto" w:fill="FFFFFF"/>
        </w:rPr>
        <w:t xml:space="preserve"> данных по электропотреблению в Московском регионе будут приниматься данные СО ЕЭС России. Далее будет считаться, что данные по Москве соответствуют данным Росстата. Тогда  данные по электропотреблению в Московской области соответственно будут равняться разнице между данными по Московскому региону  и Москвы.</w:t>
      </w:r>
    </w:p>
    <w:p w:rsidR="009478DB" w:rsidRPr="00A81F9F" w:rsidRDefault="009478DB" w:rsidP="00EE283D">
      <w:pPr>
        <w:ind w:firstLine="720"/>
        <w:jc w:val="both"/>
        <w:rPr>
          <w:color w:val="000000"/>
          <w:shd w:val="clear" w:color="auto" w:fill="FFFFFF"/>
        </w:rPr>
      </w:pPr>
      <w:r w:rsidRPr="00A81F9F">
        <w:rPr>
          <w:color w:val="000000"/>
          <w:shd w:val="clear" w:color="auto" w:fill="FFFFFF"/>
        </w:rPr>
        <w:t>Из рис. 4</w:t>
      </w:r>
      <w:r w:rsidR="00244129">
        <w:rPr>
          <w:color w:val="000000"/>
          <w:shd w:val="clear" w:color="auto" w:fill="FFFFFF"/>
        </w:rPr>
        <w:t>7</w:t>
      </w:r>
      <w:r w:rsidRPr="00A81F9F">
        <w:rPr>
          <w:color w:val="000000"/>
          <w:shd w:val="clear" w:color="auto" w:fill="FFFFFF"/>
        </w:rPr>
        <w:t xml:space="preserve"> видно, что после минимума электропотребления</w:t>
      </w:r>
      <w:r w:rsidR="00DB6E06">
        <w:rPr>
          <w:color w:val="000000"/>
          <w:shd w:val="clear" w:color="auto" w:fill="FFFFFF"/>
        </w:rPr>
        <w:t xml:space="preserve"> 61,5 млрд.кВт.ч.</w:t>
      </w:r>
      <w:r w:rsidRPr="00A81F9F">
        <w:rPr>
          <w:color w:val="000000"/>
          <w:shd w:val="clear" w:color="auto" w:fill="FFFFFF"/>
        </w:rPr>
        <w:t xml:space="preserve"> в </w:t>
      </w:r>
      <w:smartTag w:uri="urn:schemas-microsoft-com:office:smarttags" w:element="metricconverter">
        <w:smartTagPr>
          <w:attr w:name="ProductID" w:val="1996 г"/>
        </w:smartTagPr>
        <w:r w:rsidRPr="00A81F9F">
          <w:rPr>
            <w:color w:val="000000"/>
            <w:shd w:val="clear" w:color="auto" w:fill="FFFFFF"/>
          </w:rPr>
          <w:t>1996 г</w:t>
        </w:r>
      </w:smartTag>
      <w:r w:rsidR="00554515">
        <w:rPr>
          <w:color w:val="000000"/>
          <w:shd w:val="clear" w:color="auto" w:fill="FFFFFF"/>
        </w:rPr>
        <w:t>.  в период 1997</w:t>
      </w:r>
      <w:r w:rsidRPr="00A81F9F">
        <w:rPr>
          <w:color w:val="000000"/>
          <w:shd w:val="clear" w:color="auto" w:fill="FFFFFF"/>
        </w:rPr>
        <w:t xml:space="preserve">-2008 гг. начался его рост со среднегодовым темпом </w:t>
      </w:r>
      <w:r w:rsidRPr="00A81F9F">
        <w:rPr>
          <w:b/>
          <w:bCs/>
          <w:color w:val="000000"/>
          <w:shd w:val="clear" w:color="auto" w:fill="FFFFFF"/>
        </w:rPr>
        <w:t xml:space="preserve"> </w:t>
      </w:r>
      <w:r w:rsidR="00B36044">
        <w:rPr>
          <w:b/>
          <w:bCs/>
          <w:color w:val="000000"/>
          <w:shd w:val="clear" w:color="auto" w:fill="FFFFFF"/>
        </w:rPr>
        <w:t>3</w:t>
      </w:r>
      <w:r w:rsidR="0087070D">
        <w:rPr>
          <w:b/>
          <w:bCs/>
          <w:color w:val="000000"/>
          <w:shd w:val="clear" w:color="auto" w:fill="FFFFFF"/>
        </w:rPr>
        <w:t>,</w:t>
      </w:r>
      <w:r w:rsidR="00554515">
        <w:rPr>
          <w:b/>
          <w:bCs/>
          <w:color w:val="000000"/>
          <w:shd w:val="clear" w:color="auto" w:fill="FFFFFF"/>
        </w:rPr>
        <w:t>8</w:t>
      </w:r>
      <w:r w:rsidR="00EE283D" w:rsidRPr="000C4BED">
        <w:rPr>
          <w:b/>
          <w:bCs/>
          <w:color w:val="000000"/>
          <w:shd w:val="clear" w:color="auto" w:fill="FFFFFF"/>
        </w:rPr>
        <w:t>%</w:t>
      </w:r>
      <w:r w:rsidR="000C4BED">
        <w:rPr>
          <w:bCs/>
          <w:color w:val="000000"/>
          <w:shd w:val="clear" w:color="auto" w:fill="FFFFFF"/>
        </w:rPr>
        <w:t xml:space="preserve"> </w:t>
      </w:r>
      <w:r w:rsidR="000C4BED" w:rsidRPr="000C4BED">
        <w:rPr>
          <w:bCs/>
          <w:color w:val="000000"/>
          <w:shd w:val="clear" w:color="auto" w:fill="FFFFFF"/>
        </w:rPr>
        <w:t>(3,5% с учетом 2010-2012 гг.)</w:t>
      </w:r>
      <w:r w:rsidR="000C4BED">
        <w:rPr>
          <w:bCs/>
          <w:color w:val="000000"/>
          <w:shd w:val="clear" w:color="auto" w:fill="FFFFFF"/>
        </w:rPr>
        <w:t>.</w:t>
      </w:r>
      <w:r w:rsidR="00EE283D">
        <w:rPr>
          <w:b/>
          <w:bCs/>
          <w:color w:val="000000"/>
          <w:shd w:val="clear" w:color="auto" w:fill="FFFFFF"/>
        </w:rPr>
        <w:t xml:space="preserve"> </w:t>
      </w:r>
      <w:r w:rsidR="000C4BED">
        <w:rPr>
          <w:color w:val="000000"/>
          <w:shd w:val="clear" w:color="auto" w:fill="FFFFFF"/>
        </w:rPr>
        <w:t>П</w:t>
      </w:r>
      <w:r w:rsidRPr="00A81F9F">
        <w:rPr>
          <w:color w:val="000000"/>
          <w:shd w:val="clear" w:color="auto" w:fill="FFFFFF"/>
        </w:rPr>
        <w:t xml:space="preserve">ри этом,  в  Москве – </w:t>
      </w:r>
      <w:r w:rsidR="00EE283D">
        <w:rPr>
          <w:color w:val="000000"/>
          <w:shd w:val="clear" w:color="auto" w:fill="FFFFFF"/>
        </w:rPr>
        <w:t>3,6</w:t>
      </w:r>
      <w:r w:rsidRPr="00A81F9F">
        <w:rPr>
          <w:color w:val="000000"/>
          <w:shd w:val="clear" w:color="auto" w:fill="FFFFFF"/>
        </w:rPr>
        <w:t>%  и в Московской обл. – 4,</w:t>
      </w:r>
      <w:r w:rsidR="00EE283D">
        <w:rPr>
          <w:color w:val="000000"/>
          <w:shd w:val="clear" w:color="auto" w:fill="FFFFFF"/>
        </w:rPr>
        <w:t>3</w:t>
      </w:r>
      <w:r w:rsidRPr="00A81F9F">
        <w:rPr>
          <w:color w:val="000000"/>
          <w:shd w:val="clear" w:color="auto" w:fill="FFFFFF"/>
        </w:rPr>
        <w:t>%</w:t>
      </w:r>
      <w:r w:rsidRPr="00A81F9F">
        <w:rPr>
          <w:b/>
          <w:bCs/>
          <w:color w:val="000000"/>
          <w:shd w:val="clear" w:color="auto" w:fill="FFFFFF"/>
        </w:rPr>
        <w:t xml:space="preserve">, </w:t>
      </w:r>
      <w:r w:rsidRPr="00A81F9F">
        <w:rPr>
          <w:color w:val="000000"/>
          <w:shd w:val="clear" w:color="auto" w:fill="FFFFFF"/>
        </w:rPr>
        <w:t xml:space="preserve">что значительно выше, чем  в среднем по России – </w:t>
      </w:r>
      <w:r w:rsidRPr="00A460CE">
        <w:rPr>
          <w:b/>
          <w:color w:val="000000"/>
          <w:shd w:val="clear" w:color="auto" w:fill="FFFFFF"/>
        </w:rPr>
        <w:t>2,37%</w:t>
      </w:r>
      <w:r>
        <w:rPr>
          <w:color w:val="000000"/>
          <w:shd w:val="clear" w:color="auto" w:fill="FFFFFF"/>
        </w:rPr>
        <w:t xml:space="preserve"> (см. рис. 10</w:t>
      </w:r>
      <w:r w:rsidRPr="00A81F9F">
        <w:rPr>
          <w:color w:val="000000"/>
          <w:shd w:val="clear" w:color="auto" w:fill="FFFFFF"/>
        </w:rPr>
        <w:t xml:space="preserve">) и в среднем по ОЭС Центра - </w:t>
      </w:r>
      <w:r w:rsidRPr="00A460CE">
        <w:rPr>
          <w:b/>
          <w:color w:val="000000"/>
          <w:shd w:val="clear" w:color="auto" w:fill="FFFFFF"/>
        </w:rPr>
        <w:t>2,65%.</w:t>
      </w:r>
    </w:p>
    <w:p w:rsidR="00BD45CD" w:rsidRDefault="00B715ED" w:rsidP="00BD45CD">
      <w:pPr>
        <w:ind w:firstLine="720"/>
        <w:jc w:val="both"/>
        <w:rPr>
          <w:color w:val="000000"/>
          <w:shd w:val="clear" w:color="auto" w:fill="FFFFFF"/>
        </w:rPr>
      </w:pPr>
      <w:r w:rsidRPr="00A81F9F">
        <w:rPr>
          <w:color w:val="000000"/>
          <w:shd w:val="clear" w:color="auto" w:fill="FFFFFF"/>
        </w:rPr>
        <w:t xml:space="preserve">В 2009 г. снижение электропотребления в Московском регионе составило </w:t>
      </w:r>
      <w:r>
        <w:rPr>
          <w:color w:val="000000"/>
          <w:shd w:val="clear" w:color="auto" w:fill="FFFFFF"/>
        </w:rPr>
        <w:t>2,0</w:t>
      </w:r>
      <w:r w:rsidRPr="00A81F9F">
        <w:rPr>
          <w:color w:val="000000"/>
          <w:shd w:val="clear" w:color="auto" w:fill="FFFFFF"/>
        </w:rPr>
        <w:t>% против 4% по ОЭС Центра и 4,46% в среднем по России. В 2010 г. величина электропотребления в М</w:t>
      </w:r>
      <w:r>
        <w:rPr>
          <w:color w:val="000000"/>
          <w:shd w:val="clear" w:color="auto" w:fill="FFFFFF"/>
        </w:rPr>
        <w:t xml:space="preserve">осковском регионе достигла 97,7 млрд. кВт•ч, что на </w:t>
      </w:r>
      <w:r w:rsidR="000B08E6">
        <w:rPr>
          <w:color w:val="000000"/>
          <w:shd w:val="clear" w:color="auto" w:fill="FFFFFF"/>
        </w:rPr>
        <w:t>3,9</w:t>
      </w:r>
      <w:r w:rsidRPr="00A81F9F">
        <w:rPr>
          <w:color w:val="000000"/>
          <w:shd w:val="clear" w:color="auto" w:fill="FFFFFF"/>
        </w:rPr>
        <w:t xml:space="preserve">% превысило величину электропотребления 2009 года (по данным </w:t>
      </w:r>
      <w:r>
        <w:rPr>
          <w:color w:val="000000"/>
          <w:shd w:val="clear" w:color="auto" w:fill="FFFFFF"/>
        </w:rPr>
        <w:t>СО ЕЭС России</w:t>
      </w:r>
      <w:r w:rsidRPr="00A81F9F">
        <w:rPr>
          <w:color w:val="000000"/>
          <w:shd w:val="clear" w:color="auto" w:fill="FFFFFF"/>
        </w:rPr>
        <w:t>).</w:t>
      </w:r>
    </w:p>
    <w:p w:rsidR="00BD45CD" w:rsidRDefault="003E119C" w:rsidP="00BD45CD">
      <w:pPr>
        <w:ind w:firstLine="720"/>
        <w:jc w:val="both"/>
      </w:pPr>
      <w:r>
        <w:rPr>
          <w:color w:val="000000"/>
        </w:rPr>
        <w:t>Для Московского региона (в 2012</w:t>
      </w:r>
      <w:r w:rsidR="009478DB" w:rsidRPr="00A81F9F">
        <w:rPr>
          <w:color w:val="000000"/>
        </w:rPr>
        <w:t xml:space="preserve"> г.</w:t>
      </w:r>
      <w:r w:rsidR="00470427">
        <w:rPr>
          <w:color w:val="000000"/>
        </w:rPr>
        <w:t>, данные Росстата 2013 год</w:t>
      </w:r>
      <w:r w:rsidR="009478DB" w:rsidRPr="00A81F9F">
        <w:rPr>
          <w:color w:val="000000"/>
        </w:rPr>
        <w:t xml:space="preserve">) характерна низкая доля </w:t>
      </w:r>
      <w:r w:rsidR="00CA3F91">
        <w:rPr>
          <w:color w:val="000000"/>
        </w:rPr>
        <w:t xml:space="preserve">электропотребления </w:t>
      </w:r>
      <w:r w:rsidR="00132B5B">
        <w:rPr>
          <w:color w:val="000000"/>
        </w:rPr>
        <w:t>в промышленности — 34,3</w:t>
      </w:r>
      <w:r w:rsidR="009478DB" w:rsidRPr="00A81F9F">
        <w:rPr>
          <w:color w:val="000000"/>
        </w:rPr>
        <w:t>%</w:t>
      </w:r>
      <w:r w:rsidR="00EE283D">
        <w:rPr>
          <w:color w:val="000000"/>
        </w:rPr>
        <w:t>,</w:t>
      </w:r>
      <w:r w:rsidR="00EE283D" w:rsidRPr="00EE283D">
        <w:rPr>
          <w:color w:val="000000"/>
        </w:rPr>
        <w:t xml:space="preserve"> </w:t>
      </w:r>
      <w:r w:rsidR="00EE283D">
        <w:rPr>
          <w:color w:val="000000"/>
        </w:rPr>
        <w:t>при 53,9</w:t>
      </w:r>
      <w:r w:rsidR="00EE283D" w:rsidRPr="00A81F9F">
        <w:rPr>
          <w:color w:val="000000"/>
        </w:rPr>
        <w:t>% в среднем по стране</w:t>
      </w:r>
      <w:r w:rsidR="00EE283D">
        <w:rPr>
          <w:color w:val="000000"/>
        </w:rPr>
        <w:t>,</w:t>
      </w:r>
      <w:r w:rsidR="009478DB" w:rsidRPr="00A81F9F">
        <w:rPr>
          <w:color w:val="000000"/>
        </w:rPr>
        <w:t xml:space="preserve"> в структуре суммарного электропотреб</w:t>
      </w:r>
      <w:r w:rsidR="00132B5B">
        <w:rPr>
          <w:color w:val="000000"/>
        </w:rPr>
        <w:t>ления (брутто),т.е. включая потери в сетях</w:t>
      </w:r>
      <w:r w:rsidR="009478DB" w:rsidRPr="00A81F9F">
        <w:rPr>
          <w:color w:val="000000"/>
        </w:rPr>
        <w:t>.</w:t>
      </w:r>
      <w:r w:rsidR="00EE283D">
        <w:rPr>
          <w:color w:val="000000"/>
        </w:rPr>
        <w:t xml:space="preserve"> При этом в Москве доля промышленности составляет только 30,6%, а в Московской области – 39%.  </w:t>
      </w:r>
      <w:r w:rsidR="009478DB" w:rsidRPr="00A81F9F">
        <w:rPr>
          <w:color w:val="000000"/>
        </w:rPr>
        <w:t xml:space="preserve">Характерная особенность структуры промышленного электропотребления </w:t>
      </w:r>
      <w:r w:rsidR="00EE283D">
        <w:rPr>
          <w:color w:val="000000"/>
        </w:rPr>
        <w:t xml:space="preserve">в </w:t>
      </w:r>
      <w:r w:rsidR="009478DB" w:rsidRPr="00A81F9F">
        <w:rPr>
          <w:color w:val="000000"/>
        </w:rPr>
        <w:t>Московско</w:t>
      </w:r>
      <w:r w:rsidR="00EE283D">
        <w:rPr>
          <w:color w:val="000000"/>
        </w:rPr>
        <w:t xml:space="preserve">м </w:t>
      </w:r>
      <w:r w:rsidR="009478DB" w:rsidRPr="00A81F9F">
        <w:rPr>
          <w:color w:val="000000"/>
        </w:rPr>
        <w:t>регион</w:t>
      </w:r>
      <w:r w:rsidR="00EE283D">
        <w:rPr>
          <w:color w:val="000000"/>
        </w:rPr>
        <w:t>е</w:t>
      </w:r>
      <w:r w:rsidR="009478DB" w:rsidRPr="00A81F9F">
        <w:rPr>
          <w:color w:val="000000"/>
        </w:rPr>
        <w:t xml:space="preserve"> — высокая доля прочих производств (16—17% при 4,4% в среднем по России; данные - </w:t>
      </w:r>
      <w:hyperlink r:id="rId64" w:history="1">
        <w:r w:rsidR="009478DB" w:rsidRPr="00A81F9F">
          <w:t>Шульгин</w:t>
        </w:r>
        <w:r w:rsidR="00837BCA">
          <w:t>ов</w:t>
        </w:r>
        <w:r w:rsidR="000A7E59">
          <w:t xml:space="preserve"> Н. И</w:t>
        </w:r>
        <w:r w:rsidR="009478DB" w:rsidRPr="00A81F9F">
          <w:t>., Кучеров Ю.Н. и др.</w:t>
        </w:r>
        <w:r w:rsidR="009478DB" w:rsidRPr="00A81F9F">
          <w:rPr>
            <w:rStyle w:val="a4"/>
          </w:rPr>
          <w:t xml:space="preserve"> </w:t>
        </w:r>
        <w:r w:rsidR="009478DB" w:rsidRPr="00A81F9F">
          <w:t xml:space="preserve">«Перспективы развития высоковольтных сетей на примере Московского региона», </w:t>
        </w:r>
        <w:r w:rsidR="009478DB" w:rsidRPr="00A81F9F">
          <w:rPr>
            <w:rStyle w:val="a4"/>
          </w:rPr>
          <w:t>«Электроэнергия. Передача и распределение»</w:t>
        </w:r>
      </w:hyperlink>
      <w:r w:rsidR="009478DB" w:rsidRPr="00A81F9F">
        <w:rPr>
          <w:rStyle w:val="apple-converted-space"/>
        </w:rPr>
        <w:t>  </w:t>
      </w:r>
      <w:hyperlink r:id="rId65" w:history="1">
        <w:r w:rsidR="009478DB" w:rsidRPr="00A81F9F">
          <w:rPr>
            <w:rStyle w:val="a4"/>
          </w:rPr>
          <w:t xml:space="preserve"> №6, 2011</w:t>
        </w:r>
      </w:hyperlink>
      <w:r w:rsidR="00EE283D">
        <w:rPr>
          <w:color w:val="000000"/>
        </w:rPr>
        <w:t>). Это</w:t>
      </w:r>
      <w:r w:rsidR="009478DB" w:rsidRPr="00A81F9F">
        <w:rPr>
          <w:color w:val="000000"/>
        </w:rPr>
        <w:t xml:space="preserve"> определяется концентрацией научно-производственных центров</w:t>
      </w:r>
      <w:r w:rsidR="00EE283D">
        <w:rPr>
          <w:color w:val="000000"/>
        </w:rPr>
        <w:t xml:space="preserve"> </w:t>
      </w:r>
      <w:r w:rsidR="00EE283D" w:rsidRPr="00A81F9F">
        <w:rPr>
          <w:color w:val="000000"/>
        </w:rPr>
        <w:t>в регионе</w:t>
      </w:r>
      <w:r w:rsidR="009478DB" w:rsidRPr="00A81F9F">
        <w:rPr>
          <w:color w:val="000000"/>
        </w:rPr>
        <w:t xml:space="preserve">. </w:t>
      </w:r>
      <w:r w:rsidR="00EE283D">
        <w:rPr>
          <w:color w:val="000000"/>
        </w:rPr>
        <w:t>Кроме того, в</w:t>
      </w:r>
      <w:r w:rsidR="00EE4652">
        <w:rPr>
          <w:color w:val="000000"/>
        </w:rPr>
        <w:t xml:space="preserve"> р</w:t>
      </w:r>
      <w:r w:rsidR="009478DB" w:rsidRPr="00A81F9F">
        <w:rPr>
          <w:color w:val="000000"/>
        </w:rPr>
        <w:t>егион</w:t>
      </w:r>
      <w:r w:rsidR="00EE4652">
        <w:rPr>
          <w:color w:val="000000"/>
        </w:rPr>
        <w:t>е</w:t>
      </w:r>
      <w:r w:rsidR="009478DB" w:rsidRPr="00A81F9F">
        <w:rPr>
          <w:color w:val="000000"/>
        </w:rPr>
        <w:t xml:space="preserve"> </w:t>
      </w:r>
      <w:r w:rsidR="00EE4652">
        <w:rPr>
          <w:color w:val="000000"/>
        </w:rPr>
        <w:t xml:space="preserve">имеет место более высокая доля электропотребления домашних хозяйств 19,6% </w:t>
      </w:r>
      <w:r w:rsidR="00464D42">
        <w:rPr>
          <w:color w:val="000000"/>
        </w:rPr>
        <w:t>и сферы услуг —</w:t>
      </w:r>
      <w:r w:rsidR="00EE283D">
        <w:rPr>
          <w:color w:val="000000"/>
        </w:rPr>
        <w:t xml:space="preserve"> </w:t>
      </w:r>
      <w:r w:rsidR="00464D42">
        <w:rPr>
          <w:color w:val="000000"/>
        </w:rPr>
        <w:t>23</w:t>
      </w:r>
      <w:r w:rsidR="009478DB" w:rsidRPr="00A81F9F">
        <w:rPr>
          <w:color w:val="000000"/>
        </w:rPr>
        <w:t>,3%</w:t>
      </w:r>
      <w:r w:rsidR="002C2AC7">
        <w:rPr>
          <w:color w:val="000000"/>
        </w:rPr>
        <w:t xml:space="preserve"> , </w:t>
      </w:r>
      <w:r w:rsidR="00740849">
        <w:rPr>
          <w:color w:val="000000"/>
        </w:rPr>
        <w:t>(</w:t>
      </w:r>
      <w:r w:rsidR="00464D42">
        <w:rPr>
          <w:color w:val="000000"/>
        </w:rPr>
        <w:t>суммарно – 42</w:t>
      </w:r>
      <w:r w:rsidR="002C2AC7">
        <w:rPr>
          <w:color w:val="000000"/>
        </w:rPr>
        <w:t xml:space="preserve">,9% </w:t>
      </w:r>
      <w:r w:rsidR="00740849">
        <w:rPr>
          <w:color w:val="000000"/>
        </w:rPr>
        <w:t xml:space="preserve">) </w:t>
      </w:r>
      <w:r w:rsidR="00EE283D">
        <w:rPr>
          <w:color w:val="000000"/>
        </w:rPr>
        <w:t xml:space="preserve">при </w:t>
      </w:r>
      <w:r w:rsidR="00740849">
        <w:rPr>
          <w:color w:val="000000"/>
        </w:rPr>
        <w:t>среднем по стране</w:t>
      </w:r>
      <w:r w:rsidR="00EE283D">
        <w:rPr>
          <w:color w:val="000000"/>
        </w:rPr>
        <w:t>, соответственно,</w:t>
      </w:r>
      <w:r w:rsidR="00740849">
        <w:rPr>
          <w:color w:val="000000"/>
        </w:rPr>
        <w:t xml:space="preserve"> 12,9%</w:t>
      </w:r>
      <w:r w:rsidR="00EE283D">
        <w:rPr>
          <w:color w:val="000000"/>
        </w:rPr>
        <w:t xml:space="preserve">; и </w:t>
      </w:r>
      <w:r w:rsidR="00E502DC">
        <w:rPr>
          <w:color w:val="000000"/>
        </w:rPr>
        <w:t>12</w:t>
      </w:r>
      <w:r w:rsidR="009478DB" w:rsidRPr="00A81F9F">
        <w:rPr>
          <w:color w:val="000000"/>
        </w:rPr>
        <w:t xml:space="preserve">% </w:t>
      </w:r>
      <w:r w:rsidR="00EE283D">
        <w:rPr>
          <w:color w:val="000000"/>
        </w:rPr>
        <w:t>(суммарно – 24,9%) - данные Росстата 2013г</w:t>
      </w:r>
      <w:r w:rsidR="009478DB" w:rsidRPr="00A81F9F">
        <w:rPr>
          <w:color w:val="000000"/>
        </w:rPr>
        <w:t xml:space="preserve">. </w:t>
      </w:r>
      <w:r w:rsidR="00007876">
        <w:rPr>
          <w:color w:val="000000"/>
        </w:rPr>
        <w:t xml:space="preserve">При этом </w:t>
      </w:r>
      <w:r w:rsidR="00007876">
        <w:t>в</w:t>
      </w:r>
      <w:r w:rsidR="009478DB" w:rsidRPr="00A81F9F">
        <w:t xml:space="preserve"> Москве структура электропотребления следующая: население – </w:t>
      </w:r>
      <w:r w:rsidR="00DE0008">
        <w:t>21,3</w:t>
      </w:r>
      <w:r w:rsidR="009478DB" w:rsidRPr="00A81F9F">
        <w:t xml:space="preserve">%, сфера услуг – </w:t>
      </w:r>
      <w:r w:rsidR="00DE0008">
        <w:t>29,7</w:t>
      </w:r>
      <w:r w:rsidR="009478DB" w:rsidRPr="00A81F9F">
        <w:t xml:space="preserve">%; </w:t>
      </w:r>
      <w:r w:rsidR="00E800A0">
        <w:t>(суммарно 50%</w:t>
      </w:r>
      <w:r w:rsidR="00757113">
        <w:t>),</w:t>
      </w:r>
      <w:r w:rsidR="009478DB" w:rsidRPr="00A81F9F">
        <w:t xml:space="preserve"> в Моско</w:t>
      </w:r>
      <w:r w:rsidR="00E800A0">
        <w:t>вской обл., соответственно, – 17,5% и 15,1</w:t>
      </w:r>
      <w:r w:rsidR="009478DB" w:rsidRPr="00A81F9F">
        <w:t xml:space="preserve">% </w:t>
      </w:r>
      <w:r w:rsidR="00E800A0">
        <w:t>,(суммарно 32,6%)</w:t>
      </w:r>
      <w:r w:rsidR="00BD45CD">
        <w:t>.</w:t>
      </w:r>
    </w:p>
    <w:p w:rsidR="00BD45CD" w:rsidRDefault="003F5F76" w:rsidP="00BD45CD">
      <w:pPr>
        <w:ind w:firstLine="720"/>
        <w:jc w:val="both"/>
      </w:pPr>
      <w:r>
        <w:t>В 2012 в</w:t>
      </w:r>
      <w:r w:rsidR="00757113">
        <w:t xml:space="preserve"> Москве удельное </w:t>
      </w:r>
      <w:r>
        <w:t>электро</w:t>
      </w:r>
      <w:r w:rsidR="00757113">
        <w:t xml:space="preserve">потребление населения, т.е. приходящееся на 1 человека </w:t>
      </w:r>
      <w:r w:rsidR="00007876">
        <w:t>равнялось</w:t>
      </w:r>
      <w:r w:rsidR="00757113">
        <w:t xml:space="preserve">  </w:t>
      </w:r>
      <w:r w:rsidR="009478DB" w:rsidRPr="00A81F9F">
        <w:t xml:space="preserve"> </w:t>
      </w:r>
      <w:r w:rsidR="00757113" w:rsidRPr="00757113">
        <w:rPr>
          <w:b/>
        </w:rPr>
        <w:t>970</w:t>
      </w:r>
      <w:r w:rsidR="00757113">
        <w:t xml:space="preserve"> </w:t>
      </w:r>
      <w:r w:rsidR="009478DB" w:rsidRPr="00A81F9F">
        <w:rPr>
          <w:b/>
          <w:bCs/>
        </w:rPr>
        <w:t>кВт.ч</w:t>
      </w:r>
      <w:r w:rsidR="009478DB" w:rsidRPr="00A81F9F">
        <w:t>.</w:t>
      </w:r>
      <w:r>
        <w:t xml:space="preserve"> </w:t>
      </w:r>
      <w:r w:rsidR="00757113">
        <w:t>в год</w:t>
      </w:r>
      <w:r w:rsidR="009478DB" w:rsidRPr="00A81F9F">
        <w:t xml:space="preserve"> и в Московской области  - </w:t>
      </w:r>
      <w:r>
        <w:rPr>
          <w:b/>
          <w:bCs/>
        </w:rPr>
        <w:t>102</w:t>
      </w:r>
      <w:r w:rsidR="009478DB" w:rsidRPr="00A81F9F">
        <w:rPr>
          <w:b/>
          <w:bCs/>
        </w:rPr>
        <w:t>0 кВ</w:t>
      </w:r>
      <w:r>
        <w:rPr>
          <w:b/>
          <w:bCs/>
        </w:rPr>
        <w:t>т</w:t>
      </w:r>
      <w:r w:rsidR="009478DB" w:rsidRPr="00A81F9F">
        <w:rPr>
          <w:b/>
          <w:bCs/>
        </w:rPr>
        <w:t>.ч</w:t>
      </w:r>
      <w:r w:rsidR="00DE0008">
        <w:t>.</w:t>
      </w:r>
    </w:p>
    <w:p w:rsidR="009478DB" w:rsidRPr="00BD45CD" w:rsidRDefault="00EC48A6" w:rsidP="00BD45CD">
      <w:pPr>
        <w:ind w:firstLine="720"/>
        <w:jc w:val="both"/>
        <w:rPr>
          <w:color w:val="000000"/>
          <w:shd w:val="clear" w:color="auto" w:fill="FFFFFF"/>
        </w:rPr>
      </w:pPr>
      <w:r>
        <w:rPr>
          <w:color w:val="000000"/>
        </w:rPr>
        <w:t>В</w:t>
      </w:r>
      <w:r w:rsidR="008E1107">
        <w:rPr>
          <w:color w:val="000000"/>
        </w:rPr>
        <w:t xml:space="preserve"> Московском</w:t>
      </w:r>
      <w:r>
        <w:rPr>
          <w:color w:val="000000"/>
        </w:rPr>
        <w:t xml:space="preserve"> регионе достаточно высокая доля потерь в электросетях</w:t>
      </w:r>
      <w:r w:rsidRPr="00EC48A6">
        <w:rPr>
          <w:b/>
          <w:color w:val="000000"/>
        </w:rPr>
        <w:t>- 12,2%</w:t>
      </w:r>
      <w:r>
        <w:rPr>
          <w:color w:val="000000"/>
        </w:rPr>
        <w:t xml:space="preserve"> при </w:t>
      </w:r>
      <w:r w:rsidRPr="00EC48A6">
        <w:rPr>
          <w:b/>
          <w:color w:val="000000"/>
        </w:rPr>
        <w:t>10%</w:t>
      </w:r>
      <w:r>
        <w:rPr>
          <w:color w:val="000000"/>
        </w:rPr>
        <w:t xml:space="preserve"> в среднем по стране.</w:t>
      </w:r>
    </w:p>
    <w:p w:rsidR="009478DB" w:rsidRPr="00A81F9F" w:rsidRDefault="009478DB" w:rsidP="00BD45CD">
      <w:pPr>
        <w:pStyle w:val="3"/>
        <w:ind w:firstLine="720"/>
        <w:jc w:val="both"/>
      </w:pPr>
      <w:bookmarkStart w:id="80" w:name="_Toc370759793"/>
      <w:bookmarkStart w:id="81" w:name="_Toc374557800"/>
      <w:r w:rsidRPr="00A81F9F">
        <w:t>9.1. Связь между электропотреблением и ВРП</w:t>
      </w:r>
      <w:bookmarkEnd w:id="80"/>
      <w:r w:rsidR="00EE283D">
        <w:t xml:space="preserve"> в Москве, Московской области и суммарно в Московском регионе.</w:t>
      </w:r>
      <w:bookmarkEnd w:id="81"/>
    </w:p>
    <w:p w:rsidR="00EE283D" w:rsidRDefault="00EE283D" w:rsidP="00EE283D">
      <w:pPr>
        <w:pStyle w:val="af1"/>
        <w:shd w:val="clear" w:color="auto" w:fill="FFFFFF"/>
        <w:spacing w:before="0" w:beforeAutospacing="0" w:after="0" w:afterAutospacing="0"/>
        <w:jc w:val="both"/>
        <w:rPr>
          <w:color w:val="000000"/>
        </w:rPr>
      </w:pPr>
    </w:p>
    <w:p w:rsidR="00EE283D" w:rsidRDefault="008B3FC1" w:rsidP="00D10EC0">
      <w:pPr>
        <w:pStyle w:val="af1"/>
        <w:shd w:val="clear" w:color="auto" w:fill="FFFFFF"/>
        <w:spacing w:before="0" w:beforeAutospacing="0" w:after="0" w:afterAutospacing="0"/>
        <w:ind w:firstLine="720"/>
        <w:jc w:val="both"/>
        <w:rPr>
          <w:color w:val="000000"/>
        </w:rPr>
      </w:pPr>
      <w:r>
        <w:rPr>
          <w:color w:val="000000"/>
        </w:rPr>
        <w:t>П</w:t>
      </w:r>
      <w:r w:rsidR="00823A4C">
        <w:rPr>
          <w:color w:val="000000"/>
        </w:rPr>
        <w:t>рогноз</w:t>
      </w:r>
      <w:r w:rsidR="009478DB" w:rsidRPr="00A81F9F">
        <w:rPr>
          <w:color w:val="000000"/>
        </w:rPr>
        <w:t xml:space="preserve"> электропотребления</w:t>
      </w:r>
      <w:r w:rsidR="00F77BC3">
        <w:rPr>
          <w:color w:val="000000"/>
        </w:rPr>
        <w:t xml:space="preserve"> </w:t>
      </w:r>
      <w:r w:rsidR="009478DB" w:rsidRPr="00A81F9F">
        <w:rPr>
          <w:color w:val="000000"/>
        </w:rPr>
        <w:t>в</w:t>
      </w:r>
      <w:r w:rsidR="00EE283D">
        <w:rPr>
          <w:color w:val="000000"/>
        </w:rPr>
        <w:t xml:space="preserve"> Москве, Московской области и </w:t>
      </w:r>
      <w:r w:rsidR="009478DB" w:rsidRPr="00A81F9F">
        <w:rPr>
          <w:color w:val="000000"/>
        </w:rPr>
        <w:t>Московском регионе</w:t>
      </w:r>
      <w:r w:rsidR="00823A4C">
        <w:rPr>
          <w:color w:val="000000"/>
        </w:rPr>
        <w:t xml:space="preserve"> </w:t>
      </w:r>
      <w:r w:rsidR="00823A4C" w:rsidRPr="00A81F9F">
        <w:rPr>
          <w:color w:val="000000"/>
        </w:rPr>
        <w:t>на период до 2020 – 2022гг</w:t>
      </w:r>
      <w:r w:rsidR="00260496">
        <w:rPr>
          <w:color w:val="000000"/>
        </w:rPr>
        <w:t xml:space="preserve">., </w:t>
      </w:r>
      <w:r w:rsidR="00AB01A0">
        <w:rPr>
          <w:color w:val="000000"/>
        </w:rPr>
        <w:t xml:space="preserve">можно </w:t>
      </w:r>
      <w:r>
        <w:rPr>
          <w:color w:val="000000"/>
        </w:rPr>
        <w:t xml:space="preserve">провести </w:t>
      </w:r>
      <w:r w:rsidR="00EE283D">
        <w:rPr>
          <w:color w:val="000000"/>
        </w:rPr>
        <w:t>с использованием</w:t>
      </w:r>
      <w:r>
        <w:rPr>
          <w:color w:val="000000"/>
        </w:rPr>
        <w:t xml:space="preserve"> той же самой</w:t>
      </w:r>
      <w:r w:rsidR="00EA3DA3">
        <w:rPr>
          <w:color w:val="000000"/>
        </w:rPr>
        <w:t xml:space="preserve"> </w:t>
      </w:r>
      <w:r w:rsidR="00AB01A0">
        <w:rPr>
          <w:color w:val="000000"/>
        </w:rPr>
        <w:t>методологи</w:t>
      </w:r>
      <w:r>
        <w:rPr>
          <w:color w:val="000000"/>
        </w:rPr>
        <w:t>и</w:t>
      </w:r>
      <w:r w:rsidR="00EA3DA3">
        <w:rPr>
          <w:color w:val="000000"/>
        </w:rPr>
        <w:t>, которая была разработана при выполнении прогноза электропотребле</w:t>
      </w:r>
      <w:r w:rsidR="00EE283D">
        <w:rPr>
          <w:color w:val="000000"/>
        </w:rPr>
        <w:t xml:space="preserve">ния во всей стране </w:t>
      </w:r>
      <w:r w:rsidR="00AB01A0">
        <w:rPr>
          <w:color w:val="000000"/>
        </w:rPr>
        <w:t>(см. Раздел 2).</w:t>
      </w:r>
      <w:r>
        <w:rPr>
          <w:color w:val="000000"/>
        </w:rPr>
        <w:t xml:space="preserve"> Для этого необходимо определить с</w:t>
      </w:r>
      <w:r w:rsidR="00260496">
        <w:rPr>
          <w:color w:val="000000"/>
        </w:rPr>
        <w:t>реднегодов</w:t>
      </w:r>
      <w:r w:rsidR="00EE283D">
        <w:rPr>
          <w:color w:val="000000"/>
        </w:rPr>
        <w:t>ые</w:t>
      </w:r>
      <w:r w:rsidR="00260496">
        <w:rPr>
          <w:color w:val="000000"/>
        </w:rPr>
        <w:t xml:space="preserve"> </w:t>
      </w:r>
      <w:r w:rsidR="009478DB" w:rsidRPr="00A81F9F">
        <w:rPr>
          <w:color w:val="000000"/>
        </w:rPr>
        <w:t xml:space="preserve"> коэффициент</w:t>
      </w:r>
      <w:r w:rsidR="00EE283D">
        <w:rPr>
          <w:color w:val="000000"/>
        </w:rPr>
        <w:t>ы</w:t>
      </w:r>
      <w:r w:rsidR="009478DB" w:rsidRPr="00A81F9F">
        <w:rPr>
          <w:color w:val="000000"/>
        </w:rPr>
        <w:t xml:space="preserve"> эластичности электропотребления</w:t>
      </w:r>
      <w:r w:rsidR="00EE283D">
        <w:rPr>
          <w:color w:val="000000"/>
        </w:rPr>
        <w:t xml:space="preserve"> к ВРП</w:t>
      </w:r>
      <w:r w:rsidR="00653CAE">
        <w:rPr>
          <w:color w:val="000000"/>
        </w:rPr>
        <w:t xml:space="preserve"> в</w:t>
      </w:r>
      <w:r w:rsidR="00EE283D">
        <w:rPr>
          <w:color w:val="000000"/>
        </w:rPr>
        <w:t xml:space="preserve"> этих</w:t>
      </w:r>
      <w:r w:rsidR="00653CAE">
        <w:rPr>
          <w:color w:val="000000"/>
        </w:rPr>
        <w:t xml:space="preserve"> регион</w:t>
      </w:r>
      <w:r w:rsidR="00EE283D">
        <w:rPr>
          <w:color w:val="000000"/>
        </w:rPr>
        <w:t>ах</w:t>
      </w:r>
      <w:r w:rsidR="00225F24">
        <w:rPr>
          <w:color w:val="000000"/>
        </w:rPr>
        <w:t xml:space="preserve"> в предыдущий период 1997-2012гг</w:t>
      </w:r>
      <w:r w:rsidR="00EE283D">
        <w:rPr>
          <w:color w:val="000000"/>
        </w:rPr>
        <w:t>.</w:t>
      </w:r>
    </w:p>
    <w:p w:rsidR="00EE283D" w:rsidRDefault="00EE283D" w:rsidP="00D10EC0">
      <w:pPr>
        <w:pStyle w:val="af1"/>
        <w:shd w:val="clear" w:color="auto" w:fill="FFFFFF"/>
        <w:spacing w:before="0" w:beforeAutospacing="0" w:after="0" w:afterAutospacing="0"/>
        <w:ind w:firstLine="720"/>
        <w:jc w:val="both"/>
        <w:rPr>
          <w:color w:val="000000"/>
        </w:rPr>
      </w:pPr>
      <w:r>
        <w:rPr>
          <w:color w:val="000000"/>
        </w:rPr>
        <w:t xml:space="preserve"> </w:t>
      </w:r>
    </w:p>
    <w:p w:rsidR="00EE283D" w:rsidRPr="00EE283D" w:rsidRDefault="00EE283D" w:rsidP="00D10EC0">
      <w:pPr>
        <w:pStyle w:val="af1"/>
        <w:shd w:val="clear" w:color="auto" w:fill="FFFFFF"/>
        <w:spacing w:before="0" w:beforeAutospacing="0" w:after="0" w:afterAutospacing="0"/>
        <w:ind w:firstLine="720"/>
        <w:jc w:val="both"/>
        <w:rPr>
          <w:b/>
          <w:color w:val="000000"/>
        </w:rPr>
      </w:pPr>
      <w:r w:rsidRPr="00EE283D">
        <w:rPr>
          <w:b/>
          <w:color w:val="000000"/>
        </w:rPr>
        <w:t>9.1.1.</w:t>
      </w:r>
      <w:r w:rsidR="009478DB" w:rsidRPr="00EE283D">
        <w:rPr>
          <w:b/>
          <w:color w:val="000000"/>
        </w:rPr>
        <w:t xml:space="preserve"> </w:t>
      </w:r>
      <w:r w:rsidRPr="00EE283D">
        <w:rPr>
          <w:b/>
          <w:color w:val="000000"/>
        </w:rPr>
        <w:t>Связь между электропотреблением и ВРП</w:t>
      </w:r>
      <w:r w:rsidR="00E5627E">
        <w:rPr>
          <w:b/>
          <w:color w:val="000000"/>
        </w:rPr>
        <w:t>м</w:t>
      </w:r>
      <w:r w:rsidRPr="00EE283D">
        <w:rPr>
          <w:b/>
          <w:color w:val="000000"/>
        </w:rPr>
        <w:t xml:space="preserve"> в Москве. </w:t>
      </w:r>
    </w:p>
    <w:p w:rsidR="00EE283D" w:rsidRDefault="00EE283D" w:rsidP="00D10EC0">
      <w:pPr>
        <w:pStyle w:val="af1"/>
        <w:shd w:val="clear" w:color="auto" w:fill="FFFFFF"/>
        <w:spacing w:before="0" w:beforeAutospacing="0" w:after="0" w:afterAutospacing="0"/>
        <w:ind w:firstLine="720"/>
        <w:jc w:val="both"/>
        <w:rPr>
          <w:color w:val="000000"/>
        </w:rPr>
      </w:pPr>
      <w:r>
        <w:rPr>
          <w:color w:val="000000"/>
        </w:rPr>
        <w:t xml:space="preserve"> </w:t>
      </w:r>
    </w:p>
    <w:p w:rsidR="00EE283D" w:rsidRDefault="00EE283D" w:rsidP="00D10EC0">
      <w:pPr>
        <w:pStyle w:val="af1"/>
        <w:shd w:val="clear" w:color="auto" w:fill="FFFFFF"/>
        <w:spacing w:before="0" w:beforeAutospacing="0" w:after="0" w:afterAutospacing="0"/>
        <w:ind w:firstLine="720"/>
        <w:jc w:val="both"/>
        <w:rPr>
          <w:color w:val="000000"/>
        </w:rPr>
      </w:pPr>
      <w:r>
        <w:rPr>
          <w:color w:val="000000"/>
        </w:rPr>
        <w:t>На рис. 48 показана динамика ИОК</w:t>
      </w:r>
      <w:r w:rsidR="00F134E3">
        <w:rPr>
          <w:color w:val="000000"/>
        </w:rPr>
        <w:t>м</w:t>
      </w:r>
      <w:r>
        <w:rPr>
          <w:color w:val="000000"/>
        </w:rPr>
        <w:t>, ВРП</w:t>
      </w:r>
      <w:r w:rsidR="00F134E3">
        <w:rPr>
          <w:color w:val="000000"/>
        </w:rPr>
        <w:t>м</w:t>
      </w:r>
      <w:r>
        <w:rPr>
          <w:color w:val="000000"/>
        </w:rPr>
        <w:t xml:space="preserve"> и электропотребления</w:t>
      </w:r>
      <w:r w:rsidR="00F134E3">
        <w:rPr>
          <w:color w:val="000000"/>
        </w:rPr>
        <w:t xml:space="preserve"> Эм</w:t>
      </w:r>
      <w:r>
        <w:rPr>
          <w:color w:val="000000"/>
        </w:rPr>
        <w:t xml:space="preserve"> в Москве в период 1997-2012гг., отнесенные к 1997г. </w:t>
      </w:r>
    </w:p>
    <w:p w:rsidR="00EE283D" w:rsidRDefault="00B96607" w:rsidP="00EE283D">
      <w:pPr>
        <w:pStyle w:val="af1"/>
        <w:shd w:val="clear" w:color="auto" w:fill="FFFFFF"/>
        <w:spacing w:before="0" w:beforeAutospacing="0" w:after="0" w:afterAutospacing="0"/>
        <w:jc w:val="both"/>
        <w:rPr>
          <w:color w:val="000000"/>
        </w:rPr>
      </w:pPr>
      <w:r w:rsidRPr="00B96607">
        <w:rPr>
          <w:noProof/>
          <w:color w:val="000000"/>
        </w:rPr>
        <w:drawing>
          <wp:inline distT="0" distB="0" distL="0" distR="0">
            <wp:extent cx="5007428" cy="4933949"/>
            <wp:effectExtent l="19050" t="0" r="21772" b="1"/>
            <wp:docPr id="49"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EE283D" w:rsidRDefault="00EE283D" w:rsidP="00D10EC0">
      <w:pPr>
        <w:pStyle w:val="af1"/>
        <w:shd w:val="clear" w:color="auto" w:fill="FFFFFF"/>
        <w:spacing w:before="0" w:beforeAutospacing="0" w:after="0" w:afterAutospacing="0"/>
        <w:ind w:firstLine="720"/>
        <w:jc w:val="both"/>
        <w:rPr>
          <w:color w:val="000000"/>
        </w:rPr>
      </w:pPr>
    </w:p>
    <w:p w:rsidR="00EE283D" w:rsidRDefault="00EE283D" w:rsidP="00D10EC0">
      <w:pPr>
        <w:pStyle w:val="af1"/>
        <w:shd w:val="clear" w:color="auto" w:fill="FFFFFF"/>
        <w:spacing w:before="0" w:beforeAutospacing="0" w:after="0" w:afterAutospacing="0"/>
        <w:ind w:firstLine="720"/>
        <w:jc w:val="both"/>
        <w:rPr>
          <w:color w:val="000000"/>
        </w:rPr>
      </w:pPr>
      <w:r>
        <w:rPr>
          <w:color w:val="000000"/>
        </w:rPr>
        <w:t>Рис. 48. Динамика ИОК</w:t>
      </w:r>
      <w:r w:rsidR="00F134E3">
        <w:rPr>
          <w:color w:val="000000"/>
        </w:rPr>
        <w:t>м</w:t>
      </w:r>
      <w:r>
        <w:rPr>
          <w:color w:val="000000"/>
        </w:rPr>
        <w:t>, ВРП</w:t>
      </w:r>
      <w:r w:rsidR="00F134E3">
        <w:rPr>
          <w:color w:val="000000"/>
        </w:rPr>
        <w:t>м</w:t>
      </w:r>
      <w:r>
        <w:rPr>
          <w:color w:val="000000"/>
        </w:rPr>
        <w:t xml:space="preserve"> и электропотребления</w:t>
      </w:r>
      <w:r w:rsidR="00F134E3">
        <w:rPr>
          <w:color w:val="000000"/>
        </w:rPr>
        <w:t xml:space="preserve"> Эм</w:t>
      </w:r>
      <w:r>
        <w:rPr>
          <w:color w:val="000000"/>
        </w:rPr>
        <w:t xml:space="preserve"> в Москве в период 199</w:t>
      </w:r>
      <w:r w:rsidR="00BA2A9D">
        <w:rPr>
          <w:color w:val="000000"/>
        </w:rPr>
        <w:t>6</w:t>
      </w:r>
      <w:r>
        <w:rPr>
          <w:color w:val="000000"/>
        </w:rPr>
        <w:t>-2012гг., отнесенные к 199</w:t>
      </w:r>
      <w:r w:rsidR="00BA2A9D">
        <w:rPr>
          <w:color w:val="000000"/>
        </w:rPr>
        <w:t>6</w:t>
      </w:r>
      <w:r>
        <w:rPr>
          <w:color w:val="000000"/>
        </w:rPr>
        <w:t xml:space="preserve">г. </w:t>
      </w:r>
    </w:p>
    <w:p w:rsidR="00EE283D" w:rsidRDefault="00EE283D" w:rsidP="00D10EC0">
      <w:pPr>
        <w:pStyle w:val="af1"/>
        <w:shd w:val="clear" w:color="auto" w:fill="FFFFFF"/>
        <w:spacing w:before="0" w:beforeAutospacing="0" w:after="0" w:afterAutospacing="0"/>
        <w:ind w:firstLine="720"/>
        <w:jc w:val="both"/>
        <w:rPr>
          <w:color w:val="000000"/>
        </w:rPr>
      </w:pPr>
    </w:p>
    <w:p w:rsidR="00177F7C" w:rsidRDefault="00C24C5E" w:rsidP="00BD45CD">
      <w:pPr>
        <w:pStyle w:val="af1"/>
        <w:shd w:val="clear" w:color="auto" w:fill="FFFFFF"/>
        <w:spacing w:before="0" w:beforeAutospacing="0" w:after="0" w:afterAutospacing="0"/>
        <w:ind w:firstLine="851"/>
        <w:jc w:val="both"/>
        <w:rPr>
          <w:color w:val="000000"/>
        </w:rPr>
      </w:pPr>
      <w:r>
        <w:rPr>
          <w:color w:val="000000"/>
        </w:rPr>
        <w:t>Видно, что в</w:t>
      </w:r>
      <w:r w:rsidR="00556C45">
        <w:rPr>
          <w:color w:val="000000"/>
        </w:rPr>
        <w:t xml:space="preserve"> Москве в</w:t>
      </w:r>
      <w:r>
        <w:rPr>
          <w:color w:val="000000"/>
        </w:rPr>
        <w:t xml:space="preserve"> период 199</w:t>
      </w:r>
      <w:r w:rsidR="00BA2A9D">
        <w:rPr>
          <w:color w:val="000000"/>
        </w:rPr>
        <w:t>6</w:t>
      </w:r>
      <w:r>
        <w:rPr>
          <w:color w:val="000000"/>
        </w:rPr>
        <w:t>-2008гг. электропотребление росло практически линейно</w:t>
      </w:r>
      <w:r w:rsidR="00353CD9">
        <w:rPr>
          <w:color w:val="000000"/>
        </w:rPr>
        <w:t xml:space="preserve"> со среднегодовым темпом 3,8%</w:t>
      </w:r>
      <w:r w:rsidR="006401C5">
        <w:rPr>
          <w:color w:val="000000"/>
        </w:rPr>
        <w:t xml:space="preserve"> и увеличилось на</w:t>
      </w:r>
      <w:r w:rsidR="006169B4">
        <w:rPr>
          <w:color w:val="000000"/>
        </w:rPr>
        <w:t xml:space="preserve"> </w:t>
      </w:r>
      <w:r w:rsidR="002F52C9">
        <w:rPr>
          <w:color w:val="000000"/>
        </w:rPr>
        <w:t>55</w:t>
      </w:r>
      <w:r w:rsidR="006401C5">
        <w:rPr>
          <w:color w:val="000000"/>
        </w:rPr>
        <w:t>% по отношению к 199</w:t>
      </w:r>
      <w:r w:rsidR="00C6148F">
        <w:rPr>
          <w:color w:val="000000"/>
        </w:rPr>
        <w:t>6</w:t>
      </w:r>
      <w:r w:rsidR="006401C5">
        <w:rPr>
          <w:color w:val="000000"/>
        </w:rPr>
        <w:t xml:space="preserve">г. </w:t>
      </w:r>
      <w:r w:rsidR="00AA5000">
        <w:rPr>
          <w:color w:val="000000"/>
        </w:rPr>
        <w:t>При этом ВРП</w:t>
      </w:r>
      <w:r w:rsidR="00F134E3">
        <w:rPr>
          <w:color w:val="000000"/>
        </w:rPr>
        <w:t>м</w:t>
      </w:r>
      <w:r w:rsidR="00AA5000">
        <w:rPr>
          <w:color w:val="000000"/>
        </w:rPr>
        <w:t xml:space="preserve"> увеличилось на</w:t>
      </w:r>
      <w:r w:rsidR="002F52C9">
        <w:rPr>
          <w:color w:val="000000"/>
        </w:rPr>
        <w:t>152</w:t>
      </w:r>
      <w:r w:rsidR="00AA5000">
        <w:rPr>
          <w:color w:val="000000"/>
        </w:rPr>
        <w:t>%.</w:t>
      </w:r>
      <w:r w:rsidR="00F961B6">
        <w:rPr>
          <w:color w:val="000000"/>
        </w:rPr>
        <w:t xml:space="preserve"> Тогда, </w:t>
      </w:r>
      <w:r w:rsidR="00AA5000">
        <w:rPr>
          <w:color w:val="000000"/>
        </w:rPr>
        <w:t>приближенно, среднегодовой коэффициент эластичности энергопотребления к ВРП</w:t>
      </w:r>
      <w:r w:rsidR="00F134E3">
        <w:rPr>
          <w:color w:val="000000"/>
        </w:rPr>
        <w:t>м</w:t>
      </w:r>
      <w:r w:rsidR="00AA5000">
        <w:rPr>
          <w:color w:val="000000"/>
        </w:rPr>
        <w:t xml:space="preserve"> </w:t>
      </w:r>
      <w:r w:rsidR="001953B5">
        <w:rPr>
          <w:color w:val="000000"/>
        </w:rPr>
        <w:t>равняетс</w:t>
      </w:r>
      <w:r w:rsidR="00694666">
        <w:rPr>
          <w:color w:val="000000"/>
        </w:rPr>
        <w:t>я 5</w:t>
      </w:r>
      <w:r w:rsidR="002F52C9">
        <w:rPr>
          <w:color w:val="000000"/>
        </w:rPr>
        <w:t>5</w:t>
      </w:r>
      <w:r w:rsidR="00694666">
        <w:rPr>
          <w:color w:val="000000"/>
        </w:rPr>
        <w:t>%/152% = 0,3</w:t>
      </w:r>
      <w:r w:rsidR="002F52C9">
        <w:rPr>
          <w:color w:val="000000"/>
        </w:rPr>
        <w:t>6</w:t>
      </w:r>
      <w:r w:rsidR="00694666">
        <w:rPr>
          <w:color w:val="000000"/>
        </w:rPr>
        <w:t>.</w:t>
      </w:r>
      <w:r w:rsidR="002F52C9">
        <w:rPr>
          <w:color w:val="000000"/>
        </w:rPr>
        <w:t xml:space="preserve"> Б</w:t>
      </w:r>
      <w:r w:rsidR="001953B5">
        <w:rPr>
          <w:color w:val="000000"/>
        </w:rPr>
        <w:t>олее точно среднегодовой коэффициент эластичности энергопотребления ВРП</w:t>
      </w:r>
      <w:r w:rsidR="00F134E3">
        <w:rPr>
          <w:color w:val="000000"/>
        </w:rPr>
        <w:t>м</w:t>
      </w:r>
      <w:r w:rsidR="00694666">
        <w:rPr>
          <w:color w:val="000000"/>
        </w:rPr>
        <w:t xml:space="preserve"> </w:t>
      </w:r>
      <w:r w:rsidR="002F52C9">
        <w:rPr>
          <w:color w:val="000000"/>
        </w:rPr>
        <w:t>можно получить двумя способами: как отношение среднеарифметических значений ежегодных темпов изменения электропотребления и ВРП</w:t>
      </w:r>
      <w:r w:rsidR="00E52CA0">
        <w:rPr>
          <w:color w:val="000000"/>
        </w:rPr>
        <w:t xml:space="preserve"> </w:t>
      </w:r>
      <w:r w:rsidR="003E1BE6">
        <w:rPr>
          <w:color w:val="000000"/>
        </w:rPr>
        <w:t>или как среднеарифметическое значение ежегодных коэффициентов эластичности электропотребления к ВРП (</w:t>
      </w:r>
      <w:r w:rsidR="00E52CA0">
        <w:rPr>
          <w:color w:val="000000"/>
        </w:rPr>
        <w:t>отдельно в период роста и падения ВРП</w:t>
      </w:r>
      <w:r w:rsidR="003E1BE6">
        <w:rPr>
          <w:color w:val="000000"/>
        </w:rPr>
        <w:t>).</w:t>
      </w:r>
      <w:r w:rsidR="001953B5">
        <w:rPr>
          <w:color w:val="000000"/>
        </w:rPr>
        <w:t xml:space="preserve"> </w:t>
      </w:r>
    </w:p>
    <w:p w:rsidR="0013371A" w:rsidRDefault="001953B5" w:rsidP="00BD45CD">
      <w:pPr>
        <w:pStyle w:val="af1"/>
        <w:shd w:val="clear" w:color="auto" w:fill="FFFFFF"/>
        <w:spacing w:before="0" w:beforeAutospacing="0" w:after="0" w:afterAutospacing="0"/>
        <w:ind w:firstLine="851"/>
        <w:jc w:val="both"/>
        <w:rPr>
          <w:color w:val="000000"/>
        </w:rPr>
      </w:pPr>
      <w:r>
        <w:rPr>
          <w:color w:val="000000"/>
        </w:rPr>
        <w:t xml:space="preserve">На рис. </w:t>
      </w:r>
      <w:r w:rsidR="004316A1">
        <w:rPr>
          <w:color w:val="000000"/>
        </w:rPr>
        <w:t>49 (верхний)</w:t>
      </w:r>
      <w:r>
        <w:rPr>
          <w:color w:val="000000"/>
        </w:rPr>
        <w:t xml:space="preserve"> показаны </w:t>
      </w:r>
      <w:r w:rsidR="000964A4">
        <w:rPr>
          <w:color w:val="000000"/>
        </w:rPr>
        <w:t>ежегодные</w:t>
      </w:r>
      <w:r>
        <w:rPr>
          <w:color w:val="000000"/>
        </w:rPr>
        <w:t xml:space="preserve"> темпы изменения </w:t>
      </w:r>
      <w:r w:rsidR="000964A4">
        <w:rPr>
          <w:color w:val="000000"/>
        </w:rPr>
        <w:t>ВРП</w:t>
      </w:r>
      <w:r w:rsidR="00F134E3">
        <w:rPr>
          <w:color w:val="000000"/>
        </w:rPr>
        <w:t>м</w:t>
      </w:r>
      <w:r w:rsidR="000964A4">
        <w:rPr>
          <w:color w:val="000000"/>
        </w:rPr>
        <w:t xml:space="preserve"> и электропотребления</w:t>
      </w:r>
      <w:r w:rsidR="004316A1">
        <w:rPr>
          <w:color w:val="000000"/>
        </w:rPr>
        <w:t xml:space="preserve"> </w:t>
      </w:r>
      <w:r w:rsidR="00C33EA4">
        <w:rPr>
          <w:color w:val="000000"/>
        </w:rPr>
        <w:t>в период с 1997-2012 гг.</w:t>
      </w:r>
    </w:p>
    <w:p w:rsidR="00EE283D" w:rsidRDefault="0049642D" w:rsidP="00694666">
      <w:pPr>
        <w:pStyle w:val="af1"/>
        <w:shd w:val="clear" w:color="auto" w:fill="FFFFFF"/>
        <w:spacing w:before="0" w:beforeAutospacing="0" w:after="0" w:afterAutospacing="0"/>
        <w:ind w:firstLine="720"/>
        <w:rPr>
          <w:color w:val="000000"/>
        </w:rPr>
      </w:pPr>
      <w:r>
        <w:rPr>
          <w:color w:val="000000"/>
        </w:rPr>
        <w:br/>
      </w:r>
      <w:r w:rsidR="007C1ADE">
        <w:rPr>
          <w:noProof/>
          <w:color w:val="000000"/>
        </w:rPr>
        <w:drawing>
          <wp:inline distT="0" distB="0" distL="0" distR="0">
            <wp:extent cx="6083038" cy="3175201"/>
            <wp:effectExtent l="18090" t="6024" r="4397" b="125"/>
            <wp:docPr id="54"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BD45CD" w:rsidRDefault="0013371A" w:rsidP="00524C51">
      <w:pPr>
        <w:pStyle w:val="af1"/>
        <w:shd w:val="clear" w:color="auto" w:fill="FFFFFF"/>
        <w:ind w:firstLine="720"/>
        <w:rPr>
          <w:color w:val="000000"/>
        </w:rPr>
      </w:pPr>
      <w:r>
        <w:rPr>
          <w:color w:val="000000"/>
        </w:rPr>
        <w:t>Рис.49</w:t>
      </w:r>
      <w:r w:rsidR="00056546">
        <w:rPr>
          <w:color w:val="000000"/>
        </w:rPr>
        <w:t>.</w:t>
      </w:r>
      <w:r>
        <w:rPr>
          <w:color w:val="000000"/>
        </w:rPr>
        <w:t xml:space="preserve"> Ежегодные темпы изменения ВРП</w:t>
      </w:r>
      <w:r w:rsidR="00F134E3">
        <w:rPr>
          <w:color w:val="000000"/>
        </w:rPr>
        <w:t>м</w:t>
      </w:r>
      <w:r>
        <w:rPr>
          <w:color w:val="000000"/>
        </w:rPr>
        <w:t xml:space="preserve"> и электропотребления в Москве в период с 1991-2012 гг.</w:t>
      </w:r>
      <w:r w:rsidR="00777ED4">
        <w:rPr>
          <w:color w:val="000000"/>
        </w:rPr>
        <w:t xml:space="preserve"> (</w:t>
      </w:r>
      <w:r w:rsidR="00524C51">
        <w:rPr>
          <w:color w:val="000000"/>
        </w:rPr>
        <w:t xml:space="preserve">электропотребление взято </w:t>
      </w:r>
      <w:r w:rsidR="00777ED4">
        <w:rPr>
          <w:color w:val="000000"/>
        </w:rPr>
        <w:t>по данным Росстата и Мосэнергосбыта).</w:t>
      </w:r>
      <w:r>
        <w:rPr>
          <w:color w:val="000000"/>
        </w:rPr>
        <w:t xml:space="preserve"> </w:t>
      </w:r>
      <w:r w:rsidR="00EE0CC2">
        <w:rPr>
          <w:color w:val="000000"/>
        </w:rPr>
        <w:br/>
      </w:r>
    </w:p>
    <w:p w:rsidR="00BD45CD" w:rsidRDefault="00EE0CC2" w:rsidP="00BD45CD">
      <w:pPr>
        <w:pStyle w:val="af1"/>
        <w:shd w:val="clear" w:color="auto" w:fill="FFFFFF"/>
        <w:spacing w:before="0" w:beforeAutospacing="0" w:after="0" w:afterAutospacing="0"/>
        <w:ind w:firstLine="720"/>
        <w:jc w:val="both"/>
        <w:rPr>
          <w:b/>
          <w:bCs/>
          <w:color w:val="000000"/>
        </w:rPr>
      </w:pPr>
      <w:r>
        <w:rPr>
          <w:color w:val="000000"/>
        </w:rPr>
        <w:t>В</w:t>
      </w:r>
      <w:r w:rsidRPr="00A81F9F">
        <w:rPr>
          <w:color w:val="000000"/>
        </w:rPr>
        <w:t>идно, что в период</w:t>
      </w:r>
      <w:r>
        <w:rPr>
          <w:color w:val="000000"/>
        </w:rPr>
        <w:t xml:space="preserve"> 1997</w:t>
      </w:r>
      <w:r w:rsidR="00DC18FD">
        <w:rPr>
          <w:color w:val="000000"/>
        </w:rPr>
        <w:t>-2008</w:t>
      </w:r>
      <w:r>
        <w:rPr>
          <w:color w:val="000000"/>
        </w:rPr>
        <w:t xml:space="preserve"> гг.</w:t>
      </w:r>
      <w:r w:rsidRPr="00A81F9F">
        <w:rPr>
          <w:color w:val="000000"/>
        </w:rPr>
        <w:t xml:space="preserve"> среднегодовой темп роста ВРП</w:t>
      </w:r>
      <w:r w:rsidR="00F134E3">
        <w:rPr>
          <w:color w:val="000000"/>
        </w:rPr>
        <w:t>м</w:t>
      </w:r>
      <w:r w:rsidRPr="00A81F9F">
        <w:rPr>
          <w:color w:val="000000"/>
        </w:rPr>
        <w:t xml:space="preserve"> составил </w:t>
      </w:r>
      <w:r>
        <w:rPr>
          <w:b/>
          <w:bCs/>
          <w:color w:val="000000"/>
        </w:rPr>
        <w:t>– 9,6</w:t>
      </w:r>
      <w:r w:rsidRPr="00A81F9F">
        <w:rPr>
          <w:b/>
          <w:bCs/>
          <w:color w:val="000000"/>
        </w:rPr>
        <w:t>%,</w:t>
      </w:r>
      <w:r>
        <w:rPr>
          <w:color w:val="000000"/>
        </w:rPr>
        <w:t xml:space="preserve"> при этом</w:t>
      </w:r>
      <w:r w:rsidRPr="00A81F9F">
        <w:rPr>
          <w:color w:val="000000"/>
        </w:rPr>
        <w:t xml:space="preserve"> среднегодовой</w:t>
      </w:r>
      <w:r>
        <w:rPr>
          <w:color w:val="000000"/>
        </w:rPr>
        <w:t xml:space="preserve"> темп роста электропотребления </w:t>
      </w:r>
      <w:r w:rsidR="00F134E3">
        <w:rPr>
          <w:color w:val="000000"/>
        </w:rPr>
        <w:t xml:space="preserve">Эм </w:t>
      </w:r>
      <w:r w:rsidRPr="00A81F9F">
        <w:rPr>
          <w:color w:val="000000"/>
        </w:rPr>
        <w:t>-</w:t>
      </w:r>
      <w:r>
        <w:rPr>
          <w:color w:val="000000"/>
        </w:rPr>
        <w:t xml:space="preserve"> </w:t>
      </w:r>
      <w:r>
        <w:rPr>
          <w:b/>
          <w:bCs/>
          <w:color w:val="000000"/>
        </w:rPr>
        <w:t>3,8</w:t>
      </w:r>
      <w:r w:rsidRPr="00524C51">
        <w:rPr>
          <w:b/>
          <w:bCs/>
          <w:color w:val="000000"/>
        </w:rPr>
        <w:t>%</w:t>
      </w:r>
      <w:r w:rsidR="00524C51" w:rsidRPr="00524C51">
        <w:rPr>
          <w:bCs/>
          <w:color w:val="000000"/>
        </w:rPr>
        <w:t xml:space="preserve"> (по данным Росстата) и</w:t>
      </w:r>
      <w:r w:rsidR="00524C51">
        <w:rPr>
          <w:b/>
          <w:bCs/>
          <w:color w:val="000000"/>
        </w:rPr>
        <w:t xml:space="preserve"> 3,6% </w:t>
      </w:r>
      <w:r w:rsidR="00524C51" w:rsidRPr="00524C51">
        <w:rPr>
          <w:bCs/>
          <w:color w:val="000000"/>
        </w:rPr>
        <w:t>(по данным Мосэнергосбыта)</w:t>
      </w:r>
      <w:r w:rsidRPr="00524C51">
        <w:rPr>
          <w:bCs/>
          <w:color w:val="000000"/>
        </w:rPr>
        <w:t>.</w:t>
      </w:r>
      <w:r>
        <w:rPr>
          <w:color w:val="000000"/>
        </w:rPr>
        <w:t>Тогда</w:t>
      </w:r>
      <w:r w:rsidRPr="00A81F9F">
        <w:rPr>
          <w:color w:val="000000"/>
        </w:rPr>
        <w:t>, среднегодовой коэффициент эластичности</w:t>
      </w:r>
      <w:r>
        <w:rPr>
          <w:color w:val="000000"/>
        </w:rPr>
        <w:t xml:space="preserve"> электропотребления к ВРП</w:t>
      </w:r>
      <w:r w:rsidR="00F134E3">
        <w:rPr>
          <w:color w:val="000000"/>
        </w:rPr>
        <w:t>м</w:t>
      </w:r>
      <w:r w:rsidR="003F35B4">
        <w:rPr>
          <w:color w:val="000000"/>
        </w:rPr>
        <w:t xml:space="preserve"> </w:t>
      </w:r>
      <w:r w:rsidRPr="00A81F9F">
        <w:rPr>
          <w:color w:val="000000"/>
        </w:rPr>
        <w:t xml:space="preserve"> равняется</w:t>
      </w:r>
      <w:r w:rsidR="003F35B4">
        <w:rPr>
          <w:color w:val="000000"/>
        </w:rPr>
        <w:t xml:space="preserve"> Кэм =</w:t>
      </w:r>
      <w:r w:rsidRPr="00A81F9F">
        <w:rPr>
          <w:color w:val="000000"/>
        </w:rPr>
        <w:t xml:space="preserve"> </w:t>
      </w:r>
      <w:r w:rsidRPr="00EE0CC2">
        <w:rPr>
          <w:bCs/>
          <w:color w:val="000000"/>
        </w:rPr>
        <w:t>3,8%/9,6%</w:t>
      </w:r>
      <w:r w:rsidR="003F35B4">
        <w:rPr>
          <w:bCs/>
          <w:color w:val="000000"/>
        </w:rPr>
        <w:t xml:space="preserve"> </w:t>
      </w:r>
      <w:r>
        <w:rPr>
          <w:color w:val="000000"/>
        </w:rPr>
        <w:t>=</w:t>
      </w:r>
      <w:r w:rsidR="003F35B4">
        <w:rPr>
          <w:color w:val="000000"/>
        </w:rPr>
        <w:t xml:space="preserve"> </w:t>
      </w:r>
      <w:r w:rsidRPr="00B957F3">
        <w:rPr>
          <w:b/>
          <w:color w:val="000000"/>
        </w:rPr>
        <w:t>0,4</w:t>
      </w:r>
      <w:r w:rsidR="006D6A7B">
        <w:rPr>
          <w:b/>
          <w:color w:val="000000"/>
        </w:rPr>
        <w:t xml:space="preserve"> </w:t>
      </w:r>
      <w:r w:rsidR="006D6A7B" w:rsidRPr="006D6A7B">
        <w:rPr>
          <w:color w:val="000000"/>
        </w:rPr>
        <w:t>(по данным Росстата)</w:t>
      </w:r>
      <w:r w:rsidR="006D6A7B">
        <w:rPr>
          <w:color w:val="000000"/>
        </w:rPr>
        <w:t xml:space="preserve"> или 3,6%/9,6%=</w:t>
      </w:r>
      <w:r w:rsidR="006D6A7B" w:rsidRPr="006D6A7B">
        <w:rPr>
          <w:b/>
          <w:color w:val="000000"/>
        </w:rPr>
        <w:t>0,38</w:t>
      </w:r>
      <w:r w:rsidR="006D6A7B">
        <w:rPr>
          <w:color w:val="000000"/>
        </w:rPr>
        <w:t xml:space="preserve"> (по данным Мосэнергосбыта)</w:t>
      </w:r>
      <w:r w:rsidR="00C96F3F" w:rsidRPr="006D6A7B">
        <w:rPr>
          <w:color w:val="000000"/>
        </w:rPr>
        <w:t>.</w:t>
      </w:r>
      <w:r w:rsidR="00C96F3F">
        <w:rPr>
          <w:color w:val="000000"/>
        </w:rPr>
        <w:t xml:space="preserve"> Это значит, что в Москве в этот период </w:t>
      </w:r>
      <w:r w:rsidRPr="00A81F9F">
        <w:rPr>
          <w:color w:val="000000"/>
        </w:rPr>
        <w:t xml:space="preserve">на </w:t>
      </w:r>
      <w:r w:rsidRPr="00F134E3">
        <w:rPr>
          <w:b/>
          <w:color w:val="000000"/>
        </w:rPr>
        <w:t>1%</w:t>
      </w:r>
      <w:r w:rsidRPr="00A81F9F">
        <w:rPr>
          <w:color w:val="000000"/>
        </w:rPr>
        <w:t xml:space="preserve"> роста ВРП</w:t>
      </w:r>
      <w:r w:rsidR="00F134E3">
        <w:rPr>
          <w:color w:val="000000"/>
        </w:rPr>
        <w:t>м</w:t>
      </w:r>
      <w:r w:rsidRPr="00A81F9F">
        <w:rPr>
          <w:color w:val="000000"/>
        </w:rPr>
        <w:t xml:space="preserve"> </w:t>
      </w:r>
      <w:r w:rsidR="00C96F3F">
        <w:rPr>
          <w:color w:val="000000"/>
        </w:rPr>
        <w:t>приходилось</w:t>
      </w:r>
      <w:r w:rsidRPr="00A81F9F">
        <w:rPr>
          <w:color w:val="000000"/>
        </w:rPr>
        <w:t xml:space="preserve"> </w:t>
      </w:r>
      <w:r w:rsidRPr="00A81F9F">
        <w:rPr>
          <w:b/>
          <w:bCs/>
          <w:color w:val="000000"/>
        </w:rPr>
        <w:t>0,4%</w:t>
      </w:r>
      <w:r w:rsidR="006D6A7B">
        <w:rPr>
          <w:b/>
          <w:bCs/>
          <w:color w:val="000000"/>
        </w:rPr>
        <w:t xml:space="preserve"> (0,38%)</w:t>
      </w:r>
      <w:r w:rsidR="00DC18FD">
        <w:rPr>
          <w:color w:val="000000"/>
        </w:rPr>
        <w:t xml:space="preserve"> роста электропотребления</w:t>
      </w:r>
      <w:r w:rsidR="00D36DF5">
        <w:rPr>
          <w:color w:val="000000"/>
        </w:rPr>
        <w:t xml:space="preserve">, что </w:t>
      </w:r>
      <w:r w:rsidR="006D6A7B">
        <w:rPr>
          <w:color w:val="000000"/>
        </w:rPr>
        <w:t>близко к</w:t>
      </w:r>
      <w:r w:rsidR="00D36DF5">
        <w:rPr>
          <w:color w:val="000000"/>
        </w:rPr>
        <w:t xml:space="preserve"> среднем</w:t>
      </w:r>
      <w:r w:rsidR="006D6A7B">
        <w:rPr>
          <w:color w:val="000000"/>
        </w:rPr>
        <w:t>у значению в</w:t>
      </w:r>
      <w:r w:rsidR="00D36DF5">
        <w:rPr>
          <w:color w:val="000000"/>
        </w:rPr>
        <w:t xml:space="preserve"> России, где </w:t>
      </w:r>
      <w:r w:rsidR="00670715">
        <w:rPr>
          <w:color w:val="000000"/>
        </w:rPr>
        <w:t>Кэ</w:t>
      </w:r>
      <w:r w:rsidR="00D36DF5">
        <w:rPr>
          <w:color w:val="000000"/>
        </w:rPr>
        <w:t xml:space="preserve"> </w:t>
      </w:r>
      <w:r w:rsidR="00670715">
        <w:rPr>
          <w:color w:val="000000"/>
        </w:rPr>
        <w:t xml:space="preserve">= </w:t>
      </w:r>
      <w:r w:rsidR="00670715">
        <w:rPr>
          <w:b/>
          <w:color w:val="000000"/>
        </w:rPr>
        <w:t>0,37</w:t>
      </w:r>
      <w:r w:rsidR="00D36DF5" w:rsidRPr="00D36DF5">
        <w:rPr>
          <w:b/>
          <w:color w:val="000000"/>
        </w:rPr>
        <w:t>%.</w:t>
      </w:r>
      <w:r w:rsidR="00D36DF5" w:rsidRPr="00D36DF5">
        <w:rPr>
          <w:color w:val="000000"/>
        </w:rPr>
        <w:t>(</w:t>
      </w:r>
      <w:r w:rsidR="00056546">
        <w:rPr>
          <w:color w:val="000000"/>
        </w:rPr>
        <w:t>см.  р</w:t>
      </w:r>
      <w:r w:rsidR="00670715">
        <w:rPr>
          <w:color w:val="000000"/>
        </w:rPr>
        <w:t xml:space="preserve">ис.10 </w:t>
      </w:r>
      <w:r w:rsidR="00056546">
        <w:rPr>
          <w:color w:val="000000"/>
        </w:rPr>
        <w:t>р</w:t>
      </w:r>
      <w:r w:rsidR="00D36DF5" w:rsidRPr="00D36DF5">
        <w:rPr>
          <w:color w:val="000000"/>
        </w:rPr>
        <w:t>аздел 2)</w:t>
      </w:r>
      <w:r w:rsidR="00D36DF5">
        <w:rPr>
          <w:color w:val="000000"/>
        </w:rPr>
        <w:t>.</w:t>
      </w:r>
    </w:p>
    <w:p w:rsidR="00BD3891" w:rsidRPr="00BD45CD" w:rsidRDefault="00627BF4" w:rsidP="00BD45CD">
      <w:pPr>
        <w:pStyle w:val="af1"/>
        <w:shd w:val="clear" w:color="auto" w:fill="FFFFFF"/>
        <w:spacing w:before="0" w:beforeAutospacing="0" w:after="0" w:afterAutospacing="0"/>
        <w:ind w:firstLine="720"/>
        <w:jc w:val="both"/>
        <w:rPr>
          <w:b/>
          <w:bCs/>
          <w:color w:val="000000"/>
        </w:rPr>
      </w:pPr>
      <w:r>
        <w:rPr>
          <w:color w:val="000000"/>
        </w:rPr>
        <w:t>Определим среднегодовой коэффициент эластичности электропотребления к ВРП</w:t>
      </w:r>
      <w:r w:rsidR="00F134E3">
        <w:rPr>
          <w:color w:val="000000"/>
        </w:rPr>
        <w:t>м</w:t>
      </w:r>
      <w:r>
        <w:rPr>
          <w:color w:val="000000"/>
        </w:rPr>
        <w:t xml:space="preserve">  другим способом - путем осреднения </w:t>
      </w:r>
      <w:r w:rsidR="006953A2">
        <w:rPr>
          <w:color w:val="000000"/>
        </w:rPr>
        <w:t>ежегодных</w:t>
      </w:r>
      <w:r>
        <w:rPr>
          <w:color w:val="000000"/>
        </w:rPr>
        <w:t xml:space="preserve"> коэффициентов </w:t>
      </w:r>
      <w:r w:rsidR="006953A2">
        <w:rPr>
          <w:color w:val="000000"/>
        </w:rPr>
        <w:t>эластичности в период роста ВРП с 1997,1999-2008 гг.</w:t>
      </w:r>
    </w:p>
    <w:p w:rsidR="00627BF4" w:rsidRDefault="00056546" w:rsidP="00627BF4">
      <w:pPr>
        <w:pStyle w:val="af1"/>
        <w:shd w:val="clear" w:color="auto" w:fill="FFFFFF"/>
        <w:ind w:firstLine="720"/>
        <w:rPr>
          <w:color w:val="000000"/>
        </w:rPr>
      </w:pPr>
      <w:r>
        <w:rPr>
          <w:color w:val="000000"/>
        </w:rPr>
        <w:br/>
      </w:r>
      <w:r w:rsidR="007C1ADE">
        <w:rPr>
          <w:noProof/>
          <w:color w:val="000000"/>
        </w:rPr>
        <w:drawing>
          <wp:inline distT="0" distB="0" distL="0" distR="0">
            <wp:extent cx="5852078" cy="3859911"/>
            <wp:effectExtent l="12192" t="6096" r="3130" b="1143"/>
            <wp:docPr id="55"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A66067" w:rsidRDefault="00A66067" w:rsidP="00A66067">
      <w:pPr>
        <w:pStyle w:val="af1"/>
        <w:shd w:val="clear" w:color="auto" w:fill="FFFFFF"/>
        <w:ind w:firstLine="720"/>
        <w:jc w:val="both"/>
        <w:rPr>
          <w:color w:val="000000"/>
        </w:rPr>
      </w:pPr>
      <w:r>
        <w:rPr>
          <w:color w:val="000000"/>
        </w:rPr>
        <w:t xml:space="preserve">Рис. 50. Ежегодные значения коэффициентов эластичности электропотребления к ВРПм.  </w:t>
      </w:r>
    </w:p>
    <w:p w:rsidR="0085569F" w:rsidRDefault="00056546" w:rsidP="00A66067">
      <w:pPr>
        <w:pStyle w:val="af1"/>
        <w:shd w:val="clear" w:color="auto" w:fill="FFFFFF"/>
        <w:ind w:firstLine="720"/>
        <w:jc w:val="both"/>
        <w:rPr>
          <w:color w:val="000000"/>
        </w:rPr>
      </w:pPr>
      <w:r>
        <w:rPr>
          <w:color w:val="000000"/>
        </w:rPr>
        <w:t>На рис.</w:t>
      </w:r>
      <w:r w:rsidR="00A66067">
        <w:rPr>
          <w:color w:val="000000"/>
        </w:rPr>
        <w:t xml:space="preserve"> </w:t>
      </w:r>
      <w:r>
        <w:rPr>
          <w:color w:val="000000"/>
        </w:rPr>
        <w:t>50</w:t>
      </w:r>
      <w:r w:rsidR="00B6575D">
        <w:rPr>
          <w:color w:val="000000"/>
        </w:rPr>
        <w:t xml:space="preserve"> показаны</w:t>
      </w:r>
      <w:r w:rsidR="00627BF4">
        <w:rPr>
          <w:color w:val="000000"/>
        </w:rPr>
        <w:t xml:space="preserve"> </w:t>
      </w:r>
      <w:r w:rsidR="001E78FA">
        <w:rPr>
          <w:color w:val="000000"/>
        </w:rPr>
        <w:t>ежегодны</w:t>
      </w:r>
      <w:r w:rsidR="00B6575D">
        <w:rPr>
          <w:color w:val="000000"/>
        </w:rPr>
        <w:t>е значения коэффициентов</w:t>
      </w:r>
      <w:r>
        <w:rPr>
          <w:color w:val="000000"/>
        </w:rPr>
        <w:t xml:space="preserve"> </w:t>
      </w:r>
      <w:r w:rsidR="00B6575D">
        <w:rPr>
          <w:color w:val="000000"/>
        </w:rPr>
        <w:t>эластичности электропотребления к ВРП</w:t>
      </w:r>
      <w:r w:rsidR="00F134E3">
        <w:rPr>
          <w:color w:val="000000"/>
        </w:rPr>
        <w:t>м</w:t>
      </w:r>
      <w:r w:rsidR="00B6575D">
        <w:rPr>
          <w:color w:val="000000"/>
        </w:rPr>
        <w:t xml:space="preserve"> в период роста ВРП</w:t>
      </w:r>
      <w:r w:rsidR="00F134E3">
        <w:rPr>
          <w:color w:val="000000"/>
        </w:rPr>
        <w:t>м</w:t>
      </w:r>
      <w:r w:rsidR="00866CFF">
        <w:rPr>
          <w:color w:val="000000"/>
        </w:rPr>
        <w:t xml:space="preserve"> с 1997-2012 гг</w:t>
      </w:r>
    </w:p>
    <w:p w:rsidR="0067143C" w:rsidRDefault="009E6553" w:rsidP="00A66067">
      <w:pPr>
        <w:pStyle w:val="af1"/>
        <w:shd w:val="clear" w:color="auto" w:fill="FFFFFF"/>
        <w:spacing w:before="0" w:beforeAutospacing="0" w:after="0" w:afterAutospacing="0"/>
        <w:ind w:firstLine="720"/>
        <w:jc w:val="both"/>
        <w:rPr>
          <w:color w:val="000000"/>
        </w:rPr>
      </w:pPr>
      <w:r>
        <w:rPr>
          <w:color w:val="000000"/>
        </w:rPr>
        <w:t xml:space="preserve">Видно, что в 2001 году </w:t>
      </w:r>
      <w:r w:rsidR="00E73B6C">
        <w:rPr>
          <w:color w:val="000000"/>
        </w:rPr>
        <w:t xml:space="preserve">значение </w:t>
      </w:r>
      <w:r>
        <w:rPr>
          <w:color w:val="000000"/>
        </w:rPr>
        <w:t>Кэм = 1,67</w:t>
      </w:r>
      <w:r w:rsidR="00E73B6C">
        <w:rPr>
          <w:color w:val="000000"/>
        </w:rPr>
        <w:t xml:space="preserve"> и</w:t>
      </w:r>
      <w:r w:rsidR="00866CFF">
        <w:rPr>
          <w:color w:val="000000"/>
        </w:rPr>
        <w:t xml:space="preserve"> оно существенно (</w:t>
      </w:r>
      <w:r w:rsidR="00E73B6C">
        <w:rPr>
          <w:color w:val="000000"/>
        </w:rPr>
        <w:t>в 7 и 5 раз</w:t>
      </w:r>
      <w:r w:rsidR="00866CFF">
        <w:rPr>
          <w:color w:val="000000"/>
        </w:rPr>
        <w:t>)</w:t>
      </w:r>
      <w:r w:rsidR="00866CFF" w:rsidRPr="00866CFF">
        <w:rPr>
          <w:color w:val="000000"/>
        </w:rPr>
        <w:t xml:space="preserve"> </w:t>
      </w:r>
      <w:r w:rsidR="00866CFF">
        <w:rPr>
          <w:color w:val="000000"/>
        </w:rPr>
        <w:t>больше</w:t>
      </w:r>
      <w:r w:rsidR="00E73B6C">
        <w:rPr>
          <w:color w:val="000000"/>
        </w:rPr>
        <w:t xml:space="preserve">, чем в 2000 и 2002 году соответственно. </w:t>
      </w:r>
      <w:r w:rsidR="00346194">
        <w:rPr>
          <w:color w:val="000000"/>
        </w:rPr>
        <w:t>Для этих 3-х лет</w:t>
      </w:r>
      <w:r w:rsidR="00E73B6C">
        <w:rPr>
          <w:color w:val="000000"/>
        </w:rPr>
        <w:t xml:space="preserve"> необходимо провести процедуру локального осреднения</w:t>
      </w:r>
      <w:r w:rsidR="00B70EDB">
        <w:rPr>
          <w:color w:val="000000"/>
        </w:rPr>
        <w:t xml:space="preserve">, </w:t>
      </w:r>
      <w:r w:rsidR="00AE7968">
        <w:rPr>
          <w:color w:val="000000"/>
        </w:rPr>
        <w:t xml:space="preserve">тогда </w:t>
      </w:r>
      <w:r w:rsidR="00B70EDB">
        <w:rPr>
          <w:color w:val="000000"/>
        </w:rPr>
        <w:t>Кэл</w:t>
      </w:r>
      <w:r w:rsidR="00273AE8">
        <w:rPr>
          <w:color w:val="000000"/>
        </w:rPr>
        <w:t xml:space="preserve"> </w:t>
      </w:r>
      <w:r w:rsidR="00B70EDB">
        <w:rPr>
          <w:color w:val="000000"/>
        </w:rPr>
        <w:t>определяется как отношение среднегодового темпа электропотребл</w:t>
      </w:r>
      <w:r w:rsidR="00273AE8">
        <w:rPr>
          <w:color w:val="000000"/>
        </w:rPr>
        <w:t>ения к среднегодовому темпу ВРП</w:t>
      </w:r>
      <w:r w:rsidR="00866CFF">
        <w:rPr>
          <w:color w:val="000000"/>
        </w:rPr>
        <w:t xml:space="preserve"> в эти три года</w:t>
      </w:r>
      <w:r w:rsidR="00273AE8">
        <w:rPr>
          <w:color w:val="000000"/>
        </w:rPr>
        <w:t xml:space="preserve">. Оказалось, что для </w:t>
      </w:r>
      <w:r w:rsidR="00866CFF">
        <w:rPr>
          <w:color w:val="000000"/>
        </w:rPr>
        <w:t>них</w:t>
      </w:r>
    </w:p>
    <w:p w:rsidR="0085569F" w:rsidRDefault="00273AE8" w:rsidP="00A66067">
      <w:pPr>
        <w:pStyle w:val="af1"/>
        <w:shd w:val="clear" w:color="auto" w:fill="FFFFFF"/>
        <w:spacing w:before="0" w:beforeAutospacing="0" w:after="0" w:afterAutospacing="0"/>
        <w:jc w:val="both"/>
        <w:rPr>
          <w:color w:val="000000"/>
        </w:rPr>
      </w:pPr>
      <w:r>
        <w:rPr>
          <w:color w:val="000000"/>
        </w:rPr>
        <w:t xml:space="preserve"> Кэл =0,4.</w:t>
      </w:r>
    </w:p>
    <w:p w:rsidR="00A66067" w:rsidRDefault="00346194" w:rsidP="00A66067">
      <w:pPr>
        <w:pStyle w:val="af1"/>
        <w:shd w:val="clear" w:color="auto" w:fill="FFFFFF"/>
        <w:spacing w:before="0" w:beforeAutospacing="0" w:after="0" w:afterAutospacing="0"/>
        <w:ind w:firstLine="720"/>
        <w:jc w:val="both"/>
        <w:rPr>
          <w:b/>
          <w:color w:val="000000"/>
        </w:rPr>
      </w:pPr>
      <w:r>
        <w:rPr>
          <w:color w:val="000000"/>
        </w:rPr>
        <w:t>С</w:t>
      </w:r>
      <w:r w:rsidR="001E78FA">
        <w:rPr>
          <w:color w:val="000000"/>
        </w:rPr>
        <w:t>реднегодовой коэффициент эластичности электропотребления</w:t>
      </w:r>
      <w:r w:rsidR="003F35B4">
        <w:rPr>
          <w:color w:val="000000"/>
        </w:rPr>
        <w:t xml:space="preserve"> к ВРП в период роста ВРП (</w:t>
      </w:r>
      <w:r w:rsidR="001E78FA">
        <w:rPr>
          <w:color w:val="000000"/>
        </w:rPr>
        <w:t>1997</w:t>
      </w:r>
      <w:r w:rsidR="003F35B4">
        <w:rPr>
          <w:color w:val="000000"/>
        </w:rPr>
        <w:t>,1999</w:t>
      </w:r>
      <w:r w:rsidR="001E78FA">
        <w:rPr>
          <w:color w:val="000000"/>
        </w:rPr>
        <w:t>-2008</w:t>
      </w:r>
      <w:r w:rsidR="003F35B4">
        <w:rPr>
          <w:color w:val="000000"/>
        </w:rPr>
        <w:t xml:space="preserve">), </w:t>
      </w:r>
      <w:r w:rsidR="001E78FA">
        <w:rPr>
          <w:color w:val="000000"/>
        </w:rPr>
        <w:t>полученный</w:t>
      </w:r>
      <w:r w:rsidR="003F35B4">
        <w:rPr>
          <w:color w:val="000000"/>
        </w:rPr>
        <w:t xml:space="preserve"> путем осреднения ежегодных коэффициентов эластичности также оказался равным</w:t>
      </w:r>
      <w:r w:rsidR="00E5627E">
        <w:rPr>
          <w:color w:val="000000"/>
        </w:rPr>
        <w:t xml:space="preserve"> Кэм=</w:t>
      </w:r>
      <w:r w:rsidR="00BD57A9">
        <w:rPr>
          <w:b/>
          <w:color w:val="000000"/>
        </w:rPr>
        <w:t>0,4</w:t>
      </w:r>
      <w:r w:rsidR="00C55DCE">
        <w:rPr>
          <w:b/>
          <w:color w:val="000000"/>
        </w:rPr>
        <w:t xml:space="preserve">. </w:t>
      </w:r>
    </w:p>
    <w:p w:rsidR="0085569F" w:rsidRPr="00A66067" w:rsidRDefault="00D83A77" w:rsidP="00A66067">
      <w:pPr>
        <w:pStyle w:val="af1"/>
        <w:shd w:val="clear" w:color="auto" w:fill="FFFFFF"/>
        <w:spacing w:before="0" w:beforeAutospacing="0" w:after="0" w:afterAutospacing="0"/>
        <w:jc w:val="both"/>
        <w:rPr>
          <w:b/>
          <w:color w:val="000000"/>
        </w:rPr>
      </w:pPr>
      <w:r>
        <w:rPr>
          <w:b/>
          <w:color w:val="000000"/>
        </w:rPr>
        <w:br/>
      </w:r>
      <w:r w:rsidR="00880DF3" w:rsidRPr="00880DF3">
        <w:rPr>
          <w:b/>
          <w:noProof/>
          <w:color w:val="000000"/>
        </w:rPr>
        <w:drawing>
          <wp:inline distT="0" distB="0" distL="0" distR="0">
            <wp:extent cx="6105525" cy="2932089"/>
            <wp:effectExtent l="19050" t="0" r="9525" b="1611"/>
            <wp:docPr id="1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5569F" w:rsidRDefault="0085569F" w:rsidP="00866CFF">
      <w:pPr>
        <w:pStyle w:val="af1"/>
        <w:shd w:val="clear" w:color="auto" w:fill="FFFFFF"/>
        <w:spacing w:before="0" w:beforeAutospacing="0" w:after="0" w:afterAutospacing="0"/>
        <w:rPr>
          <w:color w:val="000000"/>
        </w:rPr>
      </w:pPr>
    </w:p>
    <w:p w:rsidR="00A66067" w:rsidRPr="00D721E0" w:rsidRDefault="00D721E0" w:rsidP="00D721E0">
      <w:pPr>
        <w:pStyle w:val="af1"/>
        <w:shd w:val="clear" w:color="auto" w:fill="FFFFFF"/>
        <w:ind w:firstLine="720"/>
        <w:jc w:val="both"/>
        <w:rPr>
          <w:color w:val="000000"/>
        </w:rPr>
      </w:pPr>
      <w:r w:rsidRPr="00D721E0">
        <w:rPr>
          <w:color w:val="000000"/>
        </w:rPr>
        <w:t>Рис. 51.</w:t>
      </w:r>
      <w:r>
        <w:rPr>
          <w:b/>
          <w:color w:val="000000"/>
        </w:rPr>
        <w:t xml:space="preserve"> </w:t>
      </w:r>
      <w:r>
        <w:rPr>
          <w:color w:val="000000"/>
        </w:rPr>
        <w:t>Ежегодные значения коэффициентов эластичности электропотребления к ВРПм</w:t>
      </w:r>
      <w:r w:rsidR="00F82AFF">
        <w:rPr>
          <w:color w:val="000000"/>
        </w:rPr>
        <w:t xml:space="preserve"> после локального осреднения</w:t>
      </w:r>
      <w:r>
        <w:rPr>
          <w:color w:val="000000"/>
        </w:rPr>
        <w:t xml:space="preserve">.  </w:t>
      </w:r>
    </w:p>
    <w:p w:rsidR="00273AE8" w:rsidRDefault="00BD57A9" w:rsidP="00273AE8">
      <w:pPr>
        <w:pStyle w:val="af1"/>
        <w:shd w:val="clear" w:color="auto" w:fill="FFFFFF"/>
        <w:spacing w:before="0" w:beforeAutospacing="0" w:after="0" w:afterAutospacing="0"/>
        <w:ind w:firstLine="720"/>
        <w:rPr>
          <w:color w:val="000000"/>
        </w:rPr>
      </w:pPr>
      <w:r w:rsidRPr="00EE283D">
        <w:rPr>
          <w:b/>
          <w:color w:val="000000"/>
        </w:rPr>
        <w:t>9.</w:t>
      </w:r>
      <w:r>
        <w:rPr>
          <w:b/>
          <w:color w:val="000000"/>
        </w:rPr>
        <w:t>1.2</w:t>
      </w:r>
      <w:r w:rsidRPr="00EE283D">
        <w:rPr>
          <w:b/>
          <w:color w:val="000000"/>
        </w:rPr>
        <w:t>. Связь между электропотреблением и ВРП</w:t>
      </w:r>
      <w:r>
        <w:rPr>
          <w:b/>
          <w:color w:val="000000"/>
        </w:rPr>
        <w:t>м</w:t>
      </w:r>
      <w:r w:rsidR="006A1872">
        <w:rPr>
          <w:b/>
          <w:color w:val="000000"/>
        </w:rPr>
        <w:t>о</w:t>
      </w:r>
      <w:r w:rsidRPr="00EE283D">
        <w:rPr>
          <w:b/>
          <w:color w:val="000000"/>
        </w:rPr>
        <w:t xml:space="preserve"> в Моск</w:t>
      </w:r>
      <w:r>
        <w:rPr>
          <w:b/>
          <w:color w:val="000000"/>
        </w:rPr>
        <w:t>овской области</w:t>
      </w:r>
      <w:r w:rsidRPr="00EE283D">
        <w:rPr>
          <w:b/>
          <w:color w:val="000000"/>
        </w:rPr>
        <w:t xml:space="preserve">. </w:t>
      </w:r>
      <w:r w:rsidR="00273AE8">
        <w:rPr>
          <w:b/>
          <w:color w:val="000000"/>
        </w:rPr>
        <w:br/>
      </w:r>
    </w:p>
    <w:p w:rsidR="00273AE8" w:rsidRDefault="00273AE8" w:rsidP="00273AE8">
      <w:pPr>
        <w:pStyle w:val="af1"/>
        <w:shd w:val="clear" w:color="auto" w:fill="FFFFFF"/>
        <w:spacing w:before="0" w:beforeAutospacing="0" w:after="0" w:afterAutospacing="0"/>
        <w:ind w:firstLine="720"/>
        <w:jc w:val="both"/>
        <w:rPr>
          <w:color w:val="000000"/>
        </w:rPr>
      </w:pPr>
      <w:r>
        <w:rPr>
          <w:color w:val="000000"/>
        </w:rPr>
        <w:t xml:space="preserve">На рис. </w:t>
      </w:r>
      <w:r w:rsidR="006A1872">
        <w:rPr>
          <w:color w:val="000000"/>
        </w:rPr>
        <w:t>5</w:t>
      </w:r>
      <w:r w:rsidR="00D721E0">
        <w:rPr>
          <w:color w:val="000000"/>
        </w:rPr>
        <w:t>2</w:t>
      </w:r>
      <w:r>
        <w:rPr>
          <w:color w:val="000000"/>
        </w:rPr>
        <w:t xml:space="preserve"> показана динамика ИОКм</w:t>
      </w:r>
      <w:r w:rsidR="006A1872">
        <w:rPr>
          <w:color w:val="000000"/>
        </w:rPr>
        <w:t>о</w:t>
      </w:r>
      <w:r>
        <w:rPr>
          <w:color w:val="000000"/>
        </w:rPr>
        <w:t>, ВРПм</w:t>
      </w:r>
      <w:r w:rsidR="006A1872">
        <w:rPr>
          <w:color w:val="000000"/>
        </w:rPr>
        <w:t>о</w:t>
      </w:r>
      <w:r>
        <w:rPr>
          <w:color w:val="000000"/>
        </w:rPr>
        <w:t xml:space="preserve"> и электропотребления Эм</w:t>
      </w:r>
      <w:r w:rsidR="006A1872">
        <w:rPr>
          <w:color w:val="000000"/>
        </w:rPr>
        <w:t>о</w:t>
      </w:r>
      <w:r>
        <w:rPr>
          <w:color w:val="000000"/>
        </w:rPr>
        <w:t xml:space="preserve"> в М</w:t>
      </w:r>
      <w:r w:rsidR="006A1872">
        <w:rPr>
          <w:color w:val="000000"/>
        </w:rPr>
        <w:t>осковской области</w:t>
      </w:r>
      <w:r>
        <w:rPr>
          <w:color w:val="000000"/>
        </w:rPr>
        <w:t xml:space="preserve"> в период 1997-2012гг., отнесенные к 1997г. </w:t>
      </w:r>
    </w:p>
    <w:p w:rsidR="00BD57A9" w:rsidRPr="00EE283D" w:rsidRDefault="00BD57A9" w:rsidP="00BD57A9">
      <w:pPr>
        <w:pStyle w:val="af1"/>
        <w:shd w:val="clear" w:color="auto" w:fill="FFFFFF"/>
        <w:spacing w:before="0" w:beforeAutospacing="0" w:after="0" w:afterAutospacing="0"/>
        <w:ind w:firstLine="720"/>
        <w:jc w:val="both"/>
        <w:rPr>
          <w:b/>
          <w:color w:val="000000"/>
        </w:rPr>
      </w:pPr>
    </w:p>
    <w:p w:rsidR="00D85410" w:rsidRPr="00D85410" w:rsidRDefault="00DC2714" w:rsidP="0067143C">
      <w:pPr>
        <w:pStyle w:val="af1"/>
        <w:shd w:val="clear" w:color="auto" w:fill="FFFFFF"/>
        <w:spacing w:before="0" w:beforeAutospacing="0" w:after="0" w:afterAutospacing="0"/>
        <w:rPr>
          <w:noProof/>
          <w:color w:val="000000"/>
        </w:rPr>
      </w:pPr>
      <w:r w:rsidRPr="00DC2714">
        <w:rPr>
          <w:noProof/>
          <w:color w:val="000000"/>
        </w:rPr>
        <w:drawing>
          <wp:inline distT="0" distB="0" distL="0" distR="0">
            <wp:extent cx="4543425" cy="3705225"/>
            <wp:effectExtent l="19050" t="0" r="9525" b="0"/>
            <wp:docPr id="1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5569F" w:rsidRDefault="0085569F" w:rsidP="0067143C">
      <w:pPr>
        <w:pStyle w:val="af1"/>
        <w:shd w:val="clear" w:color="auto" w:fill="FFFFFF"/>
        <w:spacing w:before="0" w:beforeAutospacing="0" w:after="0" w:afterAutospacing="0"/>
        <w:rPr>
          <w:color w:val="000000"/>
        </w:rPr>
      </w:pPr>
    </w:p>
    <w:p w:rsidR="0085569F" w:rsidRDefault="0085569F" w:rsidP="00C33EA4">
      <w:pPr>
        <w:pStyle w:val="af1"/>
        <w:shd w:val="clear" w:color="auto" w:fill="FFFFFF"/>
        <w:spacing w:before="0" w:beforeAutospacing="0" w:after="0" w:afterAutospacing="0"/>
        <w:ind w:firstLine="720"/>
        <w:rPr>
          <w:color w:val="000000"/>
        </w:rPr>
      </w:pPr>
    </w:p>
    <w:p w:rsidR="005926E8" w:rsidRDefault="005926E8" w:rsidP="005926E8">
      <w:pPr>
        <w:pStyle w:val="af1"/>
        <w:shd w:val="clear" w:color="auto" w:fill="FFFFFF"/>
        <w:spacing w:before="0" w:beforeAutospacing="0" w:after="0" w:afterAutospacing="0"/>
        <w:ind w:firstLine="720"/>
        <w:jc w:val="both"/>
        <w:rPr>
          <w:color w:val="000000"/>
        </w:rPr>
      </w:pPr>
      <w:r>
        <w:rPr>
          <w:color w:val="000000"/>
        </w:rPr>
        <w:t xml:space="preserve">Рис. </w:t>
      </w:r>
      <w:r w:rsidR="00D721E0">
        <w:rPr>
          <w:color w:val="000000"/>
        </w:rPr>
        <w:t>52.</w:t>
      </w:r>
      <w:r>
        <w:rPr>
          <w:color w:val="000000"/>
        </w:rPr>
        <w:t xml:space="preserve"> Динамика ИОКмо, ВРПмо и электропотребления Эмо в Московской области  в период 199</w:t>
      </w:r>
      <w:r w:rsidR="0067143C">
        <w:rPr>
          <w:color w:val="000000"/>
        </w:rPr>
        <w:t>6</w:t>
      </w:r>
      <w:r>
        <w:rPr>
          <w:color w:val="000000"/>
        </w:rPr>
        <w:t>-2012гг., отнесенные к 199</w:t>
      </w:r>
      <w:r w:rsidR="0067143C">
        <w:rPr>
          <w:color w:val="000000"/>
        </w:rPr>
        <w:t>6</w:t>
      </w:r>
      <w:r>
        <w:rPr>
          <w:color w:val="000000"/>
        </w:rPr>
        <w:t xml:space="preserve">г. </w:t>
      </w:r>
    </w:p>
    <w:p w:rsidR="005926E8" w:rsidRDefault="005926E8" w:rsidP="005926E8">
      <w:pPr>
        <w:pStyle w:val="af1"/>
        <w:shd w:val="clear" w:color="auto" w:fill="FFFFFF"/>
        <w:spacing w:before="0" w:beforeAutospacing="0" w:after="0" w:afterAutospacing="0"/>
        <w:ind w:firstLine="720"/>
        <w:jc w:val="both"/>
        <w:rPr>
          <w:color w:val="000000"/>
        </w:rPr>
      </w:pPr>
    </w:p>
    <w:p w:rsidR="00F82AFF" w:rsidRDefault="005926E8" w:rsidP="00F82AFF">
      <w:pPr>
        <w:pStyle w:val="af1"/>
        <w:shd w:val="clear" w:color="auto" w:fill="FFFFFF"/>
        <w:spacing w:before="0" w:beforeAutospacing="0" w:after="0" w:afterAutospacing="0"/>
        <w:ind w:firstLine="720"/>
        <w:jc w:val="both"/>
        <w:rPr>
          <w:color w:val="000000"/>
        </w:rPr>
      </w:pPr>
      <w:r>
        <w:rPr>
          <w:color w:val="000000"/>
        </w:rPr>
        <w:t>Видно, что в</w:t>
      </w:r>
      <w:r w:rsidRPr="005926E8">
        <w:rPr>
          <w:color w:val="000000"/>
        </w:rPr>
        <w:t xml:space="preserve"> </w:t>
      </w:r>
      <w:r>
        <w:rPr>
          <w:color w:val="000000"/>
        </w:rPr>
        <w:t xml:space="preserve">Московской области </w:t>
      </w:r>
      <w:r w:rsidR="00C51FF3">
        <w:rPr>
          <w:color w:val="000000"/>
        </w:rPr>
        <w:t xml:space="preserve"> с 1999 до 2008 года </w:t>
      </w:r>
      <w:r>
        <w:rPr>
          <w:color w:val="000000"/>
        </w:rPr>
        <w:t>электропотребление росло практически линейно</w:t>
      </w:r>
      <w:r w:rsidR="00E93743">
        <w:rPr>
          <w:color w:val="000000"/>
        </w:rPr>
        <w:t xml:space="preserve"> со среднегодовым темпом 5</w:t>
      </w:r>
      <w:r>
        <w:rPr>
          <w:color w:val="000000"/>
        </w:rPr>
        <w:t xml:space="preserve">,8% и увеличилось на </w:t>
      </w:r>
      <w:r w:rsidR="00E93743">
        <w:rPr>
          <w:color w:val="000000"/>
        </w:rPr>
        <w:t>5</w:t>
      </w:r>
      <w:r w:rsidR="00D85410">
        <w:rPr>
          <w:color w:val="000000"/>
        </w:rPr>
        <w:t>8</w:t>
      </w:r>
      <w:r w:rsidR="00E93743">
        <w:rPr>
          <w:color w:val="000000"/>
        </w:rPr>
        <w:t>% по отношению к 1997-1999 г</w:t>
      </w:r>
      <w:r>
        <w:rPr>
          <w:color w:val="000000"/>
        </w:rPr>
        <w:t>г. При этом ВРПм</w:t>
      </w:r>
      <w:r w:rsidR="00E93743">
        <w:rPr>
          <w:color w:val="000000"/>
        </w:rPr>
        <w:t>о</w:t>
      </w:r>
      <w:r>
        <w:rPr>
          <w:color w:val="000000"/>
        </w:rPr>
        <w:t xml:space="preserve"> увеличилось на 1</w:t>
      </w:r>
      <w:r w:rsidR="00E93743">
        <w:rPr>
          <w:color w:val="000000"/>
        </w:rPr>
        <w:t>35</w:t>
      </w:r>
      <w:r>
        <w:rPr>
          <w:color w:val="000000"/>
        </w:rPr>
        <w:t>%. Тогда,</w:t>
      </w:r>
      <w:r w:rsidR="00F74A2E" w:rsidRPr="00F74A2E">
        <w:rPr>
          <w:color w:val="000000"/>
        </w:rPr>
        <w:t xml:space="preserve"> </w:t>
      </w:r>
      <w:r w:rsidR="00F74A2E">
        <w:rPr>
          <w:color w:val="000000"/>
        </w:rPr>
        <w:t>в период 1997-2008гг.,</w:t>
      </w:r>
      <w:r>
        <w:rPr>
          <w:color w:val="000000"/>
        </w:rPr>
        <w:t xml:space="preserve"> приближенно, среднегодовой коэффициент эластичности энергопотребления к ВРПм</w:t>
      </w:r>
      <w:r w:rsidR="00787D67">
        <w:rPr>
          <w:color w:val="000000"/>
        </w:rPr>
        <w:t>о</w:t>
      </w:r>
      <w:r w:rsidR="002A41FB">
        <w:rPr>
          <w:color w:val="000000"/>
        </w:rPr>
        <w:t xml:space="preserve"> Кэмо=</w:t>
      </w:r>
      <w:r w:rsidR="00D85410">
        <w:rPr>
          <w:color w:val="000000"/>
        </w:rPr>
        <w:t>58</w:t>
      </w:r>
      <w:r>
        <w:rPr>
          <w:color w:val="000000"/>
        </w:rPr>
        <w:t>%/1</w:t>
      </w:r>
      <w:r w:rsidR="002A41FB">
        <w:rPr>
          <w:color w:val="000000"/>
        </w:rPr>
        <w:t>35%=</w:t>
      </w:r>
      <w:r>
        <w:rPr>
          <w:color w:val="000000"/>
        </w:rPr>
        <w:t>0,3</w:t>
      </w:r>
      <w:r w:rsidR="002A41FB">
        <w:rPr>
          <w:color w:val="000000"/>
        </w:rPr>
        <w:t>9</w:t>
      </w:r>
      <w:r>
        <w:rPr>
          <w:color w:val="000000"/>
        </w:rPr>
        <w:t>.</w:t>
      </w:r>
      <w:r w:rsidR="002A41FB">
        <w:rPr>
          <w:color w:val="000000"/>
        </w:rPr>
        <w:t xml:space="preserve"> Б</w:t>
      </w:r>
      <w:r>
        <w:rPr>
          <w:color w:val="000000"/>
        </w:rPr>
        <w:t xml:space="preserve">олее точно </w:t>
      </w:r>
      <w:r w:rsidR="002A41FB">
        <w:rPr>
          <w:color w:val="000000"/>
        </w:rPr>
        <w:t>значение Кэмо</w:t>
      </w:r>
      <w:r w:rsidR="00DA45D0">
        <w:rPr>
          <w:color w:val="000000"/>
        </w:rPr>
        <w:t xml:space="preserve"> </w:t>
      </w:r>
      <w:r w:rsidR="002A41FB">
        <w:rPr>
          <w:color w:val="000000"/>
        </w:rPr>
        <w:t>можно определить</w:t>
      </w:r>
      <w:r w:rsidR="00DA45D0">
        <w:rPr>
          <w:color w:val="000000"/>
        </w:rPr>
        <w:t xml:space="preserve"> также двумя способами, как и Кэм</w:t>
      </w:r>
      <w:r>
        <w:rPr>
          <w:color w:val="000000"/>
        </w:rPr>
        <w:t xml:space="preserve">. </w:t>
      </w:r>
    </w:p>
    <w:p w:rsidR="00F74A2E" w:rsidRDefault="005926E8" w:rsidP="00F82AFF">
      <w:pPr>
        <w:pStyle w:val="af1"/>
        <w:shd w:val="clear" w:color="auto" w:fill="FFFFFF"/>
        <w:spacing w:before="0" w:beforeAutospacing="0" w:after="0" w:afterAutospacing="0"/>
        <w:ind w:firstLine="720"/>
        <w:jc w:val="both"/>
        <w:rPr>
          <w:color w:val="000000"/>
        </w:rPr>
      </w:pPr>
      <w:r>
        <w:rPr>
          <w:color w:val="000000"/>
        </w:rPr>
        <w:t xml:space="preserve">На рис. </w:t>
      </w:r>
      <w:r w:rsidR="00F74A2E">
        <w:rPr>
          <w:color w:val="000000"/>
        </w:rPr>
        <w:t>5</w:t>
      </w:r>
      <w:r w:rsidR="00F82AFF">
        <w:rPr>
          <w:color w:val="000000"/>
        </w:rPr>
        <w:t>3</w:t>
      </w:r>
      <w:r>
        <w:rPr>
          <w:color w:val="000000"/>
        </w:rPr>
        <w:t xml:space="preserve"> показаны е</w:t>
      </w:r>
      <w:r w:rsidR="00DA1CB0">
        <w:rPr>
          <w:color w:val="000000"/>
        </w:rPr>
        <w:t>жегодные темпы изменения ВРПм</w:t>
      </w:r>
      <w:r w:rsidR="00F74A2E">
        <w:rPr>
          <w:color w:val="000000"/>
        </w:rPr>
        <w:t>о</w:t>
      </w:r>
      <w:r w:rsidR="00DA1CB0">
        <w:rPr>
          <w:color w:val="000000"/>
        </w:rPr>
        <w:t xml:space="preserve"> и</w:t>
      </w:r>
      <w:r w:rsidR="00F74A2E">
        <w:rPr>
          <w:color w:val="000000"/>
        </w:rPr>
        <w:t xml:space="preserve"> </w:t>
      </w:r>
      <w:r>
        <w:rPr>
          <w:color w:val="000000"/>
        </w:rPr>
        <w:t>электропотр</w:t>
      </w:r>
      <w:r w:rsidR="00DA1CB0">
        <w:rPr>
          <w:color w:val="000000"/>
        </w:rPr>
        <w:t xml:space="preserve">ебления в период с 1997-2012 гг. </w:t>
      </w:r>
    </w:p>
    <w:p w:rsidR="00B06176" w:rsidRDefault="00DC2714" w:rsidP="00B06176">
      <w:pPr>
        <w:pStyle w:val="af1"/>
        <w:shd w:val="clear" w:color="auto" w:fill="FFFFFF"/>
        <w:spacing w:before="0" w:beforeAutospacing="0" w:after="0" w:afterAutospacing="0"/>
        <w:rPr>
          <w:color w:val="000000"/>
        </w:rPr>
      </w:pPr>
      <w:r w:rsidRPr="00DC2714">
        <w:rPr>
          <w:noProof/>
          <w:color w:val="000000"/>
        </w:rPr>
        <w:drawing>
          <wp:inline distT="0" distB="0" distL="0" distR="0">
            <wp:extent cx="6105525" cy="2646631"/>
            <wp:effectExtent l="19050" t="0" r="9525" b="1319"/>
            <wp:docPr id="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74A2E" w:rsidRDefault="00F74A2E" w:rsidP="00DA1CB0">
      <w:pPr>
        <w:pStyle w:val="af1"/>
        <w:shd w:val="clear" w:color="auto" w:fill="FFFFFF"/>
        <w:spacing w:before="0" w:beforeAutospacing="0" w:after="0" w:afterAutospacing="0"/>
        <w:ind w:firstLine="720"/>
        <w:rPr>
          <w:color w:val="000000"/>
        </w:rPr>
      </w:pPr>
    </w:p>
    <w:p w:rsidR="00F82AFF" w:rsidRDefault="00B06176" w:rsidP="00F82AFF">
      <w:pPr>
        <w:pStyle w:val="af1"/>
        <w:shd w:val="clear" w:color="auto" w:fill="FFFFFF"/>
        <w:spacing w:before="0" w:beforeAutospacing="0" w:after="0" w:afterAutospacing="0"/>
        <w:ind w:firstLine="720"/>
        <w:jc w:val="both"/>
        <w:rPr>
          <w:color w:val="000000"/>
        </w:rPr>
      </w:pPr>
      <w:r>
        <w:rPr>
          <w:color w:val="000000"/>
        </w:rPr>
        <w:t xml:space="preserve">Рис. </w:t>
      </w:r>
      <w:r w:rsidR="00345508">
        <w:rPr>
          <w:color w:val="000000"/>
        </w:rPr>
        <w:t>5</w:t>
      </w:r>
      <w:r w:rsidR="00F82AFF">
        <w:rPr>
          <w:color w:val="000000"/>
        </w:rPr>
        <w:t>3</w:t>
      </w:r>
      <w:r>
        <w:rPr>
          <w:color w:val="000000"/>
        </w:rPr>
        <w:t xml:space="preserve">. </w:t>
      </w:r>
      <w:r w:rsidR="00345508">
        <w:rPr>
          <w:color w:val="000000"/>
        </w:rPr>
        <w:t>Ежегодные темпы изменения ВРПмо и электропотребления в Московской области в период с 1991-2012 гг</w:t>
      </w:r>
      <w:r w:rsidR="003E3212">
        <w:rPr>
          <w:color w:val="000000"/>
        </w:rPr>
        <w:t xml:space="preserve">. (электропотребление </w:t>
      </w:r>
      <w:r w:rsidR="00036760">
        <w:rPr>
          <w:color w:val="000000"/>
        </w:rPr>
        <w:t>показано отдельно</w:t>
      </w:r>
      <w:r w:rsidR="003E3212">
        <w:rPr>
          <w:color w:val="000000"/>
        </w:rPr>
        <w:t xml:space="preserve"> по данным Росстата и Мос</w:t>
      </w:r>
      <w:r w:rsidR="00036760">
        <w:rPr>
          <w:color w:val="000000"/>
        </w:rPr>
        <w:t>энерго</w:t>
      </w:r>
      <w:r w:rsidR="003E3212">
        <w:rPr>
          <w:color w:val="000000"/>
        </w:rPr>
        <w:t>сбыта)</w:t>
      </w:r>
      <w:r w:rsidR="00345508">
        <w:rPr>
          <w:color w:val="000000"/>
        </w:rPr>
        <w:t xml:space="preserve">. </w:t>
      </w:r>
    </w:p>
    <w:p w:rsidR="00C155B0" w:rsidRDefault="00C155B0" w:rsidP="00F82AFF">
      <w:pPr>
        <w:pStyle w:val="af1"/>
        <w:shd w:val="clear" w:color="auto" w:fill="FFFFFF"/>
        <w:spacing w:before="0" w:beforeAutospacing="0" w:after="0" w:afterAutospacing="0"/>
        <w:ind w:firstLine="720"/>
        <w:jc w:val="both"/>
        <w:rPr>
          <w:color w:val="000000"/>
        </w:rPr>
      </w:pPr>
    </w:p>
    <w:p w:rsidR="00F46224" w:rsidRDefault="00C155B0" w:rsidP="00F82AFF">
      <w:pPr>
        <w:pStyle w:val="af1"/>
        <w:shd w:val="clear" w:color="auto" w:fill="FFFFFF"/>
        <w:spacing w:before="0" w:beforeAutospacing="0" w:after="0" w:afterAutospacing="0"/>
        <w:ind w:firstLine="720"/>
        <w:jc w:val="both"/>
        <w:rPr>
          <w:color w:val="000000"/>
        </w:rPr>
      </w:pPr>
      <w:r>
        <w:rPr>
          <w:color w:val="000000"/>
        </w:rPr>
        <w:t>В</w:t>
      </w:r>
      <w:r w:rsidRPr="00A81F9F">
        <w:rPr>
          <w:color w:val="000000"/>
        </w:rPr>
        <w:t>идно, что в период</w:t>
      </w:r>
      <w:r>
        <w:rPr>
          <w:color w:val="000000"/>
        </w:rPr>
        <w:t xml:space="preserve"> 1997, 1999-2008 гг.</w:t>
      </w:r>
      <w:r w:rsidRPr="00A81F9F">
        <w:rPr>
          <w:color w:val="000000"/>
        </w:rPr>
        <w:t xml:space="preserve"> среднегодовой темп роста ВРП</w:t>
      </w:r>
      <w:r>
        <w:rPr>
          <w:color w:val="000000"/>
        </w:rPr>
        <w:t>мо</w:t>
      </w:r>
      <w:r w:rsidRPr="00A81F9F">
        <w:rPr>
          <w:color w:val="000000"/>
        </w:rPr>
        <w:t xml:space="preserve"> составил </w:t>
      </w:r>
      <w:r>
        <w:rPr>
          <w:b/>
          <w:bCs/>
          <w:color w:val="000000"/>
        </w:rPr>
        <w:t>– 8,4</w:t>
      </w:r>
      <w:r w:rsidRPr="00A81F9F">
        <w:rPr>
          <w:b/>
          <w:bCs/>
          <w:color w:val="000000"/>
        </w:rPr>
        <w:t>%,</w:t>
      </w:r>
      <w:r>
        <w:rPr>
          <w:color w:val="000000"/>
        </w:rPr>
        <w:t xml:space="preserve"> при этом</w:t>
      </w:r>
      <w:r w:rsidRPr="00A81F9F">
        <w:rPr>
          <w:color w:val="000000"/>
        </w:rPr>
        <w:t xml:space="preserve"> среднегодовой</w:t>
      </w:r>
      <w:r>
        <w:rPr>
          <w:color w:val="000000"/>
        </w:rPr>
        <w:t xml:space="preserve"> темп роста электропотребления Эм </w:t>
      </w:r>
      <w:r w:rsidR="00C444F4">
        <w:rPr>
          <w:color w:val="000000"/>
        </w:rPr>
        <w:t>–</w:t>
      </w:r>
      <w:r>
        <w:rPr>
          <w:color w:val="000000"/>
        </w:rPr>
        <w:t xml:space="preserve"> </w:t>
      </w:r>
      <w:r w:rsidR="00C444F4">
        <w:rPr>
          <w:b/>
          <w:bCs/>
          <w:color w:val="000000"/>
        </w:rPr>
        <w:t>4,</w:t>
      </w:r>
      <w:r w:rsidR="000704EE">
        <w:rPr>
          <w:b/>
          <w:bCs/>
          <w:color w:val="000000"/>
        </w:rPr>
        <w:t>3</w:t>
      </w:r>
      <w:r w:rsidRPr="00A81F9F">
        <w:rPr>
          <w:b/>
          <w:bCs/>
          <w:color w:val="000000"/>
        </w:rPr>
        <w:t>%</w:t>
      </w:r>
      <w:r w:rsidR="00C444F4">
        <w:rPr>
          <w:b/>
          <w:bCs/>
          <w:color w:val="000000"/>
        </w:rPr>
        <w:t xml:space="preserve"> </w:t>
      </w:r>
      <w:r w:rsidR="00C444F4" w:rsidRPr="00C444F4">
        <w:rPr>
          <w:bCs/>
          <w:color w:val="000000"/>
        </w:rPr>
        <w:t>(по данным Росстата) и</w:t>
      </w:r>
      <w:r w:rsidR="00C444F4">
        <w:rPr>
          <w:b/>
          <w:bCs/>
          <w:color w:val="000000"/>
        </w:rPr>
        <w:t xml:space="preserve"> 4,9% </w:t>
      </w:r>
      <w:r w:rsidR="00C444F4" w:rsidRPr="00C444F4">
        <w:rPr>
          <w:bCs/>
          <w:color w:val="000000"/>
        </w:rPr>
        <w:t>(по данным Мосэнергосбыт)</w:t>
      </w:r>
      <w:r w:rsidRPr="00C444F4">
        <w:rPr>
          <w:bCs/>
          <w:color w:val="000000"/>
        </w:rPr>
        <w:t>.</w:t>
      </w:r>
      <w:r w:rsidR="00036760">
        <w:rPr>
          <w:bCs/>
          <w:color w:val="000000"/>
        </w:rPr>
        <w:t xml:space="preserve"> </w:t>
      </w:r>
      <w:r>
        <w:rPr>
          <w:color w:val="000000"/>
        </w:rPr>
        <w:t>Тогда</w:t>
      </w:r>
      <w:r w:rsidRPr="00A81F9F">
        <w:rPr>
          <w:color w:val="000000"/>
        </w:rPr>
        <w:t>, среднегодовой коэффициент эластичности</w:t>
      </w:r>
      <w:r>
        <w:rPr>
          <w:color w:val="000000"/>
        </w:rPr>
        <w:t xml:space="preserve"> электропотребления к ВРПм</w:t>
      </w:r>
      <w:r w:rsidR="00F46224">
        <w:rPr>
          <w:color w:val="000000"/>
        </w:rPr>
        <w:t>о</w:t>
      </w:r>
      <w:r>
        <w:rPr>
          <w:color w:val="000000"/>
        </w:rPr>
        <w:t xml:space="preserve"> </w:t>
      </w:r>
      <w:r w:rsidRPr="00A81F9F">
        <w:rPr>
          <w:color w:val="000000"/>
        </w:rPr>
        <w:t xml:space="preserve"> равняется</w:t>
      </w:r>
      <w:r>
        <w:rPr>
          <w:color w:val="000000"/>
        </w:rPr>
        <w:t xml:space="preserve"> Кэм</w:t>
      </w:r>
      <w:r w:rsidR="00F46224">
        <w:rPr>
          <w:color w:val="000000"/>
        </w:rPr>
        <w:t>о</w:t>
      </w:r>
      <w:r>
        <w:rPr>
          <w:color w:val="000000"/>
        </w:rPr>
        <w:t xml:space="preserve"> =</w:t>
      </w:r>
      <w:r w:rsidRPr="00A81F9F">
        <w:rPr>
          <w:color w:val="000000"/>
        </w:rPr>
        <w:t xml:space="preserve"> </w:t>
      </w:r>
      <w:r w:rsidR="00F46224">
        <w:rPr>
          <w:bCs/>
          <w:color w:val="000000"/>
        </w:rPr>
        <w:t>4,</w:t>
      </w:r>
      <w:r w:rsidR="000704EE">
        <w:rPr>
          <w:bCs/>
          <w:color w:val="000000"/>
        </w:rPr>
        <w:t>3</w:t>
      </w:r>
      <w:r w:rsidR="00F46224">
        <w:rPr>
          <w:bCs/>
          <w:color w:val="000000"/>
        </w:rPr>
        <w:t>%/8,4</w:t>
      </w:r>
      <w:r w:rsidRPr="00EE0CC2">
        <w:rPr>
          <w:bCs/>
          <w:color w:val="000000"/>
        </w:rPr>
        <w:t>%</w:t>
      </w:r>
      <w:r>
        <w:rPr>
          <w:bCs/>
          <w:color w:val="000000"/>
        </w:rPr>
        <w:t xml:space="preserve"> </w:t>
      </w:r>
      <w:r>
        <w:rPr>
          <w:color w:val="000000"/>
        </w:rPr>
        <w:t xml:space="preserve">= </w:t>
      </w:r>
      <w:r w:rsidRPr="00B957F3">
        <w:rPr>
          <w:b/>
          <w:color w:val="000000"/>
        </w:rPr>
        <w:t>0,</w:t>
      </w:r>
      <w:r w:rsidR="00F46224">
        <w:rPr>
          <w:b/>
          <w:color w:val="000000"/>
        </w:rPr>
        <w:t>5</w:t>
      </w:r>
      <w:r w:rsidR="000704EE">
        <w:rPr>
          <w:b/>
          <w:color w:val="000000"/>
        </w:rPr>
        <w:t>1</w:t>
      </w:r>
      <w:r w:rsidR="00F46224">
        <w:rPr>
          <w:b/>
          <w:color w:val="000000"/>
        </w:rPr>
        <w:t xml:space="preserve"> </w:t>
      </w:r>
      <w:r w:rsidR="00F46224" w:rsidRPr="00F46224">
        <w:rPr>
          <w:color w:val="000000"/>
        </w:rPr>
        <w:t>или Кэмо=4,9%/8,4=</w:t>
      </w:r>
      <w:r w:rsidR="00F46224">
        <w:rPr>
          <w:b/>
          <w:color w:val="000000"/>
        </w:rPr>
        <w:t xml:space="preserve">0,58. </w:t>
      </w:r>
      <w:r>
        <w:rPr>
          <w:color w:val="000000"/>
        </w:rPr>
        <w:t xml:space="preserve"> Это значит, что в Моск</w:t>
      </w:r>
      <w:r w:rsidR="00F46224">
        <w:rPr>
          <w:color w:val="000000"/>
        </w:rPr>
        <w:t>овской области</w:t>
      </w:r>
      <w:r>
        <w:rPr>
          <w:color w:val="000000"/>
        </w:rPr>
        <w:t xml:space="preserve"> в этот период </w:t>
      </w:r>
      <w:r w:rsidRPr="00A81F9F">
        <w:rPr>
          <w:color w:val="000000"/>
        </w:rPr>
        <w:t xml:space="preserve">на </w:t>
      </w:r>
      <w:r w:rsidRPr="00F134E3">
        <w:rPr>
          <w:b/>
          <w:color w:val="000000"/>
        </w:rPr>
        <w:t>1%</w:t>
      </w:r>
      <w:r w:rsidRPr="00A81F9F">
        <w:rPr>
          <w:color w:val="000000"/>
        </w:rPr>
        <w:t xml:space="preserve"> роста ВРП</w:t>
      </w:r>
      <w:r>
        <w:rPr>
          <w:color w:val="000000"/>
        </w:rPr>
        <w:t>м</w:t>
      </w:r>
      <w:r w:rsidR="00F46224">
        <w:rPr>
          <w:color w:val="000000"/>
        </w:rPr>
        <w:t>о</w:t>
      </w:r>
      <w:r w:rsidRPr="00A81F9F">
        <w:rPr>
          <w:color w:val="000000"/>
        </w:rPr>
        <w:t xml:space="preserve"> </w:t>
      </w:r>
      <w:r>
        <w:rPr>
          <w:color w:val="000000"/>
        </w:rPr>
        <w:t>приходилось</w:t>
      </w:r>
      <w:r w:rsidRPr="00A81F9F">
        <w:rPr>
          <w:color w:val="000000"/>
        </w:rPr>
        <w:t xml:space="preserve"> </w:t>
      </w:r>
      <w:r w:rsidRPr="00A81F9F">
        <w:rPr>
          <w:b/>
          <w:bCs/>
          <w:color w:val="000000"/>
        </w:rPr>
        <w:t>0,</w:t>
      </w:r>
      <w:r w:rsidR="00F46224">
        <w:rPr>
          <w:b/>
          <w:bCs/>
          <w:color w:val="000000"/>
        </w:rPr>
        <w:t>5</w:t>
      </w:r>
      <w:r w:rsidR="000704EE">
        <w:rPr>
          <w:b/>
          <w:bCs/>
          <w:color w:val="000000"/>
        </w:rPr>
        <w:t>1</w:t>
      </w:r>
      <w:r w:rsidRPr="00A81F9F">
        <w:rPr>
          <w:b/>
          <w:bCs/>
          <w:color w:val="000000"/>
        </w:rPr>
        <w:t>%</w:t>
      </w:r>
      <w:r w:rsidR="00F46224">
        <w:rPr>
          <w:b/>
          <w:bCs/>
          <w:color w:val="000000"/>
        </w:rPr>
        <w:t xml:space="preserve"> (0,58%)</w:t>
      </w:r>
      <w:r>
        <w:rPr>
          <w:color w:val="000000"/>
        </w:rPr>
        <w:t xml:space="preserve"> роста электропотребления, что </w:t>
      </w:r>
      <w:r w:rsidR="000704EE">
        <w:rPr>
          <w:color w:val="000000"/>
        </w:rPr>
        <w:t>существенно</w:t>
      </w:r>
      <w:r>
        <w:rPr>
          <w:color w:val="000000"/>
        </w:rPr>
        <w:t xml:space="preserve"> выше, чем в среднем по России, где Кэ = </w:t>
      </w:r>
      <w:r>
        <w:rPr>
          <w:b/>
          <w:color w:val="000000"/>
        </w:rPr>
        <w:t>0,37</w:t>
      </w:r>
      <w:r w:rsidRPr="00D36DF5">
        <w:rPr>
          <w:b/>
          <w:color w:val="000000"/>
        </w:rPr>
        <w:t>.</w:t>
      </w:r>
      <w:r w:rsidRPr="00D36DF5">
        <w:rPr>
          <w:color w:val="000000"/>
        </w:rPr>
        <w:t>(</w:t>
      </w:r>
      <w:r>
        <w:rPr>
          <w:color w:val="000000"/>
        </w:rPr>
        <w:t>см.  рис.10 р</w:t>
      </w:r>
      <w:r w:rsidRPr="00D36DF5">
        <w:rPr>
          <w:color w:val="000000"/>
        </w:rPr>
        <w:t>аздел 2)</w:t>
      </w:r>
      <w:r>
        <w:rPr>
          <w:color w:val="000000"/>
        </w:rPr>
        <w:t>.</w:t>
      </w:r>
    </w:p>
    <w:p w:rsidR="00C155B0" w:rsidRDefault="00C155B0" w:rsidP="00F82AFF">
      <w:pPr>
        <w:pStyle w:val="af1"/>
        <w:shd w:val="clear" w:color="auto" w:fill="FFFFFF"/>
        <w:spacing w:before="0" w:beforeAutospacing="0" w:after="0" w:afterAutospacing="0"/>
        <w:ind w:firstLine="720"/>
        <w:jc w:val="both"/>
        <w:rPr>
          <w:color w:val="000000"/>
        </w:rPr>
      </w:pPr>
      <w:r>
        <w:rPr>
          <w:color w:val="000000"/>
        </w:rPr>
        <w:t>Определим среднегодовой коэффициент эластичности электропотребления к ВРПм</w:t>
      </w:r>
      <w:r w:rsidR="00F46224">
        <w:rPr>
          <w:color w:val="000000"/>
        </w:rPr>
        <w:t>о</w:t>
      </w:r>
      <w:r>
        <w:rPr>
          <w:color w:val="000000"/>
        </w:rPr>
        <w:t xml:space="preserve">  другим способом - путем осреднения ежегодных коэффициентов эластичности в пе</w:t>
      </w:r>
      <w:r w:rsidR="00933C8F">
        <w:rPr>
          <w:color w:val="000000"/>
        </w:rPr>
        <w:t>риод роста ВРП с 1997,1999-2008</w:t>
      </w:r>
      <w:r>
        <w:rPr>
          <w:color w:val="000000"/>
        </w:rPr>
        <w:t>гг.</w:t>
      </w:r>
      <w:r w:rsidR="00933C8F">
        <w:rPr>
          <w:color w:val="000000"/>
        </w:rPr>
        <w:t xml:space="preserve"> </w:t>
      </w:r>
      <w:r w:rsidR="00C96E9B">
        <w:rPr>
          <w:color w:val="000000"/>
        </w:rPr>
        <w:t>(электропотр</w:t>
      </w:r>
      <w:r w:rsidR="003C4FFC">
        <w:rPr>
          <w:color w:val="000000"/>
        </w:rPr>
        <w:t>е</w:t>
      </w:r>
      <w:r w:rsidR="00C96E9B">
        <w:rPr>
          <w:color w:val="000000"/>
        </w:rPr>
        <w:t>бление в МО взято по данным Росстата</w:t>
      </w:r>
      <w:r w:rsidR="00933C8F">
        <w:rPr>
          <w:color w:val="000000"/>
        </w:rPr>
        <w:t xml:space="preserve"> – рис. 5</w:t>
      </w:r>
      <w:r w:rsidR="00F82AFF">
        <w:rPr>
          <w:color w:val="000000"/>
        </w:rPr>
        <w:t>4</w:t>
      </w:r>
      <w:r w:rsidR="00933C8F">
        <w:rPr>
          <w:color w:val="000000"/>
        </w:rPr>
        <w:t xml:space="preserve"> и по данным Мосэнергосбыта – рис. 5</w:t>
      </w:r>
      <w:r w:rsidR="00F82AFF">
        <w:rPr>
          <w:color w:val="000000"/>
        </w:rPr>
        <w:t>5</w:t>
      </w:r>
      <w:r w:rsidR="00C96E9B">
        <w:rPr>
          <w:color w:val="000000"/>
        </w:rPr>
        <w:t>)</w:t>
      </w:r>
      <w:r w:rsidR="00933C8F">
        <w:rPr>
          <w:color w:val="000000"/>
        </w:rPr>
        <w:t xml:space="preserve">. </w:t>
      </w:r>
    </w:p>
    <w:p w:rsidR="00F74A2E" w:rsidRDefault="00F74A2E" w:rsidP="00DA1CB0">
      <w:pPr>
        <w:pStyle w:val="af1"/>
        <w:shd w:val="clear" w:color="auto" w:fill="FFFFFF"/>
        <w:spacing w:before="0" w:beforeAutospacing="0" w:after="0" w:afterAutospacing="0"/>
        <w:ind w:firstLine="720"/>
        <w:rPr>
          <w:color w:val="000000"/>
        </w:rPr>
      </w:pPr>
    </w:p>
    <w:p w:rsidR="00044F2D" w:rsidRDefault="007C1ADE" w:rsidP="00855E00">
      <w:pPr>
        <w:pStyle w:val="af1"/>
        <w:shd w:val="clear" w:color="auto" w:fill="FFFFFF"/>
        <w:spacing w:before="0" w:beforeAutospacing="0" w:after="0" w:afterAutospacing="0"/>
        <w:rPr>
          <w:color w:val="000000"/>
        </w:rPr>
      </w:pPr>
      <w:r>
        <w:rPr>
          <w:noProof/>
          <w:color w:val="000000"/>
        </w:rPr>
        <w:drawing>
          <wp:inline distT="0" distB="0" distL="0" distR="0">
            <wp:extent cx="5798820" cy="2746629"/>
            <wp:effectExtent l="12192" t="6096" r="8763" b="0"/>
            <wp:docPr id="59"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F74A2E" w:rsidRDefault="00F74A2E" w:rsidP="00DA1CB0">
      <w:pPr>
        <w:pStyle w:val="af1"/>
        <w:shd w:val="clear" w:color="auto" w:fill="FFFFFF"/>
        <w:spacing w:before="0" w:beforeAutospacing="0" w:after="0" w:afterAutospacing="0"/>
        <w:ind w:firstLine="720"/>
        <w:rPr>
          <w:color w:val="000000"/>
        </w:rPr>
      </w:pPr>
    </w:p>
    <w:p w:rsidR="00F74A2E" w:rsidRDefault="00044F2D" w:rsidP="00DA1CB0">
      <w:pPr>
        <w:pStyle w:val="af1"/>
        <w:shd w:val="clear" w:color="auto" w:fill="FFFFFF"/>
        <w:spacing w:before="0" w:beforeAutospacing="0" w:after="0" w:afterAutospacing="0"/>
        <w:ind w:firstLine="720"/>
        <w:rPr>
          <w:color w:val="000000"/>
        </w:rPr>
      </w:pPr>
      <w:r>
        <w:rPr>
          <w:color w:val="000000"/>
        </w:rPr>
        <w:t>Рис. 5</w:t>
      </w:r>
      <w:r w:rsidR="00F82AFF">
        <w:rPr>
          <w:color w:val="000000"/>
        </w:rPr>
        <w:t>4</w:t>
      </w:r>
      <w:r>
        <w:rPr>
          <w:color w:val="000000"/>
        </w:rPr>
        <w:t>. Ежегодные</w:t>
      </w:r>
      <w:r w:rsidR="0033501F">
        <w:rPr>
          <w:color w:val="000000"/>
        </w:rPr>
        <w:t xml:space="preserve"> значения</w:t>
      </w:r>
      <w:r>
        <w:rPr>
          <w:color w:val="000000"/>
        </w:rPr>
        <w:t xml:space="preserve"> коэффициен</w:t>
      </w:r>
      <w:r w:rsidR="0033501F">
        <w:rPr>
          <w:color w:val="000000"/>
        </w:rPr>
        <w:t>тов</w:t>
      </w:r>
      <w:r>
        <w:rPr>
          <w:color w:val="000000"/>
        </w:rPr>
        <w:t xml:space="preserve"> эластичности электропотребления к ВРПмо</w:t>
      </w:r>
      <w:r w:rsidR="0033501F">
        <w:rPr>
          <w:color w:val="000000"/>
        </w:rPr>
        <w:t xml:space="preserve"> в Московской области</w:t>
      </w:r>
      <w:r>
        <w:rPr>
          <w:color w:val="000000"/>
        </w:rPr>
        <w:t xml:space="preserve"> в период 1997-2012гг.</w:t>
      </w:r>
      <w:r w:rsidR="00185225">
        <w:rPr>
          <w:color w:val="000000"/>
        </w:rPr>
        <w:t xml:space="preserve"> (по данным Росстата).</w:t>
      </w:r>
    </w:p>
    <w:p w:rsidR="00044F2D" w:rsidRDefault="00044F2D" w:rsidP="00DA1CB0">
      <w:pPr>
        <w:pStyle w:val="af1"/>
        <w:shd w:val="clear" w:color="auto" w:fill="FFFFFF"/>
        <w:spacing w:before="0" w:beforeAutospacing="0" w:after="0" w:afterAutospacing="0"/>
        <w:ind w:firstLine="720"/>
        <w:rPr>
          <w:color w:val="000000"/>
        </w:rPr>
      </w:pPr>
    </w:p>
    <w:p w:rsidR="00044F2D" w:rsidRDefault="00044F2D" w:rsidP="00DA1CB0">
      <w:pPr>
        <w:pStyle w:val="af1"/>
        <w:shd w:val="clear" w:color="auto" w:fill="FFFFFF"/>
        <w:spacing w:before="0" w:beforeAutospacing="0" w:after="0" w:afterAutospacing="0"/>
        <w:ind w:firstLine="720"/>
        <w:rPr>
          <w:color w:val="000000"/>
        </w:rPr>
      </w:pPr>
    </w:p>
    <w:p w:rsidR="00044F2D" w:rsidRDefault="0033501F" w:rsidP="00DA1CB0">
      <w:pPr>
        <w:pStyle w:val="af1"/>
        <w:shd w:val="clear" w:color="auto" w:fill="FFFFFF"/>
        <w:spacing w:before="0" w:beforeAutospacing="0" w:after="0" w:afterAutospacing="0"/>
        <w:ind w:firstLine="720"/>
        <w:rPr>
          <w:color w:val="000000"/>
        </w:rPr>
      </w:pPr>
      <w:r>
        <w:rPr>
          <w:color w:val="000000"/>
        </w:rPr>
        <w:t xml:space="preserve">  </w:t>
      </w:r>
      <w:r w:rsidR="007C1ADE">
        <w:rPr>
          <w:noProof/>
          <w:color w:val="000000"/>
        </w:rPr>
        <w:drawing>
          <wp:inline distT="0" distB="0" distL="0" distR="0">
            <wp:extent cx="5811774" cy="3289554"/>
            <wp:effectExtent l="12192" t="6096" r="5334" b="0"/>
            <wp:docPr id="60"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33C8F" w:rsidRDefault="00933C8F" w:rsidP="00F82AFF">
      <w:pPr>
        <w:pStyle w:val="af1"/>
        <w:shd w:val="clear" w:color="auto" w:fill="FFFFFF"/>
        <w:spacing w:before="0" w:beforeAutospacing="0" w:after="0" w:afterAutospacing="0"/>
        <w:ind w:firstLine="720"/>
        <w:jc w:val="both"/>
        <w:rPr>
          <w:color w:val="000000"/>
        </w:rPr>
      </w:pPr>
      <w:r>
        <w:rPr>
          <w:color w:val="000000"/>
        </w:rPr>
        <w:t>Рис. 5</w:t>
      </w:r>
      <w:r w:rsidR="00F82AFF">
        <w:rPr>
          <w:color w:val="000000"/>
        </w:rPr>
        <w:t>5</w:t>
      </w:r>
      <w:r>
        <w:rPr>
          <w:color w:val="000000"/>
        </w:rPr>
        <w:t xml:space="preserve">. Ежегодные значения коэффициентов </w:t>
      </w:r>
      <w:r w:rsidR="00185225">
        <w:rPr>
          <w:color w:val="000000"/>
        </w:rPr>
        <w:t xml:space="preserve">эластичности электропотребления </w:t>
      </w:r>
      <w:r>
        <w:rPr>
          <w:color w:val="000000"/>
        </w:rPr>
        <w:t>к ВРПмо в Московской области в период 1997-2012гг.</w:t>
      </w:r>
      <w:r w:rsidR="00185225">
        <w:rPr>
          <w:color w:val="000000"/>
        </w:rPr>
        <w:t xml:space="preserve"> (по данным Мосэнергосбыта).</w:t>
      </w:r>
    </w:p>
    <w:p w:rsidR="00933C8F" w:rsidRDefault="00933C8F" w:rsidP="00185225">
      <w:pPr>
        <w:pStyle w:val="af1"/>
        <w:shd w:val="clear" w:color="auto" w:fill="FFFFFF"/>
        <w:spacing w:before="0" w:beforeAutospacing="0" w:after="0" w:afterAutospacing="0"/>
        <w:rPr>
          <w:color w:val="000000"/>
        </w:rPr>
      </w:pPr>
    </w:p>
    <w:p w:rsidR="003B0F77" w:rsidRDefault="00933C8F" w:rsidP="00F82AFF">
      <w:pPr>
        <w:pStyle w:val="af1"/>
        <w:shd w:val="clear" w:color="auto" w:fill="FFFFFF"/>
        <w:spacing w:before="0" w:beforeAutospacing="0" w:after="0" w:afterAutospacing="0"/>
        <w:ind w:firstLine="720"/>
        <w:jc w:val="both"/>
        <w:rPr>
          <w:color w:val="000000"/>
        </w:rPr>
      </w:pPr>
      <w:r>
        <w:rPr>
          <w:color w:val="000000"/>
        </w:rPr>
        <w:t xml:space="preserve">Видно, что имеет место </w:t>
      </w:r>
      <w:r w:rsidR="0047557B">
        <w:rPr>
          <w:color w:val="000000"/>
        </w:rPr>
        <w:t>заметный</w:t>
      </w:r>
      <w:r>
        <w:rPr>
          <w:color w:val="000000"/>
        </w:rPr>
        <w:t xml:space="preserve"> разброс ежегодных значений коэффициентов эластичности Кэмо</w:t>
      </w:r>
      <w:r w:rsidR="00185225">
        <w:rPr>
          <w:color w:val="000000"/>
        </w:rPr>
        <w:t xml:space="preserve"> и по данным Росстата</w:t>
      </w:r>
      <w:r w:rsidR="00B320A4">
        <w:rPr>
          <w:color w:val="000000"/>
        </w:rPr>
        <w:t xml:space="preserve"> (рис. 53)</w:t>
      </w:r>
      <w:r w:rsidR="00185225">
        <w:rPr>
          <w:color w:val="000000"/>
        </w:rPr>
        <w:t xml:space="preserve"> и </w:t>
      </w:r>
      <w:r w:rsidR="005E4002">
        <w:rPr>
          <w:color w:val="000000"/>
        </w:rPr>
        <w:t xml:space="preserve">значительно больший разброс </w:t>
      </w:r>
      <w:r w:rsidR="00185225">
        <w:rPr>
          <w:color w:val="000000"/>
        </w:rPr>
        <w:t>по данным Мосэнергосбыта</w:t>
      </w:r>
      <w:r w:rsidR="00B320A4">
        <w:rPr>
          <w:color w:val="000000"/>
        </w:rPr>
        <w:t xml:space="preserve"> (рис. 54)</w:t>
      </w:r>
      <w:r>
        <w:rPr>
          <w:color w:val="000000"/>
        </w:rPr>
        <w:t>. При этом среднегодовое значение этого коэффициента</w:t>
      </w:r>
      <w:r w:rsidR="002C7B42">
        <w:rPr>
          <w:color w:val="000000"/>
        </w:rPr>
        <w:t xml:space="preserve"> Кэмо=0,54 (</w:t>
      </w:r>
      <w:r w:rsidR="005E4002">
        <w:rPr>
          <w:color w:val="000000"/>
        </w:rPr>
        <w:t>по данным Росстата</w:t>
      </w:r>
      <w:r w:rsidR="002C7B42">
        <w:rPr>
          <w:color w:val="000000"/>
        </w:rPr>
        <w:t>), осредненное</w:t>
      </w:r>
      <w:r w:rsidR="005E4002">
        <w:rPr>
          <w:color w:val="000000"/>
        </w:rPr>
        <w:t xml:space="preserve"> </w:t>
      </w:r>
      <w:r>
        <w:rPr>
          <w:color w:val="000000"/>
        </w:rPr>
        <w:t>по всему периоду</w:t>
      </w:r>
      <w:r w:rsidR="005E4002">
        <w:rPr>
          <w:color w:val="000000"/>
        </w:rPr>
        <w:t xml:space="preserve"> роста ВРП (1997, 1999-2008 и 2010гг.)</w:t>
      </w:r>
      <w:r w:rsidR="001404A7">
        <w:rPr>
          <w:color w:val="000000"/>
        </w:rPr>
        <w:t>, а по данным Мосэнергосбыта Кэмо=0,61</w:t>
      </w:r>
      <w:r w:rsidR="002C7B42">
        <w:rPr>
          <w:color w:val="000000"/>
        </w:rPr>
        <w:t>. Эти значения</w:t>
      </w:r>
      <w:r>
        <w:rPr>
          <w:color w:val="000000"/>
        </w:rPr>
        <w:t xml:space="preserve"> близк</w:t>
      </w:r>
      <w:r w:rsidR="002C7B42">
        <w:rPr>
          <w:color w:val="000000"/>
        </w:rPr>
        <w:t xml:space="preserve">и </w:t>
      </w:r>
      <w:r>
        <w:rPr>
          <w:color w:val="000000"/>
        </w:rPr>
        <w:t>к значени</w:t>
      </w:r>
      <w:r w:rsidR="001404A7">
        <w:rPr>
          <w:color w:val="000000"/>
        </w:rPr>
        <w:t xml:space="preserve">ям </w:t>
      </w:r>
      <w:r>
        <w:rPr>
          <w:color w:val="000000"/>
        </w:rPr>
        <w:t xml:space="preserve"> Кэмо=0,51</w:t>
      </w:r>
      <w:r w:rsidR="00185225">
        <w:rPr>
          <w:color w:val="000000"/>
        </w:rPr>
        <w:t xml:space="preserve"> (по данным Росстата)</w:t>
      </w:r>
      <w:r w:rsidR="001404A7">
        <w:rPr>
          <w:color w:val="000000"/>
        </w:rPr>
        <w:t xml:space="preserve"> и Кэмо=0,58 (по данным Мосэнергосбыта)</w:t>
      </w:r>
      <w:r w:rsidR="002C7B42">
        <w:rPr>
          <w:color w:val="000000"/>
        </w:rPr>
        <w:t>,</w:t>
      </w:r>
      <w:r w:rsidR="001404A7">
        <w:rPr>
          <w:color w:val="000000"/>
        </w:rPr>
        <w:t xml:space="preserve"> полученны</w:t>
      </w:r>
      <w:r w:rsidR="002C7B42">
        <w:rPr>
          <w:color w:val="000000"/>
        </w:rPr>
        <w:t xml:space="preserve">м </w:t>
      </w:r>
      <w:r w:rsidR="00185225">
        <w:rPr>
          <w:color w:val="000000"/>
        </w:rPr>
        <w:t>выше</w:t>
      </w:r>
      <w:r>
        <w:rPr>
          <w:color w:val="000000"/>
        </w:rPr>
        <w:t xml:space="preserve"> </w:t>
      </w:r>
      <w:r w:rsidR="00185225">
        <w:rPr>
          <w:color w:val="000000"/>
        </w:rPr>
        <w:t>другим способом</w:t>
      </w:r>
      <w:r>
        <w:rPr>
          <w:color w:val="000000"/>
        </w:rPr>
        <w:t xml:space="preserve">. </w:t>
      </w:r>
    </w:p>
    <w:p w:rsidR="00C328F8" w:rsidRDefault="00C328F8" w:rsidP="008820AC">
      <w:pPr>
        <w:pStyle w:val="af1"/>
        <w:shd w:val="clear" w:color="auto" w:fill="FFFFFF"/>
        <w:spacing w:after="0" w:afterAutospacing="0"/>
        <w:ind w:firstLine="720"/>
        <w:jc w:val="both"/>
        <w:rPr>
          <w:b/>
          <w:color w:val="000000"/>
        </w:rPr>
      </w:pPr>
      <w:r w:rsidRPr="00EE283D">
        <w:rPr>
          <w:b/>
          <w:color w:val="000000"/>
        </w:rPr>
        <w:t>9.</w:t>
      </w:r>
      <w:r>
        <w:rPr>
          <w:b/>
          <w:color w:val="000000"/>
        </w:rPr>
        <w:t>1.3.</w:t>
      </w:r>
      <w:r w:rsidRPr="00EE283D">
        <w:rPr>
          <w:b/>
          <w:color w:val="000000"/>
        </w:rPr>
        <w:t xml:space="preserve"> Связь между электропотреблением и</w:t>
      </w:r>
      <w:r>
        <w:rPr>
          <w:b/>
          <w:color w:val="000000"/>
        </w:rPr>
        <w:t xml:space="preserve"> валовым региональным продуктом</w:t>
      </w:r>
      <w:r w:rsidRPr="00EE283D">
        <w:rPr>
          <w:b/>
          <w:color w:val="000000"/>
        </w:rPr>
        <w:t xml:space="preserve"> в Моск</w:t>
      </w:r>
      <w:r>
        <w:rPr>
          <w:b/>
          <w:color w:val="000000"/>
        </w:rPr>
        <w:t>овском регионе</w:t>
      </w:r>
      <w:r w:rsidR="008820AC">
        <w:rPr>
          <w:b/>
          <w:color w:val="000000"/>
        </w:rPr>
        <w:t xml:space="preserve"> (</w:t>
      </w:r>
      <w:r w:rsidR="008820AC" w:rsidRPr="00EE283D">
        <w:rPr>
          <w:b/>
          <w:color w:val="000000"/>
        </w:rPr>
        <w:t>ВРП</w:t>
      </w:r>
      <w:r w:rsidR="008820AC">
        <w:rPr>
          <w:b/>
          <w:color w:val="000000"/>
        </w:rPr>
        <w:t>мр)</w:t>
      </w:r>
      <w:r w:rsidRPr="00EE283D">
        <w:rPr>
          <w:b/>
          <w:color w:val="000000"/>
        </w:rPr>
        <w:t xml:space="preserve">. </w:t>
      </w:r>
    </w:p>
    <w:p w:rsidR="0074628F" w:rsidRDefault="0074628F" w:rsidP="00353B73">
      <w:pPr>
        <w:pStyle w:val="af1"/>
        <w:shd w:val="clear" w:color="auto" w:fill="FFFFFF"/>
        <w:spacing w:before="0" w:beforeAutospacing="0" w:after="0" w:afterAutospacing="0"/>
        <w:ind w:firstLine="720"/>
        <w:jc w:val="both"/>
        <w:rPr>
          <w:color w:val="000000"/>
        </w:rPr>
      </w:pPr>
    </w:p>
    <w:p w:rsidR="00353B73" w:rsidRDefault="008820AC" w:rsidP="00353B73">
      <w:pPr>
        <w:pStyle w:val="af1"/>
        <w:shd w:val="clear" w:color="auto" w:fill="FFFFFF"/>
        <w:spacing w:before="0" w:beforeAutospacing="0" w:after="0" w:afterAutospacing="0"/>
        <w:ind w:firstLine="720"/>
        <w:jc w:val="both"/>
        <w:rPr>
          <w:color w:val="000000"/>
        </w:rPr>
      </w:pPr>
      <w:r>
        <w:rPr>
          <w:color w:val="000000"/>
        </w:rPr>
        <w:t>В</w:t>
      </w:r>
      <w:r w:rsidR="00353B73">
        <w:rPr>
          <w:color w:val="000000"/>
        </w:rPr>
        <w:t>ало</w:t>
      </w:r>
      <w:r>
        <w:rPr>
          <w:color w:val="000000"/>
        </w:rPr>
        <w:t xml:space="preserve">вой региональный продукт и электропотребление в </w:t>
      </w:r>
      <w:r w:rsidR="00353B73">
        <w:rPr>
          <w:color w:val="000000"/>
        </w:rPr>
        <w:t>Московско</w:t>
      </w:r>
      <w:r>
        <w:rPr>
          <w:color w:val="000000"/>
        </w:rPr>
        <w:t>м</w:t>
      </w:r>
      <w:r w:rsidR="00353B73">
        <w:rPr>
          <w:color w:val="000000"/>
        </w:rPr>
        <w:t xml:space="preserve"> регион</w:t>
      </w:r>
      <w:r>
        <w:rPr>
          <w:color w:val="000000"/>
        </w:rPr>
        <w:t>е (</w:t>
      </w:r>
      <w:r w:rsidRPr="00A81F9F">
        <w:rPr>
          <w:color w:val="000000"/>
        </w:rPr>
        <w:t>ВРП</w:t>
      </w:r>
      <w:r>
        <w:rPr>
          <w:color w:val="000000"/>
        </w:rPr>
        <w:t>м</w:t>
      </w:r>
      <w:r w:rsidRPr="00A81F9F">
        <w:rPr>
          <w:color w:val="000000"/>
        </w:rPr>
        <w:t>р</w:t>
      </w:r>
      <w:r w:rsidR="00114C29">
        <w:rPr>
          <w:color w:val="000000"/>
        </w:rPr>
        <w:t xml:space="preserve"> и Эмр</w:t>
      </w:r>
      <w:r>
        <w:rPr>
          <w:color w:val="000000"/>
        </w:rPr>
        <w:t xml:space="preserve">) </w:t>
      </w:r>
      <w:r w:rsidR="00114C29">
        <w:rPr>
          <w:color w:val="000000"/>
        </w:rPr>
        <w:t xml:space="preserve"> равняется сумме валовых региональных продуктов и объемов электропотребления </w:t>
      </w:r>
      <w:r w:rsidR="00862B75">
        <w:rPr>
          <w:color w:val="000000"/>
        </w:rPr>
        <w:t xml:space="preserve"> Москвы</w:t>
      </w:r>
      <w:r w:rsidR="00114C29">
        <w:rPr>
          <w:color w:val="000000"/>
        </w:rPr>
        <w:t xml:space="preserve"> и Московской области</w:t>
      </w:r>
      <w:r w:rsidR="00353B73">
        <w:rPr>
          <w:color w:val="000000"/>
        </w:rPr>
        <w:t>:</w:t>
      </w:r>
    </w:p>
    <w:p w:rsidR="00353B73" w:rsidRDefault="00353B73" w:rsidP="00353B73">
      <w:pPr>
        <w:pStyle w:val="af1"/>
        <w:shd w:val="clear" w:color="auto" w:fill="FFFFFF"/>
        <w:spacing w:before="0" w:beforeAutospacing="0" w:after="0" w:afterAutospacing="0"/>
        <w:ind w:firstLine="720"/>
        <w:jc w:val="both"/>
        <w:rPr>
          <w:color w:val="000000"/>
        </w:rPr>
      </w:pPr>
    </w:p>
    <w:p w:rsidR="00353B73" w:rsidRDefault="00353B73" w:rsidP="00114C29">
      <w:pPr>
        <w:pStyle w:val="af1"/>
        <w:shd w:val="clear" w:color="auto" w:fill="FFFFFF"/>
        <w:spacing w:before="0" w:beforeAutospacing="0" w:after="0" w:afterAutospacing="0"/>
        <w:ind w:firstLine="720"/>
        <w:jc w:val="right"/>
        <w:rPr>
          <w:color w:val="000000"/>
        </w:rPr>
      </w:pPr>
      <w:r>
        <w:rPr>
          <w:color w:val="000000"/>
        </w:rPr>
        <w:t>ВРП</w:t>
      </w:r>
      <w:r w:rsidR="008820AC">
        <w:rPr>
          <w:color w:val="000000"/>
        </w:rPr>
        <w:t>м</w:t>
      </w:r>
      <w:r>
        <w:rPr>
          <w:color w:val="000000"/>
        </w:rPr>
        <w:t>р = ВРПм + ВРПмо ,</w:t>
      </w:r>
      <w:r w:rsidR="00114C29">
        <w:rPr>
          <w:color w:val="000000"/>
        </w:rPr>
        <w:t xml:space="preserve">                                              </w:t>
      </w:r>
      <w:r>
        <w:rPr>
          <w:color w:val="000000"/>
        </w:rPr>
        <w:t xml:space="preserve"> (1),</w:t>
      </w:r>
    </w:p>
    <w:p w:rsidR="00353B73" w:rsidRDefault="00353B73" w:rsidP="00353B73">
      <w:pPr>
        <w:pStyle w:val="af1"/>
        <w:shd w:val="clear" w:color="auto" w:fill="FFFFFF"/>
        <w:spacing w:before="0" w:beforeAutospacing="0" w:after="0" w:afterAutospacing="0"/>
        <w:ind w:firstLine="720"/>
        <w:jc w:val="center"/>
        <w:rPr>
          <w:color w:val="000000"/>
        </w:rPr>
      </w:pPr>
    </w:p>
    <w:p w:rsidR="00353B73" w:rsidRDefault="00353B73" w:rsidP="00114C29">
      <w:pPr>
        <w:pStyle w:val="af1"/>
        <w:shd w:val="clear" w:color="auto" w:fill="FFFFFF"/>
        <w:spacing w:before="0" w:beforeAutospacing="0" w:after="0" w:afterAutospacing="0"/>
        <w:ind w:firstLine="720"/>
        <w:jc w:val="right"/>
        <w:rPr>
          <w:color w:val="000000"/>
        </w:rPr>
      </w:pPr>
      <w:r>
        <w:rPr>
          <w:color w:val="000000"/>
        </w:rPr>
        <w:t>Э</w:t>
      </w:r>
      <w:r w:rsidR="008820AC">
        <w:rPr>
          <w:color w:val="000000"/>
        </w:rPr>
        <w:t>м</w:t>
      </w:r>
      <w:r>
        <w:rPr>
          <w:color w:val="000000"/>
        </w:rPr>
        <w:t xml:space="preserve">р= Эм+Эмо </w:t>
      </w:r>
      <w:r w:rsidR="00114C29">
        <w:rPr>
          <w:color w:val="000000"/>
        </w:rPr>
        <w:t xml:space="preserve">                                                             </w:t>
      </w:r>
      <w:r>
        <w:rPr>
          <w:color w:val="000000"/>
        </w:rPr>
        <w:t xml:space="preserve"> (2)                                                      </w:t>
      </w:r>
    </w:p>
    <w:p w:rsidR="00353B73" w:rsidRDefault="00353B73" w:rsidP="00353B73">
      <w:pPr>
        <w:pStyle w:val="af1"/>
        <w:shd w:val="clear" w:color="auto" w:fill="FFFFFF"/>
        <w:spacing w:before="0" w:beforeAutospacing="0" w:after="0" w:afterAutospacing="0"/>
        <w:ind w:firstLine="720"/>
        <w:jc w:val="center"/>
        <w:rPr>
          <w:color w:val="000000"/>
        </w:rPr>
      </w:pPr>
    </w:p>
    <w:p w:rsidR="00353B73" w:rsidRDefault="00353B73" w:rsidP="00353B73">
      <w:pPr>
        <w:pStyle w:val="af1"/>
        <w:shd w:val="clear" w:color="auto" w:fill="FFFFFF"/>
        <w:spacing w:before="0" w:beforeAutospacing="0" w:after="0" w:afterAutospacing="0"/>
        <w:ind w:firstLine="720"/>
        <w:jc w:val="both"/>
        <w:rPr>
          <w:color w:val="000000"/>
        </w:rPr>
      </w:pPr>
      <w:r>
        <w:rPr>
          <w:color w:val="000000"/>
        </w:rPr>
        <w:t xml:space="preserve"> ВРПм и ВРПмо- соответственно валовые региональные продукты Москвы и Московской области, а Эм и Эмо  соответственно </w:t>
      </w:r>
      <w:r w:rsidR="00114C29">
        <w:rPr>
          <w:color w:val="000000"/>
        </w:rPr>
        <w:t>объемы</w:t>
      </w:r>
      <w:r>
        <w:rPr>
          <w:color w:val="000000"/>
        </w:rPr>
        <w:t xml:space="preserve"> электропотребления </w:t>
      </w:r>
      <w:r w:rsidR="00114C29">
        <w:rPr>
          <w:color w:val="000000"/>
        </w:rPr>
        <w:t xml:space="preserve">в </w:t>
      </w:r>
      <w:r>
        <w:rPr>
          <w:color w:val="000000"/>
        </w:rPr>
        <w:t>Москв</w:t>
      </w:r>
      <w:r w:rsidR="00114C29">
        <w:rPr>
          <w:color w:val="000000"/>
        </w:rPr>
        <w:t>е</w:t>
      </w:r>
      <w:r>
        <w:rPr>
          <w:color w:val="000000"/>
        </w:rPr>
        <w:t xml:space="preserve"> и </w:t>
      </w:r>
      <w:r w:rsidR="00862B75">
        <w:rPr>
          <w:color w:val="000000"/>
        </w:rPr>
        <w:t xml:space="preserve">в </w:t>
      </w:r>
      <w:r>
        <w:rPr>
          <w:color w:val="000000"/>
        </w:rPr>
        <w:t>Московской области.</w:t>
      </w:r>
    </w:p>
    <w:p w:rsidR="00353B73" w:rsidRDefault="00353B73" w:rsidP="00353B73">
      <w:pPr>
        <w:pStyle w:val="af1"/>
        <w:shd w:val="clear" w:color="auto" w:fill="FFFFFF"/>
        <w:spacing w:before="0" w:beforeAutospacing="0" w:after="0" w:afterAutospacing="0"/>
        <w:ind w:firstLine="720"/>
        <w:jc w:val="both"/>
        <w:rPr>
          <w:color w:val="000000"/>
        </w:rPr>
      </w:pPr>
    </w:p>
    <w:p w:rsidR="00353B73" w:rsidRDefault="00353B73" w:rsidP="00F82AFF">
      <w:pPr>
        <w:pStyle w:val="af1"/>
        <w:shd w:val="clear" w:color="auto" w:fill="FFFFFF"/>
        <w:spacing w:before="0" w:beforeAutospacing="0" w:after="0" w:afterAutospacing="0"/>
        <w:ind w:firstLine="720"/>
        <w:jc w:val="both"/>
        <w:rPr>
          <w:color w:val="000000"/>
        </w:rPr>
      </w:pPr>
      <w:r>
        <w:rPr>
          <w:color w:val="000000"/>
        </w:rPr>
        <w:t>По определению коэффициент эластичности электропотребления от ВРП</w:t>
      </w:r>
      <w:r w:rsidR="00862B75">
        <w:rPr>
          <w:color w:val="000000"/>
        </w:rPr>
        <w:t>м</w:t>
      </w:r>
      <w:r>
        <w:rPr>
          <w:color w:val="000000"/>
        </w:rPr>
        <w:t xml:space="preserve">р представляет собой отношение </w:t>
      </w:r>
      <w:r w:rsidR="0074628F">
        <w:rPr>
          <w:color w:val="000000"/>
        </w:rPr>
        <w:t>ежегодных</w:t>
      </w:r>
      <w:r>
        <w:rPr>
          <w:color w:val="000000"/>
        </w:rPr>
        <w:t xml:space="preserve"> темпов изменения электропотребления и ВРП</w:t>
      </w:r>
      <w:r w:rsidR="00862B75">
        <w:rPr>
          <w:color w:val="000000"/>
        </w:rPr>
        <w:t>м</w:t>
      </w:r>
      <w:r>
        <w:rPr>
          <w:color w:val="000000"/>
        </w:rPr>
        <w:t>р в Московском регионе:</w:t>
      </w:r>
    </w:p>
    <w:p w:rsidR="002A01ED" w:rsidRPr="00BE2204" w:rsidRDefault="00353B73" w:rsidP="002A01ED">
      <w:pPr>
        <w:jc w:val="center"/>
        <w:rPr>
          <w:rFonts w:eastAsia="Times New Roman"/>
        </w:rPr>
      </w:pPr>
      <w:r>
        <w:rPr>
          <w:color w:val="000000"/>
        </w:rPr>
        <w:br/>
      </w:r>
      <w:r w:rsidR="00313C26">
        <w:t xml:space="preserve">                                          </w:t>
      </w:r>
      <w:r w:rsidR="002A01ED" w:rsidRPr="00AE5AC9">
        <w:rPr>
          <w:rFonts w:ascii="Cambria Math" w:hAnsi="Cambria Math"/>
        </w:rPr>
        <w:br/>
      </w:r>
      <m:oMathPara>
        <m:oMath>
          <m:sSub>
            <m:sSubPr>
              <m:ctrlPr>
                <w:rPr>
                  <w:rFonts w:ascii="Cambria Math" w:hAnsi="Cambria Math"/>
                  <w:i/>
                </w:rPr>
              </m:ctrlPr>
            </m:sSubPr>
            <m:e>
              <m:r>
                <w:rPr>
                  <w:rFonts w:ascii="Cambria Math" w:hAnsi="Cambria Math"/>
                </w:rPr>
                <m:t>К</m:t>
              </m:r>
            </m:e>
            <m:sub>
              <m:r>
                <w:rPr>
                  <w:rFonts w:ascii="Cambria Math" w:hAnsi="Cambria Math"/>
                </w:rPr>
                <m:t>эр</m:t>
              </m:r>
            </m:sub>
          </m:sSub>
          <m:r>
            <w:rPr>
              <w:rFonts w:ascii="Cambria Math" w:hAnsi="Cambria Math"/>
            </w:rPr>
            <m:t>=</m:t>
          </m:r>
          <m:f>
            <m:fPr>
              <m:ctrlPr>
                <w:rPr>
                  <w:rFonts w:ascii="Cambria Math" w:hAnsi="Cambria Math"/>
                  <w:i/>
                </w:rPr>
              </m:ctrlPr>
            </m:fPr>
            <m:num>
              <m:r>
                <w:rPr>
                  <w:rFonts w:ascii="Cambria Math" w:hAnsi="Cambria Math"/>
                </w:rPr>
                <m:t>△Эмр</m:t>
              </m:r>
            </m:num>
            <m:den>
              <m:r>
                <w:rPr>
                  <w:rFonts w:ascii="Cambria Math" w:hAnsi="Cambria Math"/>
                </w:rPr>
                <m:t>Эмр</m:t>
              </m:r>
            </m:den>
          </m:f>
          <m:r>
            <w:rPr>
              <w:rFonts w:ascii="Cambria Math" w:hAnsi="Cambria Math"/>
            </w:rPr>
            <m:t>/</m:t>
          </m:r>
          <m:f>
            <m:fPr>
              <m:ctrlPr>
                <w:rPr>
                  <w:rFonts w:ascii="Cambria Math" w:hAnsi="Cambria Math"/>
                  <w:i/>
                </w:rPr>
              </m:ctrlPr>
            </m:fPr>
            <m:num>
              <m:r>
                <w:rPr>
                  <w:rFonts w:ascii="Cambria Math" w:hAnsi="Cambria Math"/>
                </w:rPr>
                <m:t>△ВРПмр</m:t>
              </m:r>
            </m:num>
            <m:den>
              <m:r>
                <w:rPr>
                  <w:rFonts w:ascii="Cambria Math" w:hAnsi="Cambria Math"/>
                </w:rPr>
                <m:t>ВРПмр</m:t>
              </m:r>
            </m:den>
          </m:f>
        </m:oMath>
      </m:oMathPara>
    </w:p>
    <w:p w:rsidR="00313C26" w:rsidRPr="00B22B20" w:rsidRDefault="00313C26" w:rsidP="00313C26">
      <w:pPr>
        <w:jc w:val="center"/>
        <w:rPr>
          <w:rFonts w:eastAsia="Times New Roman"/>
        </w:rPr>
      </w:pPr>
      <w:r>
        <w:t xml:space="preserve">                                                  </w:t>
      </w:r>
      <w:r w:rsidR="002A01ED">
        <w:t xml:space="preserve">                                                                                           </w:t>
      </w:r>
      <w:r w:rsidR="00561A44">
        <w:t>(3</w:t>
      </w:r>
      <w:r>
        <w:t>)</w:t>
      </w:r>
    </w:p>
    <w:p w:rsidR="00353B73" w:rsidRDefault="00313C26" w:rsidP="00313C26">
      <w:pPr>
        <w:pStyle w:val="af1"/>
        <w:shd w:val="clear" w:color="auto" w:fill="FFFFFF"/>
        <w:spacing w:before="0" w:beforeAutospacing="0" w:after="0" w:afterAutospacing="0"/>
        <w:ind w:firstLine="720"/>
        <w:jc w:val="center"/>
        <w:rPr>
          <w:color w:val="000000"/>
        </w:rPr>
      </w:pPr>
      <w:r>
        <w:rPr>
          <w:rFonts w:ascii="Calibri" w:hAnsi="Calibri" w:cs="Calibri"/>
          <w:color w:val="000000"/>
        </w:rPr>
        <w:t xml:space="preserve"> </w:t>
      </w:r>
    </w:p>
    <w:p w:rsidR="00353B73" w:rsidRDefault="00353B73" w:rsidP="00353B73">
      <w:pPr>
        <w:pStyle w:val="af1"/>
        <w:shd w:val="clear" w:color="auto" w:fill="FFFFFF"/>
        <w:spacing w:before="0" w:beforeAutospacing="0" w:after="0" w:afterAutospacing="0"/>
        <w:ind w:firstLine="720"/>
        <w:jc w:val="center"/>
        <w:rPr>
          <w:color w:val="000000"/>
        </w:rPr>
      </w:pPr>
    </w:p>
    <w:p w:rsidR="00353B73" w:rsidRDefault="00353B73" w:rsidP="00353B73">
      <w:pPr>
        <w:pStyle w:val="af1"/>
        <w:shd w:val="clear" w:color="auto" w:fill="FFFFFF"/>
        <w:spacing w:before="0" w:beforeAutospacing="0" w:after="0" w:afterAutospacing="0"/>
        <w:ind w:firstLine="720"/>
        <w:jc w:val="both"/>
        <w:rPr>
          <w:color w:val="000000"/>
        </w:rPr>
      </w:pPr>
      <w:r>
        <w:rPr>
          <w:color w:val="000000"/>
        </w:rPr>
        <w:t xml:space="preserve">где </w:t>
      </w:r>
      <w:r>
        <w:rPr>
          <w:rFonts w:ascii="Calibri" w:hAnsi="Calibri" w:cs="Calibri"/>
          <w:color w:val="000000"/>
        </w:rPr>
        <w:t>Δ</w:t>
      </w:r>
      <w:r>
        <w:rPr>
          <w:color w:val="000000"/>
        </w:rPr>
        <w:t>Э</w:t>
      </w:r>
      <w:r w:rsidR="00862B75">
        <w:rPr>
          <w:color w:val="000000"/>
        </w:rPr>
        <w:t>м</w:t>
      </w:r>
      <w:r>
        <w:rPr>
          <w:color w:val="000000"/>
        </w:rPr>
        <w:t xml:space="preserve">р и </w:t>
      </w:r>
      <w:r>
        <w:rPr>
          <w:rFonts w:ascii="Calibri" w:hAnsi="Calibri" w:cs="Calibri"/>
          <w:color w:val="000000"/>
        </w:rPr>
        <w:t>Δ</w:t>
      </w:r>
      <w:r>
        <w:rPr>
          <w:color w:val="000000"/>
        </w:rPr>
        <w:t>ВРП</w:t>
      </w:r>
      <w:r w:rsidR="00862B75">
        <w:rPr>
          <w:color w:val="000000"/>
        </w:rPr>
        <w:t>м</w:t>
      </w:r>
      <w:r>
        <w:rPr>
          <w:color w:val="000000"/>
        </w:rPr>
        <w:t>р – соответственно изменения</w:t>
      </w:r>
      <w:r w:rsidR="008B7A79">
        <w:rPr>
          <w:color w:val="000000"/>
        </w:rPr>
        <w:t xml:space="preserve"> объема</w:t>
      </w:r>
      <w:r>
        <w:rPr>
          <w:color w:val="000000"/>
        </w:rPr>
        <w:t xml:space="preserve"> электропотребления и ВРП</w:t>
      </w:r>
      <w:r w:rsidR="00862B75">
        <w:rPr>
          <w:color w:val="000000"/>
        </w:rPr>
        <w:t>м</w:t>
      </w:r>
      <w:r>
        <w:rPr>
          <w:color w:val="000000"/>
        </w:rPr>
        <w:t>р в год в Московском регионе, Э</w:t>
      </w:r>
      <w:r w:rsidR="00862B75">
        <w:rPr>
          <w:color w:val="000000"/>
        </w:rPr>
        <w:t>м</w:t>
      </w:r>
      <w:r>
        <w:rPr>
          <w:color w:val="000000"/>
        </w:rPr>
        <w:t>р и ВРП</w:t>
      </w:r>
      <w:r w:rsidR="00862B75">
        <w:rPr>
          <w:color w:val="000000"/>
        </w:rPr>
        <w:t>м</w:t>
      </w:r>
      <w:r>
        <w:rPr>
          <w:color w:val="000000"/>
        </w:rPr>
        <w:t xml:space="preserve">р- соответственно </w:t>
      </w:r>
      <w:r w:rsidR="008B7A79">
        <w:rPr>
          <w:color w:val="000000"/>
        </w:rPr>
        <w:t xml:space="preserve">объем </w:t>
      </w:r>
      <w:r>
        <w:rPr>
          <w:color w:val="000000"/>
        </w:rPr>
        <w:t xml:space="preserve">электропотребления и </w:t>
      </w:r>
      <w:r w:rsidR="008B7A79">
        <w:rPr>
          <w:color w:val="000000"/>
        </w:rPr>
        <w:t xml:space="preserve">величина </w:t>
      </w:r>
      <w:r>
        <w:rPr>
          <w:color w:val="000000"/>
        </w:rPr>
        <w:t>ВРП</w:t>
      </w:r>
      <w:r w:rsidR="00862B75">
        <w:rPr>
          <w:color w:val="000000"/>
        </w:rPr>
        <w:t>м</w:t>
      </w:r>
      <w:r>
        <w:rPr>
          <w:color w:val="000000"/>
        </w:rPr>
        <w:t>р в Московском регионе в предшествующий год.</w:t>
      </w:r>
    </w:p>
    <w:p w:rsidR="00353B73" w:rsidRDefault="00353B73" w:rsidP="00353B73">
      <w:pPr>
        <w:pStyle w:val="af1"/>
        <w:shd w:val="clear" w:color="auto" w:fill="FFFFFF"/>
        <w:spacing w:before="0" w:beforeAutospacing="0" w:after="0" w:afterAutospacing="0"/>
        <w:ind w:firstLine="720"/>
        <w:jc w:val="both"/>
        <w:rPr>
          <w:color w:val="000000"/>
        </w:rPr>
      </w:pPr>
    </w:p>
    <w:p w:rsidR="00353B73" w:rsidRDefault="003E0771" w:rsidP="00353B73">
      <w:pPr>
        <w:pStyle w:val="af1"/>
        <w:shd w:val="clear" w:color="auto" w:fill="FFFFFF"/>
        <w:spacing w:before="0" w:beforeAutospacing="0" w:after="0" w:afterAutospacing="0"/>
        <w:ind w:firstLine="720"/>
        <w:jc w:val="both"/>
        <w:rPr>
          <w:color w:val="000000"/>
        </w:rPr>
      </w:pPr>
      <w:r>
        <w:rPr>
          <w:color w:val="000000"/>
        </w:rPr>
        <w:t xml:space="preserve">Отношение </w:t>
      </w:r>
      <w:r w:rsidRPr="00A81F9F">
        <w:rPr>
          <w:color w:val="000000"/>
        </w:rPr>
        <w:t>∆ВРПр</w:t>
      </w:r>
      <w:r>
        <w:rPr>
          <w:color w:val="000000"/>
        </w:rPr>
        <w:t xml:space="preserve">/ВРПр представляет собой </w:t>
      </w:r>
      <w:r w:rsidR="00D234EF">
        <w:rPr>
          <w:color w:val="000000"/>
        </w:rPr>
        <w:t>ежегодный</w:t>
      </w:r>
      <w:r w:rsidR="0042740F">
        <w:rPr>
          <w:color w:val="000000"/>
        </w:rPr>
        <w:t xml:space="preserve"> </w:t>
      </w:r>
      <w:r>
        <w:rPr>
          <w:color w:val="000000"/>
        </w:rPr>
        <w:t>т</w:t>
      </w:r>
      <w:r w:rsidR="00353B73">
        <w:rPr>
          <w:color w:val="000000"/>
        </w:rPr>
        <w:t>емп изменения</w:t>
      </w:r>
      <w:r w:rsidR="007F1B00">
        <w:rPr>
          <w:color w:val="000000"/>
        </w:rPr>
        <w:t xml:space="preserve"> </w:t>
      </w:r>
      <w:r w:rsidR="00353B73">
        <w:rPr>
          <w:color w:val="000000"/>
        </w:rPr>
        <w:t>ВРП</w:t>
      </w:r>
      <w:r w:rsidR="008B7A79">
        <w:rPr>
          <w:color w:val="000000"/>
        </w:rPr>
        <w:t>м</w:t>
      </w:r>
      <w:r w:rsidR="00353B73">
        <w:rPr>
          <w:color w:val="000000"/>
        </w:rPr>
        <w:t xml:space="preserve">р </w:t>
      </w:r>
      <w:r w:rsidR="0042740F">
        <w:rPr>
          <w:color w:val="000000"/>
        </w:rPr>
        <w:t>в Московском регионе. Он</w:t>
      </w:r>
      <w:r w:rsidR="00353B73" w:rsidRPr="00A81F9F">
        <w:rPr>
          <w:color w:val="000000"/>
        </w:rPr>
        <w:t xml:space="preserve"> определяется </w:t>
      </w:r>
      <w:r w:rsidR="00D234EF">
        <w:rPr>
          <w:color w:val="000000"/>
        </w:rPr>
        <w:t>ежегодными</w:t>
      </w:r>
      <w:r w:rsidR="0042740F">
        <w:rPr>
          <w:color w:val="000000"/>
        </w:rPr>
        <w:t xml:space="preserve"> </w:t>
      </w:r>
      <w:r w:rsidR="00353B73" w:rsidRPr="00A81F9F">
        <w:rPr>
          <w:color w:val="000000"/>
        </w:rPr>
        <w:t>темпами изменения</w:t>
      </w:r>
      <w:r w:rsidR="00BD1D9F">
        <w:rPr>
          <w:color w:val="000000"/>
        </w:rPr>
        <w:t xml:space="preserve"> ∆ВРПм/ВРПм; </w:t>
      </w:r>
      <w:r w:rsidR="00BD1D9F" w:rsidRPr="00A81F9F">
        <w:rPr>
          <w:color w:val="000000"/>
        </w:rPr>
        <w:t>∆ВРПмо</w:t>
      </w:r>
      <w:r w:rsidR="00BD1D9F">
        <w:rPr>
          <w:color w:val="000000"/>
        </w:rPr>
        <w:t>/ВРПмо в Москве и Московской области</w:t>
      </w:r>
      <w:r w:rsidR="00353B73" w:rsidRPr="00A81F9F">
        <w:rPr>
          <w:color w:val="000000"/>
        </w:rPr>
        <w:t xml:space="preserve"> с учетом их долей в общем ВРП</w:t>
      </w:r>
      <w:r w:rsidR="00BD1D9F">
        <w:rPr>
          <w:color w:val="000000"/>
        </w:rPr>
        <w:t>мр</w:t>
      </w:r>
      <w:r w:rsidR="00353B73" w:rsidRPr="00A81F9F">
        <w:rPr>
          <w:color w:val="000000"/>
        </w:rPr>
        <w:t xml:space="preserve"> </w:t>
      </w:r>
      <w:r w:rsidR="00BD1D9F">
        <w:rPr>
          <w:color w:val="000000"/>
        </w:rPr>
        <w:t>Московского региона</w:t>
      </w:r>
      <w:r w:rsidR="00C213F9">
        <w:rPr>
          <w:color w:val="000000"/>
        </w:rPr>
        <w:t xml:space="preserve">, по формуле </w:t>
      </w:r>
      <w:r w:rsidR="00353B73" w:rsidRPr="00A81F9F">
        <w:rPr>
          <w:color w:val="000000"/>
        </w:rPr>
        <w:t>:</w:t>
      </w:r>
    </w:p>
    <w:p w:rsidR="00313C26" w:rsidRPr="00A81F9F" w:rsidRDefault="00313C26" w:rsidP="00353B73">
      <w:pPr>
        <w:pStyle w:val="af1"/>
        <w:shd w:val="clear" w:color="auto" w:fill="FFFFFF"/>
        <w:spacing w:before="0" w:beforeAutospacing="0" w:after="0" w:afterAutospacing="0"/>
        <w:ind w:firstLine="720"/>
        <w:jc w:val="both"/>
        <w:rPr>
          <w:color w:val="000000"/>
        </w:rPr>
      </w:pPr>
    </w:p>
    <w:p w:rsidR="002A01ED" w:rsidRDefault="002A01ED" w:rsidP="002A01ED">
      <w:pPr>
        <w:jc w:val="center"/>
      </w:pPr>
      <w:r>
        <w:t xml:space="preserve">                                  </w:t>
      </w:r>
      <m:oMath>
        <m:f>
          <m:fPr>
            <m:ctrlPr>
              <w:rPr>
                <w:rFonts w:ascii="Cambria Math" w:hAnsi="Cambria Math"/>
                <w:i/>
              </w:rPr>
            </m:ctrlPr>
          </m:fPr>
          <m:num>
            <m:r>
              <w:rPr>
                <w:rFonts w:ascii="Cambria Math" w:hAnsi="Cambria Math"/>
              </w:rPr>
              <m:t>△ВРПмр</m:t>
            </m:r>
          </m:num>
          <m:den>
            <m:r>
              <w:rPr>
                <w:rFonts w:ascii="Cambria Math" w:hAnsi="Cambria Math"/>
              </w:rPr>
              <m:t>ВРПмр</m:t>
            </m:r>
          </m:den>
        </m:f>
        <m:r>
          <w:rPr>
            <w:rFonts w:ascii="Cambria Math" w:hAnsi="Cambria Math"/>
          </w:rPr>
          <m:t>=</m:t>
        </m:r>
        <m:d>
          <m:dPr>
            <m:ctrlPr>
              <w:rPr>
                <w:rFonts w:ascii="Cambria Math" w:hAnsi="Cambria Math"/>
                <w:i/>
              </w:rPr>
            </m:ctrlPr>
          </m:dPr>
          <m:e>
            <m:r>
              <w:rPr>
                <w:rFonts w:ascii="Cambria Math" w:hAnsi="Cambria Math"/>
              </w:rPr>
              <m:t>1-α</m:t>
            </m:r>
          </m:e>
        </m:d>
        <m:r>
          <w:rPr>
            <w:rFonts w:ascii="Cambria Math" w:hAnsi="Cambria Math"/>
          </w:rPr>
          <m:t>*</m:t>
        </m:r>
        <m:f>
          <m:fPr>
            <m:ctrlPr>
              <w:rPr>
                <w:rFonts w:ascii="Cambria Math" w:hAnsi="Cambria Math"/>
                <w:i/>
              </w:rPr>
            </m:ctrlPr>
          </m:fPr>
          <m:num>
            <m:r>
              <w:rPr>
                <w:rFonts w:ascii="Cambria Math" w:hAnsi="Cambria Math"/>
              </w:rPr>
              <m:t>△ВРПм</m:t>
            </m:r>
          </m:num>
          <m:den>
            <m:r>
              <w:rPr>
                <w:rFonts w:ascii="Cambria Math" w:hAnsi="Cambria Math"/>
              </w:rPr>
              <m:t>ВРПм</m:t>
            </m:r>
          </m:den>
        </m:f>
        <m:r>
          <w:rPr>
            <w:rFonts w:ascii="Cambria Math" w:hAnsi="Cambria Math"/>
          </w:rPr>
          <m:t>+α*</m:t>
        </m:r>
        <m:f>
          <m:fPr>
            <m:ctrlPr>
              <w:rPr>
                <w:rFonts w:ascii="Cambria Math" w:hAnsi="Cambria Math"/>
                <w:i/>
              </w:rPr>
            </m:ctrlPr>
          </m:fPr>
          <m:num>
            <m:r>
              <w:rPr>
                <w:rFonts w:ascii="Cambria Math" w:hAnsi="Cambria Math"/>
              </w:rPr>
              <m:t>△ВРПмо</m:t>
            </m:r>
          </m:num>
          <m:den>
            <m:r>
              <w:rPr>
                <w:rFonts w:ascii="Cambria Math" w:hAnsi="Cambria Math"/>
              </w:rPr>
              <m:t>ВРПмо</m:t>
            </m:r>
          </m:den>
        </m:f>
      </m:oMath>
      <w:bookmarkStart w:id="82" w:name="_GoBack"/>
      <w:bookmarkEnd w:id="82"/>
      <w:r>
        <w:t xml:space="preserve">        </w:t>
      </w:r>
      <w:r w:rsidR="00561A44">
        <w:t xml:space="preserve">                              (4</w:t>
      </w:r>
      <w:r>
        <w:t>)</w:t>
      </w:r>
    </w:p>
    <w:p w:rsidR="002A01ED" w:rsidRDefault="002A01ED" w:rsidP="002A01ED"/>
    <w:p w:rsidR="00353B73" w:rsidRPr="00A81F9F" w:rsidRDefault="00353B73" w:rsidP="00353B73">
      <w:pPr>
        <w:pStyle w:val="af1"/>
        <w:shd w:val="clear" w:color="auto" w:fill="FFFFFF"/>
        <w:spacing w:before="0" w:beforeAutospacing="0" w:after="0" w:afterAutospacing="0"/>
        <w:ind w:firstLine="720"/>
        <w:jc w:val="center"/>
        <w:rPr>
          <w:color w:val="000000"/>
        </w:rPr>
      </w:pPr>
    </w:p>
    <w:p w:rsidR="00353B73" w:rsidRPr="00A81F9F" w:rsidRDefault="00353B73" w:rsidP="00353B73">
      <w:pPr>
        <w:pStyle w:val="af1"/>
        <w:shd w:val="clear" w:color="auto" w:fill="FFFFFF"/>
        <w:spacing w:before="0" w:beforeAutospacing="0" w:after="0" w:afterAutospacing="0"/>
        <w:ind w:firstLine="720"/>
        <w:jc w:val="both"/>
        <w:rPr>
          <w:color w:val="000000"/>
        </w:rPr>
      </w:pPr>
      <w:r w:rsidRPr="00A81F9F">
        <w:rPr>
          <w:color w:val="000000"/>
        </w:rPr>
        <w:t xml:space="preserve">где α </w:t>
      </w:r>
      <w:r w:rsidR="00C213F9">
        <w:rPr>
          <w:color w:val="000000"/>
        </w:rPr>
        <w:t xml:space="preserve">= </w:t>
      </w:r>
      <w:r w:rsidRPr="00A81F9F">
        <w:rPr>
          <w:color w:val="000000"/>
        </w:rPr>
        <w:t>ВРПмо</w:t>
      </w:r>
      <w:r w:rsidR="00C213F9">
        <w:rPr>
          <w:color w:val="000000"/>
        </w:rPr>
        <w:t xml:space="preserve">/ВРПмр, т.е. доля ВРПмо </w:t>
      </w:r>
      <w:r w:rsidRPr="00A81F9F">
        <w:rPr>
          <w:color w:val="000000"/>
        </w:rPr>
        <w:t xml:space="preserve"> в </w:t>
      </w:r>
      <w:r w:rsidR="00C213F9">
        <w:rPr>
          <w:color w:val="000000"/>
        </w:rPr>
        <w:t>ВРПмр Московского региона</w:t>
      </w:r>
      <w:r w:rsidR="00D234EF">
        <w:rPr>
          <w:color w:val="000000"/>
        </w:rPr>
        <w:t xml:space="preserve"> в предшествующий год</w:t>
      </w:r>
      <w:r w:rsidRPr="00A81F9F">
        <w:rPr>
          <w:color w:val="000000"/>
        </w:rPr>
        <w:t xml:space="preserve">.  </w:t>
      </w:r>
    </w:p>
    <w:p w:rsidR="009503F6" w:rsidRDefault="009503F6" w:rsidP="00353B73">
      <w:pPr>
        <w:pStyle w:val="af1"/>
        <w:shd w:val="clear" w:color="auto" w:fill="FFFFFF"/>
        <w:spacing w:before="0" w:beforeAutospacing="0" w:after="0" w:afterAutospacing="0"/>
        <w:ind w:firstLine="720"/>
        <w:jc w:val="both"/>
        <w:rPr>
          <w:color w:val="000000"/>
        </w:rPr>
      </w:pPr>
    </w:p>
    <w:p w:rsidR="007B756B" w:rsidRDefault="00353B73" w:rsidP="00E4584D">
      <w:pPr>
        <w:pStyle w:val="af1"/>
        <w:shd w:val="clear" w:color="auto" w:fill="FFFFFF"/>
        <w:spacing w:before="0" w:beforeAutospacing="0" w:after="0" w:afterAutospacing="0"/>
        <w:ind w:firstLine="720"/>
        <w:jc w:val="both"/>
        <w:rPr>
          <w:color w:val="000000"/>
        </w:rPr>
      </w:pPr>
      <w:r w:rsidRPr="00A81F9F">
        <w:rPr>
          <w:color w:val="000000"/>
        </w:rPr>
        <w:t>На рис.</w:t>
      </w:r>
      <w:r w:rsidR="009503F6">
        <w:rPr>
          <w:color w:val="000000"/>
        </w:rPr>
        <w:t xml:space="preserve"> 5</w:t>
      </w:r>
      <w:r w:rsidR="004C494E">
        <w:rPr>
          <w:color w:val="000000"/>
        </w:rPr>
        <w:t>6</w:t>
      </w:r>
      <w:r w:rsidRPr="00A81F9F">
        <w:rPr>
          <w:color w:val="000000"/>
        </w:rPr>
        <w:t xml:space="preserve"> представлены з</w:t>
      </w:r>
      <w:r w:rsidR="009503F6">
        <w:rPr>
          <w:color w:val="000000"/>
        </w:rPr>
        <w:t>начения α по годам  в период 1997-2012</w:t>
      </w:r>
      <w:r w:rsidRPr="00A81F9F">
        <w:rPr>
          <w:color w:val="000000"/>
        </w:rPr>
        <w:t xml:space="preserve"> гг</w:t>
      </w:r>
      <w:r w:rsidR="009503F6">
        <w:rPr>
          <w:color w:val="000000"/>
        </w:rPr>
        <w:t>. (данные</w:t>
      </w:r>
      <w:r w:rsidRPr="00A81F9F">
        <w:rPr>
          <w:color w:val="000000"/>
        </w:rPr>
        <w:t xml:space="preserve"> Росстата</w:t>
      </w:r>
      <w:r w:rsidR="009503F6">
        <w:rPr>
          <w:color w:val="000000"/>
        </w:rPr>
        <w:t>)</w:t>
      </w:r>
      <w:r w:rsidRPr="00A81F9F">
        <w:rPr>
          <w:color w:val="000000"/>
        </w:rPr>
        <w:t xml:space="preserve">. </w:t>
      </w:r>
      <w:r w:rsidR="00E4584D">
        <w:rPr>
          <w:color w:val="000000"/>
        </w:rPr>
        <w:t>В</w:t>
      </w:r>
      <w:r w:rsidR="00E4584D" w:rsidRPr="00A81F9F">
        <w:rPr>
          <w:color w:val="000000"/>
        </w:rPr>
        <w:t>идно, что</w:t>
      </w:r>
      <w:r w:rsidR="00E4584D">
        <w:rPr>
          <w:color w:val="000000"/>
        </w:rPr>
        <w:t xml:space="preserve"> в период 1996-2012</w:t>
      </w:r>
      <w:r w:rsidR="00E4584D" w:rsidRPr="00A81F9F">
        <w:rPr>
          <w:color w:val="000000"/>
        </w:rPr>
        <w:t xml:space="preserve">гг. величина α </w:t>
      </w:r>
      <w:r w:rsidR="00E4584D">
        <w:rPr>
          <w:color w:val="000000"/>
        </w:rPr>
        <w:t>находится в диапазоне</w:t>
      </w:r>
      <w:r w:rsidR="00E4584D" w:rsidRPr="00A81F9F">
        <w:rPr>
          <w:color w:val="000000"/>
        </w:rPr>
        <w:t xml:space="preserve"> с </w:t>
      </w:r>
      <w:r w:rsidR="00E4584D">
        <w:rPr>
          <w:color w:val="000000"/>
        </w:rPr>
        <w:t xml:space="preserve">18,4% </w:t>
      </w:r>
      <w:r w:rsidR="00E4584D" w:rsidRPr="00A81F9F">
        <w:rPr>
          <w:color w:val="000000"/>
        </w:rPr>
        <w:t xml:space="preserve">до </w:t>
      </w:r>
      <w:r w:rsidR="00E4584D">
        <w:rPr>
          <w:color w:val="000000"/>
        </w:rPr>
        <w:t xml:space="preserve">21,6%. </w:t>
      </w:r>
      <w:r w:rsidR="007B756B">
        <w:rPr>
          <w:color w:val="000000"/>
        </w:rPr>
        <w:t xml:space="preserve">На период 2013-2020гг. в качестве прогнозного значения примем α=19,7% – среднеарифметическое значение за предшествующий период.  </w:t>
      </w:r>
    </w:p>
    <w:p w:rsidR="009503F6" w:rsidRPr="00A81F9F" w:rsidRDefault="009503F6" w:rsidP="00353B73">
      <w:pPr>
        <w:pStyle w:val="af1"/>
        <w:shd w:val="clear" w:color="auto" w:fill="FFFFFF"/>
        <w:spacing w:before="0" w:beforeAutospacing="0" w:after="0" w:afterAutospacing="0"/>
        <w:ind w:firstLine="720"/>
        <w:jc w:val="both"/>
        <w:rPr>
          <w:color w:val="000000"/>
        </w:rPr>
      </w:pPr>
    </w:p>
    <w:p w:rsidR="00353B73" w:rsidRPr="00A81F9F" w:rsidRDefault="00353B73" w:rsidP="00353B73">
      <w:pPr>
        <w:pStyle w:val="af1"/>
        <w:shd w:val="clear" w:color="auto" w:fill="FFFFFF"/>
        <w:spacing w:before="0" w:beforeAutospacing="0" w:after="0" w:afterAutospacing="0"/>
        <w:ind w:firstLine="720"/>
        <w:jc w:val="both"/>
        <w:rPr>
          <w:color w:val="000000"/>
        </w:rPr>
      </w:pPr>
    </w:p>
    <w:p w:rsidR="00353B73" w:rsidRPr="00A81F9F" w:rsidRDefault="007C1ADE" w:rsidP="007B756B">
      <w:pPr>
        <w:pStyle w:val="af1"/>
        <w:shd w:val="clear" w:color="auto" w:fill="FFFFFF"/>
        <w:spacing w:before="0" w:beforeAutospacing="0" w:after="0" w:afterAutospacing="0"/>
        <w:jc w:val="both"/>
        <w:rPr>
          <w:color w:val="000000"/>
        </w:rPr>
      </w:pPr>
      <w:r>
        <w:rPr>
          <w:noProof/>
          <w:color w:val="000000"/>
        </w:rPr>
        <w:drawing>
          <wp:inline distT="0" distB="0" distL="0" distR="0">
            <wp:extent cx="5542788" cy="3422523"/>
            <wp:effectExtent l="12192" t="6096" r="7620" b="381"/>
            <wp:docPr id="142"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53B73" w:rsidRPr="00A81F9F" w:rsidRDefault="00353B73" w:rsidP="00353B73">
      <w:pPr>
        <w:pStyle w:val="af1"/>
        <w:shd w:val="clear" w:color="auto" w:fill="FFFFFF"/>
        <w:spacing w:before="0" w:beforeAutospacing="0" w:after="0" w:afterAutospacing="0"/>
        <w:ind w:firstLine="720"/>
        <w:jc w:val="center"/>
        <w:rPr>
          <w:color w:val="000000"/>
        </w:rPr>
      </w:pPr>
    </w:p>
    <w:p w:rsidR="00353B73" w:rsidRPr="00A81F9F" w:rsidRDefault="005226A7" w:rsidP="00353B73">
      <w:pPr>
        <w:pStyle w:val="af1"/>
        <w:shd w:val="clear" w:color="auto" w:fill="FFFFFF"/>
        <w:spacing w:before="0" w:beforeAutospacing="0" w:after="0" w:afterAutospacing="0"/>
        <w:ind w:firstLine="720"/>
        <w:jc w:val="both"/>
        <w:rPr>
          <w:color w:val="000000"/>
        </w:rPr>
      </w:pPr>
      <w:r>
        <w:rPr>
          <w:color w:val="000000"/>
        </w:rPr>
        <w:t>Рис. 5</w:t>
      </w:r>
      <w:r w:rsidR="004C494E">
        <w:rPr>
          <w:color w:val="000000"/>
        </w:rPr>
        <w:t>6</w:t>
      </w:r>
      <w:r w:rsidR="00353B73" w:rsidRPr="00A81F9F">
        <w:rPr>
          <w:color w:val="000000"/>
        </w:rPr>
        <w:t xml:space="preserve"> Доля ВРП</w:t>
      </w:r>
      <w:r>
        <w:rPr>
          <w:color w:val="000000"/>
        </w:rPr>
        <w:t>мо</w:t>
      </w:r>
      <w:r w:rsidR="00353B73" w:rsidRPr="00A81F9F">
        <w:rPr>
          <w:color w:val="000000"/>
        </w:rPr>
        <w:t xml:space="preserve"> Московской области в общем ВРП</w:t>
      </w:r>
      <w:r>
        <w:rPr>
          <w:color w:val="000000"/>
        </w:rPr>
        <w:t>мр</w:t>
      </w:r>
      <w:r w:rsidR="00353B73" w:rsidRPr="00A81F9F">
        <w:rPr>
          <w:color w:val="000000"/>
        </w:rPr>
        <w:t xml:space="preserve"> Москов</w:t>
      </w:r>
      <w:r>
        <w:rPr>
          <w:color w:val="000000"/>
        </w:rPr>
        <w:t>ского региона в</w:t>
      </w:r>
      <w:r w:rsidR="00D61924">
        <w:rPr>
          <w:color w:val="000000"/>
        </w:rPr>
        <w:t xml:space="preserve"> постоянных ценах в</w:t>
      </w:r>
      <w:r>
        <w:rPr>
          <w:color w:val="000000"/>
        </w:rPr>
        <w:t xml:space="preserve"> период 199</w:t>
      </w:r>
      <w:r w:rsidR="00152AB3">
        <w:rPr>
          <w:color w:val="000000"/>
        </w:rPr>
        <w:t>6</w:t>
      </w:r>
      <w:r>
        <w:rPr>
          <w:color w:val="000000"/>
        </w:rPr>
        <w:t>-2012</w:t>
      </w:r>
      <w:r w:rsidR="00353B73" w:rsidRPr="00A81F9F">
        <w:rPr>
          <w:color w:val="000000"/>
        </w:rPr>
        <w:t xml:space="preserve"> гг</w:t>
      </w:r>
      <w:r>
        <w:rPr>
          <w:color w:val="000000"/>
        </w:rPr>
        <w:t>.</w:t>
      </w:r>
      <w:r w:rsidR="00353B73" w:rsidRPr="00A81F9F">
        <w:rPr>
          <w:color w:val="000000"/>
        </w:rPr>
        <w:t xml:space="preserve"> </w:t>
      </w:r>
    </w:p>
    <w:p w:rsidR="00D61924" w:rsidRDefault="00D61924" w:rsidP="00353B73">
      <w:pPr>
        <w:pStyle w:val="af1"/>
        <w:shd w:val="clear" w:color="auto" w:fill="FFFFFF"/>
        <w:spacing w:before="0" w:beforeAutospacing="0" w:after="0" w:afterAutospacing="0"/>
        <w:ind w:firstLine="720"/>
        <w:jc w:val="both"/>
        <w:rPr>
          <w:color w:val="000000"/>
        </w:rPr>
      </w:pPr>
    </w:p>
    <w:p w:rsidR="00353B73" w:rsidRDefault="00353B73" w:rsidP="00353B73">
      <w:pPr>
        <w:pStyle w:val="af1"/>
        <w:shd w:val="clear" w:color="auto" w:fill="FFFFFF"/>
        <w:spacing w:before="0" w:beforeAutospacing="0" w:after="0" w:afterAutospacing="0"/>
        <w:ind w:firstLine="720"/>
        <w:jc w:val="both"/>
        <w:rPr>
          <w:color w:val="000000"/>
        </w:rPr>
      </w:pPr>
      <w:r>
        <w:rPr>
          <w:color w:val="000000"/>
        </w:rPr>
        <w:t xml:space="preserve">На рис. </w:t>
      </w:r>
      <w:r w:rsidR="004829B2">
        <w:rPr>
          <w:color w:val="000000"/>
        </w:rPr>
        <w:t>5</w:t>
      </w:r>
      <w:r w:rsidR="004C494E">
        <w:rPr>
          <w:color w:val="000000"/>
        </w:rPr>
        <w:t>7</w:t>
      </w:r>
      <w:r w:rsidRPr="00A81F9F">
        <w:rPr>
          <w:color w:val="000000"/>
        </w:rPr>
        <w:t xml:space="preserve"> показана </w:t>
      </w:r>
      <w:r w:rsidR="00EE5D49">
        <w:rPr>
          <w:color w:val="000000"/>
        </w:rPr>
        <w:t>динамика</w:t>
      </w:r>
      <w:r w:rsidR="00CD21FC">
        <w:rPr>
          <w:color w:val="000000"/>
        </w:rPr>
        <w:t xml:space="preserve"> ИОКмр, </w:t>
      </w:r>
      <w:r w:rsidRPr="00A81F9F">
        <w:rPr>
          <w:color w:val="000000"/>
        </w:rPr>
        <w:t>ВРП</w:t>
      </w:r>
      <w:r w:rsidR="004829B2">
        <w:rPr>
          <w:color w:val="000000"/>
        </w:rPr>
        <w:t>мр</w:t>
      </w:r>
      <w:r w:rsidRPr="00A81F9F">
        <w:rPr>
          <w:color w:val="000000"/>
        </w:rPr>
        <w:t xml:space="preserve"> и электропотребления в Моско</w:t>
      </w:r>
      <w:r w:rsidR="004829B2">
        <w:rPr>
          <w:color w:val="000000"/>
        </w:rPr>
        <w:t>вском регионе, отнесенные к 199</w:t>
      </w:r>
      <w:r w:rsidR="00152AB3">
        <w:rPr>
          <w:color w:val="000000"/>
        </w:rPr>
        <w:t>6</w:t>
      </w:r>
      <w:r w:rsidR="004829B2">
        <w:rPr>
          <w:color w:val="000000"/>
        </w:rPr>
        <w:t xml:space="preserve"> г., в период 199</w:t>
      </w:r>
      <w:r w:rsidR="00152AB3">
        <w:rPr>
          <w:color w:val="000000"/>
        </w:rPr>
        <w:t>6</w:t>
      </w:r>
      <w:r w:rsidR="004829B2">
        <w:rPr>
          <w:color w:val="000000"/>
        </w:rPr>
        <w:t>-2012</w:t>
      </w:r>
      <w:r w:rsidRPr="00A81F9F">
        <w:rPr>
          <w:color w:val="000000"/>
        </w:rPr>
        <w:t xml:space="preserve"> гг.  </w:t>
      </w:r>
      <w:r w:rsidR="00EE5D49">
        <w:rPr>
          <w:color w:val="000000"/>
        </w:rPr>
        <w:t>Определение ИОКмр по годам проведено ниже, в Разделе 9.2.5.</w:t>
      </w:r>
    </w:p>
    <w:p w:rsidR="00EE5D49" w:rsidRDefault="00EE5D49" w:rsidP="00353B73">
      <w:pPr>
        <w:pStyle w:val="af1"/>
        <w:shd w:val="clear" w:color="auto" w:fill="FFFFFF"/>
        <w:spacing w:before="0" w:beforeAutospacing="0" w:after="0" w:afterAutospacing="0"/>
        <w:ind w:firstLine="720"/>
        <w:jc w:val="both"/>
        <w:rPr>
          <w:color w:val="000000"/>
        </w:rPr>
      </w:pPr>
    </w:p>
    <w:p w:rsidR="00EE5D49" w:rsidRDefault="00EE5D49" w:rsidP="00353B73">
      <w:pPr>
        <w:pStyle w:val="af1"/>
        <w:shd w:val="clear" w:color="auto" w:fill="FFFFFF"/>
        <w:spacing w:before="0" w:beforeAutospacing="0" w:after="0" w:afterAutospacing="0"/>
        <w:ind w:firstLine="720"/>
        <w:jc w:val="both"/>
        <w:rPr>
          <w:color w:val="000000"/>
        </w:rPr>
      </w:pPr>
    </w:p>
    <w:p w:rsidR="00DA7B45" w:rsidRPr="00A81F9F" w:rsidRDefault="007C1ADE" w:rsidP="00DA7B45">
      <w:pPr>
        <w:pStyle w:val="af1"/>
        <w:shd w:val="clear" w:color="auto" w:fill="FFFFFF"/>
        <w:spacing w:before="0" w:beforeAutospacing="0" w:after="0" w:afterAutospacing="0"/>
        <w:jc w:val="both"/>
        <w:rPr>
          <w:color w:val="000000"/>
        </w:rPr>
      </w:pPr>
      <w:r>
        <w:rPr>
          <w:noProof/>
          <w:color w:val="000000"/>
        </w:rPr>
        <w:drawing>
          <wp:inline distT="0" distB="0" distL="0" distR="0">
            <wp:extent cx="4583767" cy="4932489"/>
            <wp:effectExtent l="12192" t="10986" r="4616" b="0"/>
            <wp:docPr id="6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D21FC" w:rsidRDefault="00CD21FC" w:rsidP="00570ED8">
      <w:pPr>
        <w:pStyle w:val="af1"/>
        <w:shd w:val="clear" w:color="auto" w:fill="FFFFFF"/>
        <w:spacing w:before="0" w:beforeAutospacing="0" w:after="0" w:afterAutospacing="0"/>
        <w:ind w:firstLine="720"/>
        <w:jc w:val="both"/>
        <w:rPr>
          <w:color w:val="000000"/>
        </w:rPr>
      </w:pPr>
    </w:p>
    <w:p w:rsidR="00CD21FC" w:rsidRDefault="00370509" w:rsidP="00CD21FC">
      <w:pPr>
        <w:pStyle w:val="af1"/>
        <w:shd w:val="clear" w:color="auto" w:fill="FFFFFF"/>
        <w:spacing w:before="0" w:beforeAutospacing="0" w:after="0" w:afterAutospacing="0"/>
        <w:ind w:firstLine="720"/>
        <w:jc w:val="both"/>
        <w:rPr>
          <w:color w:val="000000"/>
        </w:rPr>
      </w:pPr>
      <w:r>
        <w:rPr>
          <w:color w:val="000000"/>
        </w:rPr>
        <w:t>Рис. 5</w:t>
      </w:r>
      <w:r w:rsidR="004C494E">
        <w:rPr>
          <w:color w:val="000000"/>
        </w:rPr>
        <w:t>7</w:t>
      </w:r>
      <w:r>
        <w:rPr>
          <w:color w:val="000000"/>
        </w:rPr>
        <w:t xml:space="preserve">. </w:t>
      </w:r>
      <w:r w:rsidR="00570ED8">
        <w:rPr>
          <w:color w:val="000000"/>
        </w:rPr>
        <w:t>Динамика ИОКм</w:t>
      </w:r>
      <w:r w:rsidR="00B27D6E">
        <w:rPr>
          <w:color w:val="000000"/>
        </w:rPr>
        <w:t>р</w:t>
      </w:r>
      <w:r w:rsidR="00570ED8">
        <w:rPr>
          <w:color w:val="000000"/>
        </w:rPr>
        <w:t>, ВРПм</w:t>
      </w:r>
      <w:r w:rsidR="00B27D6E">
        <w:rPr>
          <w:color w:val="000000"/>
        </w:rPr>
        <w:t>р</w:t>
      </w:r>
      <w:r w:rsidR="00570ED8">
        <w:rPr>
          <w:color w:val="000000"/>
        </w:rPr>
        <w:t xml:space="preserve"> и электропотребления Эм</w:t>
      </w:r>
      <w:r w:rsidR="00B27D6E">
        <w:rPr>
          <w:color w:val="000000"/>
        </w:rPr>
        <w:t>р</w:t>
      </w:r>
      <w:r w:rsidR="00570ED8">
        <w:rPr>
          <w:color w:val="000000"/>
        </w:rPr>
        <w:t xml:space="preserve"> в Московско</w:t>
      </w:r>
      <w:r w:rsidR="00B27D6E">
        <w:rPr>
          <w:color w:val="000000"/>
        </w:rPr>
        <w:t>м</w:t>
      </w:r>
      <w:r w:rsidR="00570ED8">
        <w:rPr>
          <w:color w:val="000000"/>
        </w:rPr>
        <w:t xml:space="preserve"> </w:t>
      </w:r>
      <w:r w:rsidR="00B27D6E">
        <w:rPr>
          <w:color w:val="000000"/>
        </w:rPr>
        <w:t>регионе</w:t>
      </w:r>
      <w:r w:rsidR="00570ED8">
        <w:rPr>
          <w:color w:val="000000"/>
        </w:rPr>
        <w:t xml:space="preserve">  в период 1996-2012гг., отнесенные к 1996</w:t>
      </w:r>
      <w:r w:rsidR="00CD21FC">
        <w:rPr>
          <w:color w:val="000000"/>
        </w:rPr>
        <w:t>г.</w:t>
      </w:r>
    </w:p>
    <w:p w:rsidR="00C01C3E" w:rsidRDefault="00CD21FC" w:rsidP="00C01C3E">
      <w:pPr>
        <w:pStyle w:val="af1"/>
        <w:shd w:val="clear" w:color="auto" w:fill="FFFFFF"/>
        <w:ind w:firstLine="720"/>
        <w:jc w:val="both"/>
        <w:rPr>
          <w:color w:val="000000"/>
        </w:rPr>
      </w:pPr>
      <w:r>
        <w:rPr>
          <w:color w:val="000000"/>
        </w:rPr>
        <w:t>В</w:t>
      </w:r>
      <w:r w:rsidRPr="00A81F9F">
        <w:rPr>
          <w:color w:val="000000"/>
        </w:rPr>
        <w:t>идно, что в период 199</w:t>
      </w:r>
      <w:r w:rsidR="00B65891">
        <w:rPr>
          <w:color w:val="000000"/>
        </w:rPr>
        <w:t>6</w:t>
      </w:r>
      <w:r w:rsidRPr="00A81F9F">
        <w:rPr>
          <w:color w:val="000000"/>
        </w:rPr>
        <w:t>-</w:t>
      </w:r>
      <w:r w:rsidR="00B65891">
        <w:rPr>
          <w:color w:val="000000"/>
        </w:rPr>
        <w:t>2012</w:t>
      </w:r>
      <w:r w:rsidRPr="00A81F9F">
        <w:rPr>
          <w:color w:val="000000"/>
        </w:rPr>
        <w:t>гг. ВРП</w:t>
      </w:r>
      <w:r w:rsidR="00B65891">
        <w:rPr>
          <w:color w:val="000000"/>
        </w:rPr>
        <w:t>мр увеличился на 138%, а электропотребление – на 64</w:t>
      </w:r>
      <w:r w:rsidRPr="00A81F9F">
        <w:rPr>
          <w:color w:val="000000"/>
        </w:rPr>
        <w:t>%. Это значит,</w:t>
      </w:r>
      <w:r w:rsidR="00A949E3">
        <w:rPr>
          <w:color w:val="000000"/>
        </w:rPr>
        <w:t xml:space="preserve"> в </w:t>
      </w:r>
      <w:r w:rsidR="00A949E3" w:rsidRPr="00A81F9F">
        <w:rPr>
          <w:color w:val="000000"/>
        </w:rPr>
        <w:t>этот период</w:t>
      </w:r>
      <w:r w:rsidR="00A949E3">
        <w:rPr>
          <w:color w:val="000000"/>
        </w:rPr>
        <w:t>, приближенно</w:t>
      </w:r>
      <w:r w:rsidRPr="00A81F9F">
        <w:rPr>
          <w:color w:val="000000"/>
        </w:rPr>
        <w:t xml:space="preserve"> в среднем на 1% роста ВРП</w:t>
      </w:r>
      <w:r w:rsidR="00B65891">
        <w:rPr>
          <w:color w:val="000000"/>
        </w:rPr>
        <w:t>мр приходилось 64%/138</w:t>
      </w:r>
      <w:r w:rsidRPr="00A81F9F">
        <w:rPr>
          <w:color w:val="000000"/>
        </w:rPr>
        <w:t>%=</w:t>
      </w:r>
      <w:r w:rsidR="00B65891">
        <w:rPr>
          <w:b/>
          <w:color w:val="000000"/>
        </w:rPr>
        <w:t>0,46</w:t>
      </w:r>
      <w:r w:rsidRPr="00530FFD">
        <w:rPr>
          <w:b/>
          <w:color w:val="000000"/>
        </w:rPr>
        <w:t>%</w:t>
      </w:r>
      <w:r w:rsidRPr="00A81F9F">
        <w:rPr>
          <w:color w:val="000000"/>
        </w:rPr>
        <w:t xml:space="preserve"> роста электропотребления. </w:t>
      </w:r>
      <w:r w:rsidR="00C01C3E">
        <w:rPr>
          <w:color w:val="000000"/>
        </w:rPr>
        <w:t>Более точно</w:t>
      </w:r>
      <w:r w:rsidR="00C01C3E" w:rsidRPr="00C01C3E">
        <w:rPr>
          <w:color w:val="000000"/>
        </w:rPr>
        <w:t xml:space="preserve"> </w:t>
      </w:r>
      <w:r w:rsidR="00C01C3E">
        <w:rPr>
          <w:color w:val="000000"/>
        </w:rPr>
        <w:t>значение среднегодового коэффициента эластичности</w:t>
      </w:r>
      <w:r w:rsidR="0021222B">
        <w:rPr>
          <w:color w:val="000000"/>
        </w:rPr>
        <w:t xml:space="preserve"> электропотребления (Эмр) к ВРПмр</w:t>
      </w:r>
      <w:r w:rsidR="00C01C3E">
        <w:rPr>
          <w:color w:val="000000"/>
        </w:rPr>
        <w:t xml:space="preserve"> К</w:t>
      </w:r>
      <w:r w:rsidR="009576CB">
        <w:rPr>
          <w:color w:val="000000"/>
        </w:rPr>
        <w:t>э</w:t>
      </w:r>
      <w:r w:rsidR="00C01C3E">
        <w:rPr>
          <w:color w:val="000000"/>
        </w:rPr>
        <w:t xml:space="preserve">мр можно определить такими же двумя способами, как и Кэм, и Кэмо. </w:t>
      </w:r>
    </w:p>
    <w:p w:rsidR="00C8648E" w:rsidRPr="00A81F9F" w:rsidRDefault="00C8648E" w:rsidP="00C8648E">
      <w:pPr>
        <w:pStyle w:val="af1"/>
        <w:shd w:val="clear" w:color="auto" w:fill="FFFFFF"/>
        <w:ind w:firstLine="720"/>
        <w:jc w:val="both"/>
        <w:rPr>
          <w:color w:val="000000"/>
        </w:rPr>
      </w:pPr>
      <w:r>
        <w:rPr>
          <w:color w:val="000000"/>
        </w:rPr>
        <w:t>На рис. 5</w:t>
      </w:r>
      <w:r w:rsidR="004C494E">
        <w:rPr>
          <w:color w:val="000000"/>
        </w:rPr>
        <w:t>8</w:t>
      </w:r>
      <w:r w:rsidRPr="00A81F9F">
        <w:rPr>
          <w:color w:val="000000"/>
        </w:rPr>
        <w:t xml:space="preserve"> показано ежегодные темпы изменения ВРП</w:t>
      </w:r>
      <w:r>
        <w:rPr>
          <w:color w:val="000000"/>
        </w:rPr>
        <w:t>мр</w:t>
      </w:r>
      <w:r w:rsidRPr="00A81F9F">
        <w:rPr>
          <w:color w:val="000000"/>
        </w:rPr>
        <w:t xml:space="preserve"> и </w:t>
      </w:r>
      <w:r w:rsidR="0021222B">
        <w:rPr>
          <w:color w:val="000000"/>
        </w:rPr>
        <w:t>Эмр</w:t>
      </w:r>
      <w:r w:rsidRPr="00A81F9F">
        <w:rPr>
          <w:color w:val="000000"/>
        </w:rPr>
        <w:t xml:space="preserve"> в Московском регионе в период 199</w:t>
      </w:r>
      <w:r>
        <w:rPr>
          <w:color w:val="000000"/>
        </w:rPr>
        <w:t>7</w:t>
      </w:r>
      <w:r w:rsidRPr="00A81F9F">
        <w:rPr>
          <w:color w:val="000000"/>
        </w:rPr>
        <w:t>-201</w:t>
      </w:r>
      <w:r>
        <w:rPr>
          <w:color w:val="000000"/>
        </w:rPr>
        <w:t>2</w:t>
      </w:r>
      <w:r w:rsidRPr="00A81F9F">
        <w:rPr>
          <w:color w:val="000000"/>
        </w:rPr>
        <w:t xml:space="preserve">гг.  </w:t>
      </w:r>
    </w:p>
    <w:p w:rsidR="00C8648E" w:rsidRPr="00A81F9F" w:rsidRDefault="007C1ADE" w:rsidP="00825ACE">
      <w:pPr>
        <w:pStyle w:val="af1"/>
        <w:shd w:val="clear" w:color="auto" w:fill="FFFFFF"/>
        <w:jc w:val="center"/>
        <w:rPr>
          <w:color w:val="000000"/>
        </w:rPr>
      </w:pPr>
      <w:r>
        <w:rPr>
          <w:noProof/>
          <w:color w:val="000000"/>
        </w:rPr>
        <w:drawing>
          <wp:inline distT="0" distB="0" distL="0" distR="0">
            <wp:extent cx="5937758" cy="2945511"/>
            <wp:effectExtent l="12192" t="6096" r="3175" b="1143"/>
            <wp:docPr id="14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8648E" w:rsidRPr="00A81F9F" w:rsidRDefault="00C8648E" w:rsidP="00A24FDA">
      <w:pPr>
        <w:pStyle w:val="af1"/>
        <w:shd w:val="clear" w:color="auto" w:fill="FFFFFF"/>
        <w:spacing w:before="0" w:beforeAutospacing="0" w:after="0" w:afterAutospacing="0"/>
        <w:ind w:firstLine="851"/>
        <w:jc w:val="both"/>
        <w:rPr>
          <w:color w:val="000000"/>
        </w:rPr>
      </w:pPr>
      <w:r w:rsidRPr="00A81F9F">
        <w:rPr>
          <w:color w:val="000000"/>
        </w:rPr>
        <w:t xml:space="preserve">Рис. </w:t>
      </w:r>
      <w:r w:rsidR="004C494E">
        <w:rPr>
          <w:color w:val="000000"/>
        </w:rPr>
        <w:t>58.</w:t>
      </w:r>
      <w:r w:rsidRPr="00A81F9F">
        <w:rPr>
          <w:color w:val="000000"/>
        </w:rPr>
        <w:t xml:space="preserve"> Ежегодные темпы изменения ВРП</w:t>
      </w:r>
      <w:r w:rsidR="00F300FC">
        <w:rPr>
          <w:color w:val="000000"/>
        </w:rPr>
        <w:t>мр</w:t>
      </w:r>
      <w:r w:rsidRPr="00A81F9F">
        <w:rPr>
          <w:color w:val="000000"/>
        </w:rPr>
        <w:t xml:space="preserve"> и электропотребления в Московском регионе в период 199</w:t>
      </w:r>
      <w:r w:rsidR="00261B70">
        <w:rPr>
          <w:color w:val="000000"/>
        </w:rPr>
        <w:t>7</w:t>
      </w:r>
      <w:r w:rsidRPr="00A81F9F">
        <w:rPr>
          <w:color w:val="000000"/>
        </w:rPr>
        <w:t>-201</w:t>
      </w:r>
      <w:r w:rsidR="00261B70">
        <w:rPr>
          <w:color w:val="000000"/>
        </w:rPr>
        <w:t>2</w:t>
      </w:r>
      <w:r w:rsidRPr="00A81F9F">
        <w:rPr>
          <w:color w:val="000000"/>
        </w:rPr>
        <w:t xml:space="preserve">гг. </w:t>
      </w:r>
    </w:p>
    <w:p w:rsidR="009734CD" w:rsidRDefault="009734CD" w:rsidP="0018701C">
      <w:pPr>
        <w:pStyle w:val="af1"/>
        <w:shd w:val="clear" w:color="auto" w:fill="FFFFFF"/>
        <w:spacing w:before="0" w:beforeAutospacing="0" w:after="0" w:afterAutospacing="0"/>
        <w:ind w:firstLine="720"/>
        <w:rPr>
          <w:color w:val="000000"/>
        </w:rPr>
      </w:pPr>
    </w:p>
    <w:p w:rsidR="00A24FDA" w:rsidRPr="00DA1EC2" w:rsidRDefault="00F300FC" w:rsidP="004C494E">
      <w:pPr>
        <w:pStyle w:val="af1"/>
        <w:shd w:val="clear" w:color="auto" w:fill="FFFFFF"/>
        <w:spacing w:before="0" w:beforeAutospacing="0" w:after="0" w:afterAutospacing="0"/>
        <w:ind w:firstLine="851"/>
        <w:jc w:val="both"/>
        <w:rPr>
          <w:color w:val="000000"/>
        </w:rPr>
      </w:pPr>
      <w:r>
        <w:rPr>
          <w:color w:val="000000"/>
        </w:rPr>
        <w:t>В</w:t>
      </w:r>
      <w:r w:rsidR="00C8648E" w:rsidRPr="00A81F9F">
        <w:rPr>
          <w:color w:val="000000"/>
        </w:rPr>
        <w:t>идно, что в период</w:t>
      </w:r>
      <w:r>
        <w:rPr>
          <w:color w:val="000000"/>
        </w:rPr>
        <w:t xml:space="preserve"> 1997; 1999-2008гг.</w:t>
      </w:r>
      <w:r w:rsidR="00C8648E" w:rsidRPr="00A81F9F">
        <w:rPr>
          <w:color w:val="000000"/>
        </w:rPr>
        <w:t xml:space="preserve"> среднегодовой темп роста ВРП</w:t>
      </w:r>
      <w:r>
        <w:rPr>
          <w:color w:val="000000"/>
        </w:rPr>
        <w:t>мр</w:t>
      </w:r>
      <w:r w:rsidR="00281849">
        <w:rPr>
          <w:color w:val="000000"/>
        </w:rPr>
        <w:t xml:space="preserve"> в период роста ВРПмр</w:t>
      </w:r>
      <w:r w:rsidR="00C8648E" w:rsidRPr="00A81F9F">
        <w:rPr>
          <w:color w:val="000000"/>
        </w:rPr>
        <w:t xml:space="preserve"> составил </w:t>
      </w:r>
      <w:r w:rsidR="00C8648E" w:rsidRPr="00A81F9F">
        <w:rPr>
          <w:b/>
          <w:bCs/>
          <w:color w:val="000000"/>
        </w:rPr>
        <w:t>– 9,</w:t>
      </w:r>
      <w:r>
        <w:rPr>
          <w:b/>
          <w:bCs/>
          <w:color w:val="000000"/>
        </w:rPr>
        <w:t>3</w:t>
      </w:r>
      <w:r w:rsidR="00C8648E" w:rsidRPr="00A81F9F">
        <w:rPr>
          <w:b/>
          <w:bCs/>
          <w:color w:val="000000"/>
        </w:rPr>
        <w:t>%</w:t>
      </w:r>
      <w:r w:rsidR="00C8648E" w:rsidRPr="00281849">
        <w:rPr>
          <w:bCs/>
          <w:color w:val="000000"/>
        </w:rPr>
        <w:t>,</w:t>
      </w:r>
      <w:r w:rsidR="00C8648E" w:rsidRPr="00A81F9F">
        <w:rPr>
          <w:color w:val="000000"/>
        </w:rPr>
        <w:t xml:space="preserve"> при этом среднегодовой темп роста электропотребления равнялся </w:t>
      </w:r>
      <w:r>
        <w:rPr>
          <w:b/>
          <w:bCs/>
          <w:color w:val="000000"/>
        </w:rPr>
        <w:t>3,96</w:t>
      </w:r>
      <w:r w:rsidR="00C8648E" w:rsidRPr="00A81F9F">
        <w:rPr>
          <w:b/>
          <w:bCs/>
          <w:color w:val="000000"/>
        </w:rPr>
        <w:t>%.</w:t>
      </w:r>
      <w:r w:rsidR="00C8648E" w:rsidRPr="00A81F9F">
        <w:rPr>
          <w:color w:val="000000"/>
        </w:rPr>
        <w:t xml:space="preserve"> </w:t>
      </w:r>
      <w:r>
        <w:rPr>
          <w:color w:val="000000"/>
        </w:rPr>
        <w:t xml:space="preserve">Тогда </w:t>
      </w:r>
      <w:r w:rsidR="00C8648E" w:rsidRPr="00A81F9F">
        <w:rPr>
          <w:color w:val="000000"/>
        </w:rPr>
        <w:t>среднегодовой коэффициент эластичности</w:t>
      </w:r>
      <w:r w:rsidR="009576CB">
        <w:rPr>
          <w:color w:val="000000"/>
        </w:rPr>
        <w:t xml:space="preserve"> Кэмр</w:t>
      </w:r>
      <w:r w:rsidR="00C8648E" w:rsidRPr="00A81F9F">
        <w:rPr>
          <w:color w:val="000000"/>
        </w:rPr>
        <w:t xml:space="preserve"> </w:t>
      </w:r>
      <w:r w:rsidR="009576CB">
        <w:rPr>
          <w:color w:val="000000"/>
        </w:rPr>
        <w:t>=</w:t>
      </w:r>
      <w:r>
        <w:rPr>
          <w:color w:val="000000"/>
        </w:rPr>
        <w:t xml:space="preserve"> 3,96%/9,3%=</w:t>
      </w:r>
      <w:r w:rsidRPr="00F12A57">
        <w:rPr>
          <w:b/>
          <w:color w:val="000000"/>
        </w:rPr>
        <w:t>0,43</w:t>
      </w:r>
      <w:r w:rsidR="00C8648E" w:rsidRPr="00A81F9F">
        <w:rPr>
          <w:color w:val="000000"/>
        </w:rPr>
        <w:t xml:space="preserve">, </w:t>
      </w:r>
      <w:r>
        <w:rPr>
          <w:color w:val="000000"/>
        </w:rPr>
        <w:t>или</w:t>
      </w:r>
      <w:r w:rsidR="00C8648E" w:rsidRPr="00A81F9F">
        <w:rPr>
          <w:color w:val="000000"/>
        </w:rPr>
        <w:t xml:space="preserve"> на 1% роста ВРП</w:t>
      </w:r>
      <w:r>
        <w:rPr>
          <w:color w:val="000000"/>
        </w:rPr>
        <w:t>мр</w:t>
      </w:r>
      <w:r w:rsidR="00C8648E" w:rsidRPr="00A81F9F">
        <w:rPr>
          <w:color w:val="000000"/>
        </w:rPr>
        <w:t xml:space="preserve"> приходится </w:t>
      </w:r>
      <w:r w:rsidR="00C8648E" w:rsidRPr="00F12A57">
        <w:rPr>
          <w:bCs/>
          <w:color w:val="000000"/>
        </w:rPr>
        <w:t>0,</w:t>
      </w:r>
      <w:r w:rsidRPr="00F12A57">
        <w:rPr>
          <w:bCs/>
          <w:color w:val="000000"/>
        </w:rPr>
        <w:t>43%</w:t>
      </w:r>
      <w:r w:rsidR="00C8648E" w:rsidRPr="00A81F9F">
        <w:rPr>
          <w:color w:val="000000"/>
        </w:rPr>
        <w:t xml:space="preserve"> роста электропотребления</w:t>
      </w:r>
      <w:r w:rsidR="0021222B">
        <w:rPr>
          <w:color w:val="000000"/>
        </w:rPr>
        <w:t xml:space="preserve"> (в России среднегодовое значение Кэ=0,37 – см. Раздел</w:t>
      </w:r>
      <w:r w:rsidR="00D17FA1">
        <w:rPr>
          <w:color w:val="000000"/>
        </w:rPr>
        <w:t xml:space="preserve"> 2, рис. 10</w:t>
      </w:r>
      <w:r w:rsidR="0021222B">
        <w:rPr>
          <w:color w:val="000000"/>
        </w:rPr>
        <w:t xml:space="preserve">). </w:t>
      </w:r>
      <w:r w:rsidR="00A24FDA">
        <w:rPr>
          <w:color w:val="000000"/>
        </w:rPr>
        <w:t>А с учетом периода 2010-2012гг.</w:t>
      </w:r>
      <w:r w:rsidR="00A8187B">
        <w:rPr>
          <w:color w:val="000000"/>
        </w:rPr>
        <w:t xml:space="preserve"> </w:t>
      </w:r>
      <w:r w:rsidR="00DA1EC2">
        <w:rPr>
          <w:color w:val="000000"/>
        </w:rPr>
        <w:t>среднегодовые</w:t>
      </w:r>
      <w:r w:rsidR="00650B5D">
        <w:rPr>
          <w:color w:val="000000"/>
        </w:rPr>
        <w:t xml:space="preserve"> темп</w:t>
      </w:r>
      <w:r w:rsidR="00DA1EC2">
        <w:rPr>
          <w:color w:val="000000"/>
        </w:rPr>
        <w:t>ы</w:t>
      </w:r>
      <w:r w:rsidR="00650B5D">
        <w:rPr>
          <w:color w:val="000000"/>
        </w:rPr>
        <w:t xml:space="preserve"> роста ВРПмр </w:t>
      </w:r>
      <w:r w:rsidR="00DA1EC2">
        <w:rPr>
          <w:color w:val="000000"/>
        </w:rPr>
        <w:t xml:space="preserve">и электропотребления </w:t>
      </w:r>
      <w:r w:rsidR="00650B5D">
        <w:rPr>
          <w:color w:val="000000"/>
        </w:rPr>
        <w:t>сост</w:t>
      </w:r>
      <w:r w:rsidR="00DA1EC2">
        <w:rPr>
          <w:color w:val="000000"/>
        </w:rPr>
        <w:t>авя</w:t>
      </w:r>
      <w:r w:rsidR="00650B5D">
        <w:rPr>
          <w:color w:val="000000"/>
        </w:rPr>
        <w:t>т</w:t>
      </w:r>
      <w:r w:rsidR="00DA1EC2">
        <w:rPr>
          <w:color w:val="000000"/>
        </w:rPr>
        <w:t xml:space="preserve"> соответственно</w:t>
      </w:r>
      <w:r w:rsidR="00650B5D">
        <w:rPr>
          <w:color w:val="000000"/>
        </w:rPr>
        <w:t xml:space="preserve"> </w:t>
      </w:r>
      <w:r w:rsidR="00DA1EC2">
        <w:rPr>
          <w:b/>
          <w:color w:val="000000"/>
        </w:rPr>
        <w:t>7,9</w:t>
      </w:r>
      <w:r w:rsidR="008A2EB6">
        <w:rPr>
          <w:b/>
          <w:color w:val="000000"/>
        </w:rPr>
        <w:t>2</w:t>
      </w:r>
      <w:r w:rsidR="002A7598">
        <w:rPr>
          <w:b/>
          <w:color w:val="000000"/>
        </w:rPr>
        <w:t>%</w:t>
      </w:r>
      <w:r w:rsidR="00DA1EC2">
        <w:rPr>
          <w:b/>
          <w:color w:val="000000"/>
        </w:rPr>
        <w:t xml:space="preserve"> и </w:t>
      </w:r>
      <w:r w:rsidR="002A7598">
        <w:rPr>
          <w:b/>
          <w:color w:val="000000"/>
        </w:rPr>
        <w:t>3,6</w:t>
      </w:r>
      <w:r w:rsidR="008A2EB6">
        <w:rPr>
          <w:b/>
          <w:color w:val="000000"/>
        </w:rPr>
        <w:t>3</w:t>
      </w:r>
      <w:r w:rsidR="002A7598">
        <w:rPr>
          <w:b/>
          <w:color w:val="000000"/>
        </w:rPr>
        <w:t>%</w:t>
      </w:r>
      <w:r w:rsidR="00DA1EC2">
        <w:rPr>
          <w:b/>
          <w:color w:val="000000"/>
        </w:rPr>
        <w:t>.</w:t>
      </w:r>
      <w:r w:rsidR="00DA1EC2">
        <w:rPr>
          <w:color w:val="000000"/>
        </w:rPr>
        <w:t xml:space="preserve"> </w:t>
      </w:r>
      <w:r w:rsidR="008A2EB6">
        <w:rPr>
          <w:color w:val="000000"/>
        </w:rPr>
        <w:t>Тогда</w:t>
      </w:r>
      <w:r w:rsidR="00DA1EC2">
        <w:rPr>
          <w:color w:val="000000"/>
        </w:rPr>
        <w:t xml:space="preserve"> среднегодовой коэффициент эластичности электропотребления к ВРП Кэмр = 3,6</w:t>
      </w:r>
      <w:r w:rsidR="008A2EB6">
        <w:rPr>
          <w:color w:val="000000"/>
        </w:rPr>
        <w:t>3</w:t>
      </w:r>
      <w:r w:rsidR="00DA1EC2">
        <w:rPr>
          <w:color w:val="000000"/>
        </w:rPr>
        <w:t>%/7,9</w:t>
      </w:r>
      <w:r w:rsidR="008A2EB6">
        <w:rPr>
          <w:color w:val="000000"/>
        </w:rPr>
        <w:t>2</w:t>
      </w:r>
      <w:r w:rsidR="00DA1EC2">
        <w:rPr>
          <w:color w:val="000000"/>
        </w:rPr>
        <w:t>%=</w:t>
      </w:r>
      <w:r w:rsidR="00DA1EC2" w:rsidRPr="00DA1EC2">
        <w:rPr>
          <w:b/>
          <w:color w:val="000000"/>
        </w:rPr>
        <w:t>0,46.</w:t>
      </w:r>
    </w:p>
    <w:p w:rsidR="0018701C" w:rsidRDefault="0018701C" w:rsidP="004C494E">
      <w:pPr>
        <w:pStyle w:val="af1"/>
        <w:shd w:val="clear" w:color="auto" w:fill="FFFFFF"/>
        <w:spacing w:before="0" w:beforeAutospacing="0" w:after="0" w:afterAutospacing="0"/>
        <w:ind w:firstLine="720"/>
        <w:jc w:val="both"/>
        <w:rPr>
          <w:color w:val="000000"/>
        </w:rPr>
      </w:pPr>
      <w:r>
        <w:rPr>
          <w:color w:val="000000"/>
        </w:rPr>
        <w:t>Теперь определим среднегодовой коэффициент эластичности электропотребления</w:t>
      </w:r>
      <w:r w:rsidR="003D647C">
        <w:rPr>
          <w:color w:val="000000"/>
        </w:rPr>
        <w:t xml:space="preserve"> (Эмр</w:t>
      </w:r>
      <w:r w:rsidR="00AF4111">
        <w:rPr>
          <w:color w:val="000000"/>
        </w:rPr>
        <w:t>)</w:t>
      </w:r>
      <w:r>
        <w:rPr>
          <w:color w:val="000000"/>
        </w:rPr>
        <w:t xml:space="preserve"> к ВРПмр  другим способом - путем осреднения ежегодных коэффициентов эластичности</w:t>
      </w:r>
      <w:r w:rsidR="003D647C">
        <w:rPr>
          <w:color w:val="000000"/>
        </w:rPr>
        <w:t xml:space="preserve"> Эмр к ВР</w:t>
      </w:r>
      <w:r w:rsidR="00AF4111">
        <w:rPr>
          <w:color w:val="000000"/>
        </w:rPr>
        <w:t>П</w:t>
      </w:r>
      <w:r w:rsidR="003D647C">
        <w:rPr>
          <w:color w:val="000000"/>
        </w:rPr>
        <w:t>мр</w:t>
      </w:r>
      <w:r>
        <w:rPr>
          <w:color w:val="000000"/>
        </w:rPr>
        <w:t xml:space="preserve"> в период роста ВРПмр с 1997,1999-2008</w:t>
      </w:r>
      <w:r w:rsidR="00AF4111">
        <w:rPr>
          <w:color w:val="000000"/>
        </w:rPr>
        <w:t>; 2010-2012гг.</w:t>
      </w:r>
      <w:r>
        <w:rPr>
          <w:color w:val="000000"/>
        </w:rPr>
        <w:t xml:space="preserve"> (электропотребление в Московском регионе  взято по данным СО ЕЭС</w:t>
      </w:r>
      <w:r w:rsidR="004C494E">
        <w:rPr>
          <w:color w:val="000000"/>
        </w:rPr>
        <w:t xml:space="preserve"> </w:t>
      </w:r>
      <w:r>
        <w:rPr>
          <w:color w:val="000000"/>
        </w:rPr>
        <w:t xml:space="preserve">– </w:t>
      </w:r>
      <w:r w:rsidR="004C494E">
        <w:rPr>
          <w:color w:val="000000"/>
        </w:rPr>
        <w:t xml:space="preserve"> </w:t>
      </w:r>
      <w:r>
        <w:rPr>
          <w:color w:val="000000"/>
        </w:rPr>
        <w:t xml:space="preserve">рис. 47). </w:t>
      </w:r>
    </w:p>
    <w:p w:rsidR="0018701C" w:rsidRDefault="0018701C" w:rsidP="004C494E">
      <w:pPr>
        <w:pStyle w:val="af1"/>
        <w:shd w:val="clear" w:color="auto" w:fill="FFFFFF"/>
        <w:spacing w:before="0" w:beforeAutospacing="0" w:after="0" w:afterAutospacing="0"/>
        <w:ind w:firstLine="720"/>
        <w:jc w:val="both"/>
        <w:rPr>
          <w:color w:val="000000"/>
        </w:rPr>
      </w:pPr>
      <w:r>
        <w:rPr>
          <w:color w:val="000000"/>
        </w:rPr>
        <w:br/>
      </w:r>
    </w:p>
    <w:p w:rsidR="0018701C" w:rsidRDefault="0018701C" w:rsidP="005822CB">
      <w:pPr>
        <w:pStyle w:val="af1"/>
        <w:shd w:val="clear" w:color="auto" w:fill="FFFFFF"/>
        <w:spacing w:before="0" w:beforeAutospacing="0" w:after="0" w:afterAutospacing="0"/>
        <w:ind w:firstLine="720"/>
        <w:rPr>
          <w:color w:val="000000"/>
        </w:rPr>
      </w:pPr>
    </w:p>
    <w:p w:rsidR="005822CB" w:rsidRDefault="005822CB" w:rsidP="005822CB">
      <w:pPr>
        <w:pStyle w:val="af1"/>
        <w:shd w:val="clear" w:color="auto" w:fill="FFFFFF"/>
        <w:spacing w:after="0" w:afterAutospacing="0"/>
        <w:ind w:firstLine="720"/>
        <w:jc w:val="both"/>
        <w:rPr>
          <w:color w:val="000000"/>
        </w:rPr>
      </w:pPr>
    </w:p>
    <w:p w:rsidR="00A073B5" w:rsidRDefault="007C1ADE" w:rsidP="008323C9">
      <w:pPr>
        <w:pStyle w:val="af1"/>
        <w:shd w:val="clear" w:color="auto" w:fill="FFFFFF"/>
        <w:ind w:firstLine="142"/>
        <w:jc w:val="both"/>
        <w:rPr>
          <w:noProof/>
          <w:color w:val="000000"/>
        </w:rPr>
      </w:pPr>
      <w:r>
        <w:rPr>
          <w:noProof/>
          <w:color w:val="000000"/>
        </w:rPr>
        <w:drawing>
          <wp:inline distT="0" distB="0" distL="0" distR="0">
            <wp:extent cx="5937758" cy="3803904"/>
            <wp:effectExtent l="12192" t="6096" r="3175" b="0"/>
            <wp:docPr id="148"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AE0691">
        <w:rPr>
          <w:noProof/>
          <w:color w:val="000000"/>
        </w:rPr>
        <w:br/>
      </w:r>
    </w:p>
    <w:p w:rsidR="00AF4111" w:rsidRDefault="00AE0691" w:rsidP="004C494E">
      <w:pPr>
        <w:pStyle w:val="af1"/>
        <w:shd w:val="clear" w:color="auto" w:fill="FFFFFF"/>
        <w:ind w:firstLine="851"/>
        <w:jc w:val="both"/>
        <w:rPr>
          <w:noProof/>
          <w:color w:val="000000"/>
        </w:rPr>
      </w:pPr>
      <w:r>
        <w:rPr>
          <w:noProof/>
          <w:color w:val="000000"/>
        </w:rPr>
        <w:t>Рис.5</w:t>
      </w:r>
      <w:r w:rsidR="004C494E">
        <w:rPr>
          <w:noProof/>
          <w:color w:val="000000"/>
        </w:rPr>
        <w:t>9.</w:t>
      </w:r>
      <w:r>
        <w:rPr>
          <w:noProof/>
          <w:color w:val="000000"/>
        </w:rPr>
        <w:t xml:space="preserve"> </w:t>
      </w:r>
      <w:r w:rsidR="00AF4111">
        <w:rPr>
          <w:noProof/>
          <w:color w:val="000000"/>
        </w:rPr>
        <w:t>Ежегодные</w:t>
      </w:r>
      <w:r w:rsidR="005B70F5">
        <w:rPr>
          <w:noProof/>
          <w:color w:val="000000"/>
        </w:rPr>
        <w:t xml:space="preserve"> значения </w:t>
      </w:r>
      <w:r w:rsidR="00AF4111">
        <w:rPr>
          <w:noProof/>
          <w:color w:val="000000"/>
        </w:rPr>
        <w:t>коэффициент</w:t>
      </w:r>
      <w:r w:rsidR="005B70F5">
        <w:rPr>
          <w:noProof/>
          <w:color w:val="000000"/>
        </w:rPr>
        <w:t xml:space="preserve">ов </w:t>
      </w:r>
      <w:r w:rsidR="00AF4111">
        <w:rPr>
          <w:noProof/>
          <w:color w:val="000000"/>
        </w:rPr>
        <w:t>эластичности Эмр к ВРПмр</w:t>
      </w:r>
      <w:r>
        <w:rPr>
          <w:noProof/>
          <w:color w:val="000000"/>
        </w:rPr>
        <w:t xml:space="preserve"> </w:t>
      </w:r>
      <w:r w:rsidR="00AF4111">
        <w:rPr>
          <w:noProof/>
          <w:color w:val="000000"/>
        </w:rPr>
        <w:t>(</w:t>
      </w:r>
      <w:r>
        <w:rPr>
          <w:noProof/>
          <w:color w:val="000000"/>
        </w:rPr>
        <w:t>Кэмр</w:t>
      </w:r>
      <w:r w:rsidR="00AF4111">
        <w:rPr>
          <w:noProof/>
          <w:color w:val="000000"/>
        </w:rPr>
        <w:t>)</w:t>
      </w:r>
      <w:r>
        <w:rPr>
          <w:noProof/>
          <w:color w:val="000000"/>
        </w:rPr>
        <w:t xml:space="preserve"> в Московском регионе в период 1997-2012 гг.</w:t>
      </w:r>
    </w:p>
    <w:p w:rsidR="00E35DD1" w:rsidRDefault="00E35DD1" w:rsidP="005B70F5">
      <w:pPr>
        <w:pStyle w:val="af1"/>
        <w:shd w:val="clear" w:color="auto" w:fill="FFFFFF"/>
        <w:spacing w:before="0" w:beforeAutospacing="0" w:after="0" w:afterAutospacing="0"/>
        <w:ind w:firstLine="851"/>
        <w:jc w:val="both"/>
        <w:rPr>
          <w:noProof/>
          <w:color w:val="000000"/>
        </w:rPr>
      </w:pPr>
      <w:r>
        <w:rPr>
          <w:noProof/>
          <w:color w:val="000000"/>
        </w:rPr>
        <w:t>Также как при определении среднегодового коэффициента эластичности электропотребления (Эм) к ВРПм в Москве (см.</w:t>
      </w:r>
      <w:r w:rsidR="004C494E">
        <w:rPr>
          <w:noProof/>
          <w:color w:val="000000"/>
        </w:rPr>
        <w:t xml:space="preserve"> </w:t>
      </w:r>
      <w:r>
        <w:rPr>
          <w:noProof/>
          <w:color w:val="000000"/>
        </w:rPr>
        <w:t>рис.50) необходимо провести локальное осреднение для 2000,2001,2002 гг. (получено среднегодовое значение Кэмр=0,52)  и 2010,</w:t>
      </w:r>
      <w:r w:rsidR="004C494E">
        <w:rPr>
          <w:noProof/>
          <w:color w:val="000000"/>
        </w:rPr>
        <w:t xml:space="preserve"> </w:t>
      </w:r>
      <w:r>
        <w:rPr>
          <w:noProof/>
          <w:color w:val="000000"/>
        </w:rPr>
        <w:t>2011 и 2012гг. (получено сре</w:t>
      </w:r>
      <w:r w:rsidR="003E4C03">
        <w:rPr>
          <w:noProof/>
          <w:color w:val="000000"/>
        </w:rPr>
        <w:t>днегодовое значение Кэмр=0,83).</w:t>
      </w:r>
    </w:p>
    <w:p w:rsidR="00824F0B" w:rsidRDefault="00824F0B" w:rsidP="005B70F5">
      <w:pPr>
        <w:pStyle w:val="af1"/>
        <w:shd w:val="clear" w:color="auto" w:fill="FFFFFF"/>
        <w:spacing w:before="0" w:beforeAutospacing="0" w:after="0" w:afterAutospacing="0"/>
        <w:ind w:firstLine="851"/>
        <w:jc w:val="both"/>
        <w:rPr>
          <w:noProof/>
          <w:color w:val="000000"/>
        </w:rPr>
      </w:pPr>
      <w:r>
        <w:rPr>
          <w:noProof/>
          <w:color w:val="000000"/>
        </w:rPr>
        <w:t xml:space="preserve">На рис. </w:t>
      </w:r>
      <w:r w:rsidR="003E4C03">
        <w:rPr>
          <w:noProof/>
          <w:color w:val="000000"/>
        </w:rPr>
        <w:t>60</w:t>
      </w:r>
      <w:r>
        <w:rPr>
          <w:noProof/>
          <w:color w:val="000000"/>
        </w:rPr>
        <w:t xml:space="preserve"> показ</w:t>
      </w:r>
      <w:r w:rsidR="003E4C03">
        <w:rPr>
          <w:noProof/>
          <w:color w:val="000000"/>
        </w:rPr>
        <w:t>а</w:t>
      </w:r>
      <w:r>
        <w:rPr>
          <w:noProof/>
          <w:color w:val="000000"/>
        </w:rPr>
        <w:t>ны ежегодные</w:t>
      </w:r>
      <w:r w:rsidR="005B70F5">
        <w:rPr>
          <w:noProof/>
          <w:color w:val="000000"/>
        </w:rPr>
        <w:t xml:space="preserve"> значения</w:t>
      </w:r>
      <w:r>
        <w:rPr>
          <w:noProof/>
          <w:color w:val="000000"/>
        </w:rPr>
        <w:t xml:space="preserve"> коэффициент</w:t>
      </w:r>
      <w:r w:rsidR="005B70F5">
        <w:rPr>
          <w:noProof/>
          <w:color w:val="000000"/>
        </w:rPr>
        <w:t>ов</w:t>
      </w:r>
      <w:r w:rsidR="00B51AC5">
        <w:rPr>
          <w:noProof/>
          <w:color w:val="000000"/>
        </w:rPr>
        <w:t xml:space="preserve"> эластичнос</w:t>
      </w:r>
      <w:r>
        <w:rPr>
          <w:noProof/>
          <w:color w:val="000000"/>
        </w:rPr>
        <w:t>ти Эмр</w:t>
      </w:r>
      <w:r w:rsidR="005B70F5">
        <w:rPr>
          <w:noProof/>
          <w:color w:val="000000"/>
        </w:rPr>
        <w:t xml:space="preserve"> к ВРПмр уже после такого локального осреднения. </w:t>
      </w:r>
    </w:p>
    <w:p w:rsidR="00824F0B" w:rsidRDefault="00824F0B" w:rsidP="008323C9">
      <w:pPr>
        <w:pStyle w:val="af1"/>
        <w:shd w:val="clear" w:color="auto" w:fill="FFFFFF"/>
        <w:ind w:firstLine="142"/>
        <w:jc w:val="both"/>
        <w:rPr>
          <w:noProof/>
          <w:color w:val="000000"/>
        </w:rPr>
      </w:pPr>
    </w:p>
    <w:p w:rsidR="002251D5" w:rsidRDefault="005F768F" w:rsidP="005B70F5">
      <w:pPr>
        <w:pStyle w:val="af1"/>
        <w:shd w:val="clear" w:color="auto" w:fill="FFFFFF"/>
        <w:ind w:firstLine="142"/>
        <w:jc w:val="both"/>
        <w:rPr>
          <w:noProof/>
          <w:color w:val="000000"/>
        </w:rPr>
      </w:pPr>
      <w:r>
        <w:rPr>
          <w:noProof/>
          <w:color w:val="000000"/>
        </w:rPr>
        <w:br/>
      </w:r>
      <w:r w:rsidR="008323C9">
        <w:rPr>
          <w:noProof/>
          <w:color w:val="000000"/>
        </w:rPr>
        <w:t xml:space="preserve"> </w:t>
      </w:r>
      <w:r w:rsidR="007C1ADE">
        <w:rPr>
          <w:noProof/>
          <w:color w:val="000000"/>
        </w:rPr>
        <w:drawing>
          <wp:inline distT="0" distB="0" distL="0" distR="0">
            <wp:extent cx="5937758" cy="4025086"/>
            <wp:effectExtent l="12192" t="6096" r="3175" b="7418"/>
            <wp:docPr id="150"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D647C" w:rsidRDefault="003D647C" w:rsidP="002A7564">
      <w:pPr>
        <w:pStyle w:val="af1"/>
        <w:shd w:val="clear" w:color="auto" w:fill="FFFFFF"/>
        <w:ind w:firstLine="720"/>
        <w:rPr>
          <w:noProof/>
          <w:color w:val="000000"/>
        </w:rPr>
      </w:pPr>
      <w:r>
        <w:rPr>
          <w:noProof/>
          <w:color w:val="000000"/>
        </w:rPr>
        <w:t xml:space="preserve">Рис. </w:t>
      </w:r>
      <w:r w:rsidR="003E4C03">
        <w:rPr>
          <w:noProof/>
          <w:color w:val="000000"/>
        </w:rPr>
        <w:t>60</w:t>
      </w:r>
      <w:r w:rsidR="005B70F5">
        <w:rPr>
          <w:noProof/>
          <w:color w:val="000000"/>
        </w:rPr>
        <w:t xml:space="preserve">. Ежегодные значения коэффициентов эластичности Эмр к ВРПмр </w:t>
      </w:r>
      <w:r w:rsidR="00E35DD1">
        <w:rPr>
          <w:noProof/>
          <w:color w:val="000000"/>
        </w:rPr>
        <w:t xml:space="preserve">(Кэмр) в Московском регионе в период 1997-2012гг. после локального осреднения. </w:t>
      </w:r>
    </w:p>
    <w:p w:rsidR="003E4C03" w:rsidRDefault="00DC00A4" w:rsidP="002A7564">
      <w:pPr>
        <w:pStyle w:val="af1"/>
        <w:shd w:val="clear" w:color="auto" w:fill="FFFFFF"/>
        <w:ind w:firstLine="720"/>
        <w:rPr>
          <w:noProof/>
          <w:color w:val="000000"/>
        </w:rPr>
      </w:pPr>
      <w:r>
        <w:rPr>
          <w:noProof/>
          <w:color w:val="000000"/>
        </w:rPr>
        <w:t xml:space="preserve">В период роста </w:t>
      </w:r>
      <w:r w:rsidRPr="00DC00A4">
        <w:rPr>
          <w:noProof/>
          <w:color w:val="000000"/>
        </w:rPr>
        <w:t>ВРПмр</w:t>
      </w:r>
      <w:r>
        <w:rPr>
          <w:noProof/>
          <w:color w:val="000000"/>
        </w:rPr>
        <w:t xml:space="preserve"> (1997,1999-2008) среднегодовое значение </w:t>
      </w:r>
      <w:r w:rsidRPr="00DC00A4">
        <w:rPr>
          <w:noProof/>
          <w:color w:val="000000"/>
        </w:rPr>
        <w:t>Кэмр=0,43</w:t>
      </w:r>
      <w:r w:rsidR="00230559">
        <w:rPr>
          <w:noProof/>
          <w:color w:val="000000"/>
        </w:rPr>
        <w:t xml:space="preserve">, с учетом 2010-2012 гг значение </w:t>
      </w:r>
      <w:r w:rsidR="00230559" w:rsidRPr="003627DB">
        <w:rPr>
          <w:b/>
          <w:noProof/>
          <w:color w:val="000000"/>
        </w:rPr>
        <w:t>Кэмр =0,</w:t>
      </w:r>
      <w:r w:rsidR="00230559">
        <w:rPr>
          <w:b/>
          <w:noProof/>
          <w:color w:val="000000"/>
        </w:rPr>
        <w:t>51</w:t>
      </w:r>
      <w:r w:rsidR="00230559" w:rsidRPr="00E35A3D">
        <w:rPr>
          <w:noProof/>
          <w:color w:val="000000"/>
        </w:rPr>
        <w:t>(СО ЕЭС)</w:t>
      </w:r>
      <w:r w:rsidR="00230559">
        <w:rPr>
          <w:noProof/>
          <w:color w:val="000000"/>
        </w:rPr>
        <w:t xml:space="preserve"> </w:t>
      </w:r>
      <w:r w:rsidR="00A949E3">
        <w:rPr>
          <w:noProof/>
          <w:color w:val="000000"/>
        </w:rPr>
        <w:t xml:space="preserve">или </w:t>
      </w:r>
      <w:r w:rsidR="00B65891">
        <w:rPr>
          <w:noProof/>
          <w:color w:val="000000"/>
        </w:rPr>
        <w:t>близко</w:t>
      </w:r>
      <w:r w:rsidR="002A7564">
        <w:rPr>
          <w:noProof/>
          <w:color w:val="000000"/>
        </w:rPr>
        <w:t xml:space="preserve"> значению</w:t>
      </w:r>
      <w:r w:rsidR="00B65891">
        <w:rPr>
          <w:noProof/>
          <w:color w:val="000000"/>
        </w:rPr>
        <w:t xml:space="preserve"> Кэмр=0,46</w:t>
      </w:r>
      <w:r w:rsidR="002A7564">
        <w:rPr>
          <w:noProof/>
          <w:color w:val="000000"/>
        </w:rPr>
        <w:t>, полученному</w:t>
      </w:r>
      <w:r w:rsidR="00E35A3D">
        <w:rPr>
          <w:noProof/>
          <w:color w:val="000000"/>
        </w:rPr>
        <w:t xml:space="preserve"> выше. При этом в Москве </w:t>
      </w:r>
      <w:r w:rsidR="00E35A3D" w:rsidRPr="00E35A3D">
        <w:rPr>
          <w:b/>
          <w:noProof/>
          <w:color w:val="000000"/>
        </w:rPr>
        <w:t>Кэм= 0,4</w:t>
      </w:r>
      <w:r w:rsidR="00E35A3D">
        <w:rPr>
          <w:b/>
          <w:noProof/>
          <w:color w:val="000000"/>
        </w:rPr>
        <w:t xml:space="preserve"> </w:t>
      </w:r>
      <w:r w:rsidR="00E35A3D" w:rsidRPr="00E35A3D">
        <w:rPr>
          <w:noProof/>
          <w:color w:val="000000"/>
        </w:rPr>
        <w:t>(Росстат)</w:t>
      </w:r>
      <w:r w:rsidR="00E35A3D">
        <w:rPr>
          <w:b/>
          <w:noProof/>
          <w:color w:val="000000"/>
        </w:rPr>
        <w:t xml:space="preserve"> </w:t>
      </w:r>
      <w:r w:rsidR="00E35A3D" w:rsidRPr="00E35A3D">
        <w:rPr>
          <w:noProof/>
          <w:color w:val="000000"/>
        </w:rPr>
        <w:t>и в Московской области</w:t>
      </w:r>
      <w:r w:rsidR="00E35A3D">
        <w:rPr>
          <w:b/>
          <w:noProof/>
          <w:color w:val="000000"/>
        </w:rPr>
        <w:t xml:space="preserve"> 0,51(0,58) </w:t>
      </w:r>
      <w:r w:rsidR="00E35A3D" w:rsidRPr="00E35A3D">
        <w:rPr>
          <w:noProof/>
          <w:color w:val="000000"/>
        </w:rPr>
        <w:t>в зависимости от используемой ба</w:t>
      </w:r>
      <w:r w:rsidR="00E35A3D">
        <w:rPr>
          <w:noProof/>
          <w:color w:val="000000"/>
        </w:rPr>
        <w:t>зы данных по электропотреблению (Росстат или Мосэнергосбыт).</w:t>
      </w:r>
      <w:r w:rsidR="001A589E" w:rsidRPr="00E35A3D">
        <w:rPr>
          <w:noProof/>
          <w:color w:val="000000"/>
        </w:rPr>
        <w:br/>
      </w:r>
    </w:p>
    <w:p w:rsidR="00B117A5" w:rsidRDefault="006F7D9E" w:rsidP="003E4C03">
      <w:pPr>
        <w:pStyle w:val="af1"/>
        <w:shd w:val="clear" w:color="auto" w:fill="FFFFFF"/>
        <w:ind w:firstLine="720"/>
        <w:jc w:val="both"/>
        <w:rPr>
          <w:noProof/>
          <w:color w:val="000000"/>
        </w:rPr>
      </w:pPr>
      <w:r>
        <w:rPr>
          <w:noProof/>
          <w:color w:val="000000"/>
        </w:rPr>
        <w:t>По данным СО ЕЭС от 02.12.2013 года в</w:t>
      </w:r>
      <w:r w:rsidR="00B117A5">
        <w:rPr>
          <w:noProof/>
          <w:color w:val="000000"/>
        </w:rPr>
        <w:t xml:space="preserve"> Московском регионе в 2013 году электропотребление нарастающим итогом </w:t>
      </w:r>
      <w:r w:rsidR="00CA57DD">
        <w:rPr>
          <w:noProof/>
          <w:color w:val="000000"/>
        </w:rPr>
        <w:t>соответствовало таб.13.</w:t>
      </w:r>
      <w:r w:rsidR="00B117A5">
        <w:rPr>
          <w:noProof/>
          <w:color w:val="000000"/>
        </w:rPr>
        <w:br/>
      </w:r>
    </w:p>
    <w:tbl>
      <w:tblPr>
        <w:tblW w:w="7256" w:type="dxa"/>
        <w:tblInd w:w="108" w:type="dxa"/>
        <w:tblLook w:val="04A0"/>
      </w:tblPr>
      <w:tblGrid>
        <w:gridCol w:w="2620"/>
        <w:gridCol w:w="1460"/>
        <w:gridCol w:w="1540"/>
        <w:gridCol w:w="1636"/>
      </w:tblGrid>
      <w:tr w:rsidR="006F7D9E" w:rsidRPr="006F7D9E" w:rsidTr="006F7D9E">
        <w:trPr>
          <w:trHeight w:val="300"/>
        </w:trPr>
        <w:tc>
          <w:tcPr>
            <w:tcW w:w="2620"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c>
          <w:tcPr>
            <w:tcW w:w="1460"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c>
          <w:tcPr>
            <w:tcW w:w="1636"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r w:rsidRPr="006F7D9E">
              <w:rPr>
                <w:rFonts w:ascii="Calibri" w:eastAsia="Times New Roman" w:hAnsi="Calibri" w:cs="Calibri"/>
                <w:color w:val="000000"/>
                <w:sz w:val="22"/>
                <w:szCs w:val="22"/>
              </w:rPr>
              <w:t>Таблица 13</w:t>
            </w:r>
          </w:p>
        </w:tc>
      </w:tr>
      <w:tr w:rsidR="006F7D9E" w:rsidRPr="006F7D9E" w:rsidTr="006F7D9E">
        <w:trPr>
          <w:trHeight w:val="300"/>
        </w:trPr>
        <w:tc>
          <w:tcPr>
            <w:tcW w:w="2620"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c>
          <w:tcPr>
            <w:tcW w:w="1460"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c>
          <w:tcPr>
            <w:tcW w:w="1540"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c>
          <w:tcPr>
            <w:tcW w:w="1636" w:type="dxa"/>
            <w:tcBorders>
              <w:top w:val="nil"/>
              <w:left w:val="nil"/>
              <w:bottom w:val="nil"/>
              <w:right w:val="nil"/>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p>
        </w:tc>
      </w:tr>
      <w:tr w:rsidR="006F7D9E" w:rsidRPr="006F7D9E" w:rsidTr="006F7D9E">
        <w:trPr>
          <w:trHeight w:val="300"/>
        </w:trPr>
        <w:tc>
          <w:tcPr>
            <w:tcW w:w="26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Показатель</w:t>
            </w:r>
          </w:p>
        </w:tc>
        <w:tc>
          <w:tcPr>
            <w:tcW w:w="4636" w:type="dxa"/>
            <w:gridSpan w:val="3"/>
            <w:tcBorders>
              <w:top w:val="single" w:sz="4" w:space="0" w:color="auto"/>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2013 год</w:t>
            </w:r>
          </w:p>
        </w:tc>
      </w:tr>
      <w:tr w:rsidR="006F7D9E" w:rsidRPr="006F7D9E" w:rsidTr="006F7D9E">
        <w:trPr>
          <w:trHeight w:val="300"/>
        </w:trPr>
        <w:tc>
          <w:tcPr>
            <w:tcW w:w="2620" w:type="dxa"/>
            <w:vMerge/>
            <w:tcBorders>
              <w:top w:val="single" w:sz="4" w:space="0" w:color="auto"/>
              <w:left w:val="single" w:sz="4" w:space="0" w:color="auto"/>
              <w:bottom w:val="single" w:sz="4" w:space="0" w:color="auto"/>
              <w:right w:val="single" w:sz="4" w:space="0" w:color="auto"/>
            </w:tcBorders>
            <w:vAlign w:val="center"/>
            <w:hideMark/>
          </w:tcPr>
          <w:p w:rsidR="006F7D9E" w:rsidRPr="006F7D9E" w:rsidRDefault="006F7D9E" w:rsidP="006F7D9E">
            <w:pPr>
              <w:rPr>
                <w:rFonts w:ascii="Calibri" w:eastAsia="Times New Roman" w:hAnsi="Calibri" w:cs="Calibri"/>
                <w:color w:val="000000"/>
                <w:sz w:val="22"/>
                <w:szCs w:val="22"/>
              </w:rPr>
            </w:pPr>
          </w:p>
        </w:tc>
        <w:tc>
          <w:tcPr>
            <w:tcW w:w="1460"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9 месяцев</w:t>
            </w:r>
          </w:p>
        </w:tc>
        <w:tc>
          <w:tcPr>
            <w:tcW w:w="1540"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10 месяцев</w:t>
            </w:r>
          </w:p>
        </w:tc>
        <w:tc>
          <w:tcPr>
            <w:tcW w:w="1636"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11 месяцев</w:t>
            </w:r>
          </w:p>
        </w:tc>
      </w:tr>
      <w:tr w:rsidR="006F7D9E" w:rsidRPr="006F7D9E" w:rsidTr="006F7D9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r w:rsidRPr="006F7D9E">
              <w:rPr>
                <w:rFonts w:ascii="Calibri" w:eastAsia="Times New Roman" w:hAnsi="Calibri" w:cs="Calibri"/>
                <w:color w:val="000000"/>
                <w:sz w:val="22"/>
                <w:szCs w:val="22"/>
              </w:rPr>
              <w:t>Потребление,млн.кВтч</w:t>
            </w:r>
          </w:p>
        </w:tc>
        <w:tc>
          <w:tcPr>
            <w:tcW w:w="1460"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73925,1</w:t>
            </w:r>
          </w:p>
        </w:tc>
        <w:tc>
          <w:tcPr>
            <w:tcW w:w="1540"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82943,5</w:t>
            </w:r>
          </w:p>
        </w:tc>
        <w:tc>
          <w:tcPr>
            <w:tcW w:w="1636"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91970,8</w:t>
            </w:r>
          </w:p>
        </w:tc>
      </w:tr>
      <w:tr w:rsidR="006F7D9E" w:rsidRPr="006F7D9E" w:rsidTr="006F7D9E">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6F7D9E" w:rsidRPr="006F7D9E" w:rsidRDefault="006F7D9E" w:rsidP="006F7D9E">
            <w:pPr>
              <w:rPr>
                <w:rFonts w:ascii="Calibri" w:eastAsia="Times New Roman" w:hAnsi="Calibri" w:cs="Calibri"/>
                <w:color w:val="000000"/>
                <w:sz w:val="22"/>
                <w:szCs w:val="22"/>
              </w:rPr>
            </w:pPr>
            <w:r w:rsidRPr="006F7D9E">
              <w:rPr>
                <w:rFonts w:ascii="Calibri" w:eastAsia="Times New Roman" w:hAnsi="Calibri" w:cs="Calibri"/>
                <w:color w:val="000000"/>
                <w:sz w:val="22"/>
                <w:szCs w:val="22"/>
              </w:rPr>
              <w:t>Отклонение от 2012 г.,%</w:t>
            </w:r>
          </w:p>
        </w:tc>
        <w:tc>
          <w:tcPr>
            <w:tcW w:w="1460"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2,0</w:t>
            </w:r>
          </w:p>
        </w:tc>
        <w:tc>
          <w:tcPr>
            <w:tcW w:w="1540"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2,1</w:t>
            </w:r>
          </w:p>
        </w:tc>
        <w:tc>
          <w:tcPr>
            <w:tcW w:w="1636" w:type="dxa"/>
            <w:tcBorders>
              <w:top w:val="nil"/>
              <w:left w:val="nil"/>
              <w:bottom w:val="single" w:sz="4" w:space="0" w:color="auto"/>
              <w:right w:val="single" w:sz="4" w:space="0" w:color="auto"/>
            </w:tcBorders>
            <w:shd w:val="clear" w:color="auto" w:fill="auto"/>
            <w:noWrap/>
            <w:vAlign w:val="bottom"/>
            <w:hideMark/>
          </w:tcPr>
          <w:p w:rsidR="006F7D9E" w:rsidRPr="006F7D9E" w:rsidRDefault="006F7D9E" w:rsidP="006F7D9E">
            <w:pPr>
              <w:jc w:val="center"/>
              <w:rPr>
                <w:rFonts w:ascii="Calibri" w:eastAsia="Times New Roman" w:hAnsi="Calibri" w:cs="Calibri"/>
                <w:color w:val="000000"/>
                <w:sz w:val="22"/>
                <w:szCs w:val="22"/>
              </w:rPr>
            </w:pPr>
            <w:r w:rsidRPr="006F7D9E">
              <w:rPr>
                <w:rFonts w:ascii="Calibri" w:eastAsia="Times New Roman" w:hAnsi="Calibri" w:cs="Calibri"/>
                <w:color w:val="000000"/>
                <w:sz w:val="22"/>
                <w:szCs w:val="22"/>
              </w:rPr>
              <w:t>1,8</w:t>
            </w:r>
          </w:p>
        </w:tc>
      </w:tr>
    </w:tbl>
    <w:p w:rsidR="00E455B3" w:rsidRDefault="00050468" w:rsidP="002A7564">
      <w:pPr>
        <w:pStyle w:val="af1"/>
        <w:shd w:val="clear" w:color="auto" w:fill="FFFFFF"/>
        <w:ind w:firstLine="720"/>
        <w:rPr>
          <w:noProof/>
          <w:color w:val="000000"/>
        </w:rPr>
      </w:pPr>
      <w:r>
        <w:rPr>
          <w:noProof/>
          <w:color w:val="000000"/>
        </w:rPr>
        <w:t>Линейная э</w:t>
      </w:r>
      <w:r w:rsidR="00CA57DD">
        <w:rPr>
          <w:noProof/>
          <w:color w:val="000000"/>
        </w:rPr>
        <w:t>кстраполяция данных из таб.13 на весь 2013 год</w:t>
      </w:r>
      <w:r w:rsidR="002A14DC">
        <w:rPr>
          <w:noProof/>
          <w:color w:val="000000"/>
        </w:rPr>
        <w:t xml:space="preserve"> дает отклонение от 2012 года в диапазоне 1,5%-1,9% или в среднем 1,7%.</w:t>
      </w:r>
      <w:r w:rsidR="007B62DB">
        <w:rPr>
          <w:noProof/>
          <w:color w:val="000000"/>
        </w:rPr>
        <w:t xml:space="preserve"> Тогда при Кэлмр=0,</w:t>
      </w:r>
      <w:r w:rsidR="00DD74F7">
        <w:rPr>
          <w:noProof/>
          <w:color w:val="000000"/>
        </w:rPr>
        <w:t>51</w:t>
      </w:r>
      <w:r w:rsidR="007B62DB">
        <w:rPr>
          <w:noProof/>
          <w:color w:val="000000"/>
        </w:rPr>
        <w:t xml:space="preserve"> темп роста ВРПмр будет равняться 1,7</w:t>
      </w:r>
      <w:r w:rsidR="0071475F">
        <w:rPr>
          <w:noProof/>
          <w:color w:val="000000"/>
        </w:rPr>
        <w:t>%</w:t>
      </w:r>
      <w:r w:rsidR="007B62DB">
        <w:rPr>
          <w:noProof/>
          <w:color w:val="000000"/>
        </w:rPr>
        <w:t>/0,</w:t>
      </w:r>
      <w:r w:rsidR="00DD74F7">
        <w:rPr>
          <w:noProof/>
          <w:color w:val="000000"/>
        </w:rPr>
        <w:t>51</w:t>
      </w:r>
      <w:r w:rsidR="007B62DB">
        <w:rPr>
          <w:noProof/>
          <w:color w:val="000000"/>
        </w:rPr>
        <w:t>=</w:t>
      </w:r>
      <w:r w:rsidR="00DD74F7" w:rsidRPr="00DD74F7">
        <w:rPr>
          <w:b/>
          <w:noProof/>
          <w:color w:val="000000"/>
        </w:rPr>
        <w:t>3,3</w:t>
      </w:r>
      <w:r w:rsidR="007B62DB" w:rsidRPr="00DD74F7">
        <w:rPr>
          <w:b/>
          <w:noProof/>
          <w:color w:val="000000"/>
        </w:rPr>
        <w:t>%.</w:t>
      </w:r>
    </w:p>
    <w:p w:rsidR="003E4C03" w:rsidRDefault="00E455B3" w:rsidP="003E4C03">
      <w:pPr>
        <w:pStyle w:val="af1"/>
        <w:shd w:val="clear" w:color="auto" w:fill="FFFFFF"/>
        <w:spacing w:before="0" w:beforeAutospacing="0" w:after="0" w:afterAutospacing="0"/>
        <w:ind w:firstLine="720"/>
        <w:jc w:val="both"/>
        <w:rPr>
          <w:b/>
          <w:noProof/>
          <w:color w:val="000000"/>
        </w:rPr>
      </w:pPr>
      <w:r>
        <w:rPr>
          <w:noProof/>
          <w:color w:val="000000"/>
        </w:rPr>
        <w:t>По данным Министерства экономики Московской области, октябрь 2013 года (</w:t>
      </w:r>
      <w:r>
        <w:rPr>
          <w:noProof/>
          <w:color w:val="000000"/>
          <w:lang w:val="en-US"/>
        </w:rPr>
        <w:t>me</w:t>
      </w:r>
      <w:r w:rsidRPr="00E455B3">
        <w:rPr>
          <w:noProof/>
          <w:color w:val="000000"/>
        </w:rPr>
        <w:t>.</w:t>
      </w:r>
      <w:r>
        <w:rPr>
          <w:noProof/>
          <w:color w:val="000000"/>
          <w:lang w:val="en-US"/>
        </w:rPr>
        <w:t>mosreg</w:t>
      </w:r>
      <w:r w:rsidRPr="00E455B3">
        <w:rPr>
          <w:noProof/>
          <w:color w:val="000000"/>
        </w:rPr>
        <w:t>.</w:t>
      </w:r>
      <w:r>
        <w:rPr>
          <w:noProof/>
          <w:color w:val="000000"/>
          <w:lang w:val="en-US"/>
        </w:rPr>
        <w:t>ru</w:t>
      </w:r>
      <w:r w:rsidRPr="00E455B3">
        <w:rPr>
          <w:noProof/>
          <w:color w:val="000000"/>
        </w:rPr>
        <w:t>)</w:t>
      </w:r>
      <w:r>
        <w:rPr>
          <w:noProof/>
          <w:color w:val="000000"/>
        </w:rPr>
        <w:t xml:space="preserve"> прогнозируется минимальный темп роста </w:t>
      </w:r>
      <w:r w:rsidR="003A365B">
        <w:rPr>
          <w:rFonts w:ascii="Calibri" w:hAnsi="Calibri" w:cs="Calibri"/>
          <w:noProof/>
          <w:color w:val="000000"/>
        </w:rPr>
        <w:t>Δ</w:t>
      </w:r>
      <w:r>
        <w:rPr>
          <w:noProof/>
          <w:color w:val="000000"/>
        </w:rPr>
        <w:t>ВРП</w:t>
      </w:r>
      <w:r w:rsidR="003A365B">
        <w:rPr>
          <w:noProof/>
          <w:color w:val="000000"/>
        </w:rPr>
        <w:t>мо/ВРПмо</w:t>
      </w:r>
      <w:r w:rsidR="001933F8">
        <w:rPr>
          <w:noProof/>
          <w:color w:val="000000"/>
        </w:rPr>
        <w:t>=6,8%. Тогда из уравнения (4)</w:t>
      </w:r>
      <w:r w:rsidR="005E60C2">
        <w:rPr>
          <w:noProof/>
          <w:color w:val="000000"/>
        </w:rPr>
        <w:t xml:space="preserve">, принимая </w:t>
      </w:r>
      <w:r w:rsidR="006340DE">
        <w:rPr>
          <w:noProof/>
          <w:color w:val="000000"/>
        </w:rPr>
        <w:t>, что α=ВРПмо/ВРПмр=0,</w:t>
      </w:r>
      <w:r w:rsidR="00DD74F7">
        <w:rPr>
          <w:noProof/>
          <w:color w:val="000000"/>
        </w:rPr>
        <w:t>197</w:t>
      </w:r>
      <w:r w:rsidR="006340DE">
        <w:rPr>
          <w:noProof/>
          <w:color w:val="000000"/>
        </w:rPr>
        <w:t xml:space="preserve"> </w:t>
      </w:r>
      <w:r w:rsidR="005E60C2">
        <w:rPr>
          <w:noProof/>
          <w:color w:val="000000"/>
        </w:rPr>
        <w:t>(см.рис.51),</w:t>
      </w:r>
      <w:r w:rsidR="001933F8">
        <w:rPr>
          <w:noProof/>
          <w:color w:val="000000"/>
        </w:rPr>
        <w:t xml:space="preserve"> можно </w:t>
      </w:r>
      <w:r w:rsidR="005E60C2">
        <w:rPr>
          <w:noProof/>
          <w:color w:val="000000"/>
        </w:rPr>
        <w:t xml:space="preserve">определить </w:t>
      </w:r>
      <w:r w:rsidR="001933F8">
        <w:rPr>
          <w:noProof/>
          <w:color w:val="000000"/>
        </w:rPr>
        <w:t>темп роста ВРПм в Москве в 2013 году</w:t>
      </w:r>
      <w:r w:rsidR="003A365B">
        <w:rPr>
          <w:noProof/>
          <w:color w:val="000000"/>
        </w:rPr>
        <w:t xml:space="preserve">. Он оказался равным </w:t>
      </w:r>
      <w:r w:rsidR="003A365B">
        <w:rPr>
          <w:rFonts w:ascii="Calibri" w:hAnsi="Calibri" w:cs="Calibri"/>
          <w:noProof/>
          <w:color w:val="000000"/>
        </w:rPr>
        <w:t>Δ</w:t>
      </w:r>
      <w:r w:rsidR="003A365B">
        <w:rPr>
          <w:noProof/>
          <w:color w:val="000000"/>
        </w:rPr>
        <w:t>ВРПм/ВРПм=</w:t>
      </w:r>
      <w:r w:rsidR="001D4C71">
        <w:rPr>
          <w:b/>
          <w:noProof/>
          <w:color w:val="000000"/>
        </w:rPr>
        <w:t>2,4</w:t>
      </w:r>
      <w:r w:rsidR="003A365B" w:rsidRPr="006340DE">
        <w:rPr>
          <w:b/>
          <w:noProof/>
          <w:color w:val="000000"/>
        </w:rPr>
        <w:t>%.</w:t>
      </w:r>
    </w:p>
    <w:p w:rsidR="00F81682" w:rsidRPr="003E4C03" w:rsidRDefault="003A02A0" w:rsidP="003E4C03">
      <w:pPr>
        <w:pStyle w:val="af1"/>
        <w:shd w:val="clear" w:color="auto" w:fill="FFFFFF"/>
        <w:spacing w:before="0" w:beforeAutospacing="0" w:after="0" w:afterAutospacing="0"/>
        <w:ind w:firstLine="720"/>
        <w:jc w:val="both"/>
        <w:rPr>
          <w:b/>
          <w:noProof/>
          <w:color w:val="000000"/>
        </w:rPr>
      </w:pPr>
      <w:r>
        <w:rPr>
          <w:noProof/>
          <w:color w:val="000000"/>
        </w:rPr>
        <w:t xml:space="preserve">Интересно сопоставить значения коэффициентов эластичности электропотребления к </w:t>
      </w:r>
      <w:r w:rsidR="007508EE">
        <w:rPr>
          <w:noProof/>
          <w:color w:val="000000"/>
        </w:rPr>
        <w:t xml:space="preserve">Эмр к </w:t>
      </w:r>
      <w:r>
        <w:rPr>
          <w:noProof/>
          <w:color w:val="000000"/>
        </w:rPr>
        <w:t>ВРП</w:t>
      </w:r>
      <w:r w:rsidR="007508EE">
        <w:rPr>
          <w:noProof/>
          <w:color w:val="000000"/>
        </w:rPr>
        <w:t>мр</w:t>
      </w:r>
      <w:r>
        <w:rPr>
          <w:noProof/>
          <w:color w:val="000000"/>
        </w:rPr>
        <w:t xml:space="preserve"> </w:t>
      </w:r>
      <w:r w:rsidR="00E27369">
        <w:rPr>
          <w:noProof/>
          <w:color w:val="000000"/>
        </w:rPr>
        <w:t xml:space="preserve">в </w:t>
      </w:r>
      <w:r>
        <w:rPr>
          <w:noProof/>
          <w:color w:val="000000"/>
        </w:rPr>
        <w:t>Московском регионе</w:t>
      </w:r>
      <w:r w:rsidR="0029149F">
        <w:rPr>
          <w:noProof/>
          <w:color w:val="000000"/>
        </w:rPr>
        <w:t xml:space="preserve"> Кэмр</w:t>
      </w:r>
      <w:r>
        <w:rPr>
          <w:noProof/>
          <w:color w:val="000000"/>
        </w:rPr>
        <w:t xml:space="preserve"> и в России</w:t>
      </w:r>
      <w:r w:rsidR="0029149F">
        <w:rPr>
          <w:noProof/>
          <w:color w:val="000000"/>
        </w:rPr>
        <w:t xml:space="preserve"> в</w:t>
      </w:r>
      <w:r>
        <w:rPr>
          <w:noProof/>
          <w:color w:val="000000"/>
        </w:rPr>
        <w:t xml:space="preserve"> целом</w:t>
      </w:r>
      <w:r w:rsidR="0029149F">
        <w:rPr>
          <w:noProof/>
          <w:color w:val="000000"/>
        </w:rPr>
        <w:t xml:space="preserve"> Кэ</w:t>
      </w:r>
      <w:r w:rsidR="00E27369">
        <w:rPr>
          <w:noProof/>
          <w:color w:val="000000"/>
        </w:rPr>
        <w:t xml:space="preserve"> в кризисном 2009 году</w:t>
      </w:r>
      <w:r w:rsidR="00F03B27">
        <w:rPr>
          <w:noProof/>
          <w:color w:val="000000"/>
        </w:rPr>
        <w:t xml:space="preserve">. </w:t>
      </w:r>
      <w:r w:rsidR="00F81682">
        <w:rPr>
          <w:noProof/>
          <w:color w:val="000000"/>
        </w:rPr>
        <w:t>Оказалось, что Кэмр=0,16,а Кэ=0,57</w:t>
      </w:r>
      <w:r w:rsidR="0029149F">
        <w:rPr>
          <w:noProof/>
          <w:color w:val="000000"/>
        </w:rPr>
        <w:t>.</w:t>
      </w:r>
      <w:r w:rsidR="00F81682">
        <w:rPr>
          <w:noProof/>
          <w:color w:val="000000"/>
        </w:rPr>
        <w:t xml:space="preserve"> </w:t>
      </w:r>
      <w:r w:rsidR="0029149F">
        <w:rPr>
          <w:noProof/>
          <w:color w:val="000000"/>
        </w:rPr>
        <w:t>П</w:t>
      </w:r>
      <w:r w:rsidR="00F81682">
        <w:rPr>
          <w:noProof/>
          <w:color w:val="000000"/>
        </w:rPr>
        <w:t xml:space="preserve">ри </w:t>
      </w:r>
      <w:r w:rsidR="0029149F">
        <w:rPr>
          <w:noProof/>
          <w:color w:val="000000"/>
        </w:rPr>
        <w:t>этом доля</w:t>
      </w:r>
      <w:r w:rsidR="00F81682">
        <w:rPr>
          <w:noProof/>
          <w:color w:val="000000"/>
        </w:rPr>
        <w:t xml:space="preserve"> электропотребления промышленностью в общем электропотреблении</w:t>
      </w:r>
      <w:r w:rsidR="0029149F">
        <w:rPr>
          <w:noProof/>
          <w:color w:val="000000"/>
        </w:rPr>
        <w:t xml:space="preserve"> в Московском регионе</w:t>
      </w:r>
      <w:r w:rsidR="008027FB">
        <w:rPr>
          <w:noProof/>
          <w:color w:val="000000"/>
        </w:rPr>
        <w:t xml:space="preserve"> в 201</w:t>
      </w:r>
      <w:r w:rsidR="00B81084">
        <w:rPr>
          <w:noProof/>
          <w:color w:val="000000"/>
        </w:rPr>
        <w:t>2</w:t>
      </w:r>
      <w:r w:rsidR="008027FB">
        <w:rPr>
          <w:noProof/>
          <w:color w:val="000000"/>
        </w:rPr>
        <w:t>г.</w:t>
      </w:r>
      <w:r w:rsidR="0029149F">
        <w:rPr>
          <w:noProof/>
          <w:color w:val="000000"/>
        </w:rPr>
        <w:t xml:space="preserve"> составила </w:t>
      </w:r>
      <w:r w:rsidR="00F81682">
        <w:rPr>
          <w:noProof/>
          <w:color w:val="000000"/>
        </w:rPr>
        <w:t xml:space="preserve"> 34,0%, а в России в целом</w:t>
      </w:r>
      <w:r w:rsidR="0029149F">
        <w:rPr>
          <w:noProof/>
          <w:color w:val="000000"/>
        </w:rPr>
        <w:t xml:space="preserve"> 54%</w:t>
      </w:r>
      <w:r w:rsidR="00CE255C">
        <w:rPr>
          <w:noProof/>
          <w:color w:val="000000"/>
        </w:rPr>
        <w:t xml:space="preserve"> (по данным Росстата, 201</w:t>
      </w:r>
      <w:r w:rsidR="00B81084">
        <w:rPr>
          <w:noProof/>
          <w:color w:val="000000"/>
        </w:rPr>
        <w:t>2</w:t>
      </w:r>
      <w:r w:rsidR="00CE255C">
        <w:rPr>
          <w:noProof/>
          <w:color w:val="000000"/>
        </w:rPr>
        <w:t>г.)</w:t>
      </w:r>
      <w:r w:rsidR="0029149F">
        <w:rPr>
          <w:noProof/>
          <w:color w:val="000000"/>
        </w:rPr>
        <w:t>.</w:t>
      </w:r>
      <w:r w:rsidR="00330656">
        <w:rPr>
          <w:noProof/>
          <w:color w:val="000000"/>
        </w:rPr>
        <w:t xml:space="preserve"> </w:t>
      </w:r>
    </w:p>
    <w:p w:rsidR="000423B6" w:rsidRDefault="00501E39" w:rsidP="003E4C03">
      <w:pPr>
        <w:pStyle w:val="af1"/>
        <w:shd w:val="clear" w:color="auto" w:fill="FFFFFF"/>
        <w:spacing w:before="0" w:beforeAutospacing="0" w:after="0" w:afterAutospacing="0"/>
        <w:ind w:firstLine="720"/>
        <w:rPr>
          <w:color w:val="000000"/>
        </w:rPr>
      </w:pPr>
      <w:r>
        <w:rPr>
          <w:noProof/>
          <w:color w:val="000000"/>
        </w:rPr>
        <w:t xml:space="preserve"> </w:t>
      </w:r>
      <w:r w:rsidR="004405EA">
        <w:rPr>
          <w:color w:val="000000"/>
        </w:rPr>
        <w:t xml:space="preserve">Отсюда можно сделать  </w:t>
      </w:r>
      <w:r w:rsidR="00BA3F88">
        <w:rPr>
          <w:color w:val="000000"/>
        </w:rPr>
        <w:t xml:space="preserve">вывод, что </w:t>
      </w:r>
      <w:r w:rsidR="004405EA" w:rsidRPr="00A81F9F">
        <w:rPr>
          <w:color w:val="000000"/>
        </w:rPr>
        <w:t xml:space="preserve"> в кризисный </w:t>
      </w:r>
      <w:r w:rsidR="00BA3F88">
        <w:rPr>
          <w:color w:val="000000"/>
        </w:rPr>
        <w:t>год</w:t>
      </w:r>
      <w:r w:rsidR="00817A4D">
        <w:rPr>
          <w:color w:val="000000"/>
        </w:rPr>
        <w:t>,</w:t>
      </w:r>
      <w:r w:rsidR="004405EA" w:rsidRPr="00A81F9F">
        <w:rPr>
          <w:color w:val="000000"/>
        </w:rPr>
        <w:t xml:space="preserve">  на 1% падения ВРП </w:t>
      </w:r>
      <w:r w:rsidR="00BA3F88">
        <w:rPr>
          <w:color w:val="000000"/>
        </w:rPr>
        <w:t xml:space="preserve">(ВВП) </w:t>
      </w:r>
      <w:r w:rsidR="004405EA" w:rsidRPr="00A81F9F">
        <w:rPr>
          <w:color w:val="000000"/>
        </w:rPr>
        <w:t xml:space="preserve">приходится </w:t>
      </w:r>
      <w:r w:rsidR="003627DB">
        <w:rPr>
          <w:color w:val="000000"/>
        </w:rPr>
        <w:t xml:space="preserve">тем </w:t>
      </w:r>
      <w:r w:rsidR="004405EA" w:rsidRPr="00A81F9F">
        <w:rPr>
          <w:color w:val="000000"/>
        </w:rPr>
        <w:t>бол</w:t>
      </w:r>
      <w:r w:rsidR="00817A4D">
        <w:rPr>
          <w:color w:val="000000"/>
        </w:rPr>
        <w:t>ьшее снижение объема электропотребления,</w:t>
      </w:r>
      <w:r w:rsidR="00817A4D" w:rsidRPr="00817A4D">
        <w:rPr>
          <w:color w:val="000000"/>
        </w:rPr>
        <w:t xml:space="preserve"> </w:t>
      </w:r>
      <w:r w:rsidR="00817A4D" w:rsidRPr="00A81F9F">
        <w:rPr>
          <w:color w:val="000000"/>
        </w:rPr>
        <w:t>чем выше доля промышленности в суммарном электропотреблении</w:t>
      </w:r>
      <w:r w:rsidR="00E167EF">
        <w:rPr>
          <w:color w:val="000000"/>
        </w:rPr>
        <w:t xml:space="preserve"> в регионе или в стране в целом. </w:t>
      </w:r>
    </w:p>
    <w:p w:rsidR="004405EA" w:rsidRDefault="000423B6" w:rsidP="003E4C03">
      <w:pPr>
        <w:pStyle w:val="af1"/>
        <w:shd w:val="clear" w:color="auto" w:fill="FFFFFF"/>
        <w:spacing w:before="0" w:beforeAutospacing="0" w:after="0" w:afterAutospacing="0"/>
        <w:ind w:firstLine="720"/>
        <w:rPr>
          <w:color w:val="000000"/>
        </w:rPr>
      </w:pPr>
      <w:r>
        <w:rPr>
          <w:color w:val="000000"/>
        </w:rPr>
        <w:t xml:space="preserve">К сожалению, в приведенном анализе было сложно использовать данные по </w:t>
      </w:r>
      <w:r w:rsidR="002D36CA">
        <w:rPr>
          <w:color w:val="000000"/>
        </w:rPr>
        <w:t xml:space="preserve">Кэм и Кэмо в 2009 году, так как </w:t>
      </w:r>
      <w:r w:rsidR="00A32FB4">
        <w:rPr>
          <w:color w:val="000000"/>
        </w:rPr>
        <w:t>их значения</w:t>
      </w:r>
      <w:r w:rsidR="002D36CA">
        <w:rPr>
          <w:color w:val="000000"/>
        </w:rPr>
        <w:t xml:space="preserve"> существенно отличались в зависимости </w:t>
      </w:r>
      <w:r w:rsidR="00A32FB4">
        <w:rPr>
          <w:color w:val="000000"/>
        </w:rPr>
        <w:t>от используемой баз</w:t>
      </w:r>
      <w:r w:rsidR="003E4C03">
        <w:rPr>
          <w:color w:val="000000"/>
        </w:rPr>
        <w:t>ы - Росстата или Мосэнергосбыта.</w:t>
      </w:r>
    </w:p>
    <w:p w:rsidR="003E4C03" w:rsidRPr="00A81F9F" w:rsidRDefault="003E4C03" w:rsidP="003E4C03">
      <w:pPr>
        <w:pStyle w:val="af1"/>
        <w:shd w:val="clear" w:color="auto" w:fill="FFFFFF"/>
        <w:spacing w:before="0" w:beforeAutospacing="0" w:after="0" w:afterAutospacing="0"/>
        <w:ind w:firstLine="720"/>
        <w:rPr>
          <w:noProof/>
          <w:color w:val="000000"/>
        </w:rPr>
      </w:pPr>
    </w:p>
    <w:p w:rsidR="00662F24" w:rsidRPr="0025260C" w:rsidRDefault="003F5C32" w:rsidP="003E4C03">
      <w:pPr>
        <w:pStyle w:val="af1"/>
        <w:shd w:val="clear" w:color="auto" w:fill="FFFFFF"/>
        <w:spacing w:before="0" w:beforeAutospacing="0" w:after="0" w:afterAutospacing="0"/>
        <w:ind w:firstLine="720"/>
        <w:jc w:val="both"/>
        <w:rPr>
          <w:b/>
          <w:color w:val="000000"/>
          <w:sz w:val="32"/>
          <w:szCs w:val="32"/>
        </w:rPr>
      </w:pPr>
      <w:r w:rsidRPr="00662F24">
        <w:rPr>
          <w:b/>
          <w:sz w:val="28"/>
          <w:szCs w:val="28"/>
        </w:rPr>
        <w:t xml:space="preserve">9.2. </w:t>
      </w:r>
      <w:r w:rsidR="004A3EC1">
        <w:rPr>
          <w:b/>
          <w:sz w:val="32"/>
          <w:szCs w:val="32"/>
          <w:shd w:val="clear" w:color="auto" w:fill="FFFFFF"/>
        </w:rPr>
        <w:t>Прогноз роста ВРП в Москве, Московской области и суммарно в Московском регионе</w:t>
      </w:r>
      <w:r w:rsidR="0025260C" w:rsidRPr="0025260C">
        <w:rPr>
          <w:b/>
          <w:sz w:val="32"/>
          <w:szCs w:val="32"/>
          <w:shd w:val="clear" w:color="auto" w:fill="FFFFFF"/>
        </w:rPr>
        <w:t xml:space="preserve">. </w:t>
      </w:r>
    </w:p>
    <w:p w:rsidR="00A0117C" w:rsidRDefault="00A0117C" w:rsidP="00662F24">
      <w:pPr>
        <w:pStyle w:val="af1"/>
        <w:shd w:val="clear" w:color="auto" w:fill="FFFFFF"/>
        <w:spacing w:before="0" w:beforeAutospacing="0" w:after="0" w:afterAutospacing="0"/>
        <w:ind w:firstLine="720"/>
        <w:rPr>
          <w:color w:val="000000"/>
        </w:rPr>
      </w:pPr>
    </w:p>
    <w:p w:rsidR="00662F24" w:rsidRDefault="00662F24" w:rsidP="00430177">
      <w:pPr>
        <w:pStyle w:val="af1"/>
        <w:shd w:val="clear" w:color="auto" w:fill="FFFFFF"/>
        <w:spacing w:before="0" w:beforeAutospacing="0" w:after="0" w:afterAutospacing="0"/>
        <w:ind w:firstLine="720"/>
        <w:jc w:val="both"/>
        <w:rPr>
          <w:color w:val="000000"/>
        </w:rPr>
      </w:pPr>
      <w:r>
        <w:rPr>
          <w:color w:val="000000"/>
        </w:rPr>
        <w:t>Прогноз</w:t>
      </w:r>
      <w:r w:rsidRPr="00A81F9F">
        <w:rPr>
          <w:color w:val="000000"/>
        </w:rPr>
        <w:t xml:space="preserve"> </w:t>
      </w:r>
      <w:r>
        <w:rPr>
          <w:color w:val="000000"/>
        </w:rPr>
        <w:t xml:space="preserve">динамики ВРП </w:t>
      </w:r>
      <w:r w:rsidRPr="00A81F9F">
        <w:rPr>
          <w:color w:val="000000"/>
        </w:rPr>
        <w:t>в</w:t>
      </w:r>
      <w:r>
        <w:rPr>
          <w:color w:val="000000"/>
        </w:rPr>
        <w:t xml:space="preserve"> Москве, Московской области и </w:t>
      </w:r>
      <w:r w:rsidRPr="00A81F9F">
        <w:rPr>
          <w:color w:val="000000"/>
        </w:rPr>
        <w:t>Московском регионе</w:t>
      </w:r>
      <w:r>
        <w:rPr>
          <w:color w:val="000000"/>
        </w:rPr>
        <w:t xml:space="preserve"> </w:t>
      </w:r>
      <w:r w:rsidRPr="00A81F9F">
        <w:rPr>
          <w:color w:val="000000"/>
        </w:rPr>
        <w:t>на период до 2020 – 2022гг</w:t>
      </w:r>
      <w:r>
        <w:rPr>
          <w:color w:val="000000"/>
        </w:rPr>
        <w:t xml:space="preserve">., можно провести с использованием той же самой методологии, которая была разработана при выполнении прогноза темпа роста ВРП во всей стране (см. Раздел </w:t>
      </w:r>
      <w:r w:rsidR="004A3EC1">
        <w:rPr>
          <w:color w:val="000000"/>
        </w:rPr>
        <w:t>2.4</w:t>
      </w:r>
      <w:r>
        <w:rPr>
          <w:color w:val="000000"/>
        </w:rPr>
        <w:t xml:space="preserve">). </w:t>
      </w:r>
      <w:r w:rsidR="00DB65D9">
        <w:rPr>
          <w:color w:val="000000"/>
        </w:rPr>
        <w:t xml:space="preserve">Для этого необходимо определить </w:t>
      </w:r>
      <w:r w:rsidR="00DB65D9">
        <w:rPr>
          <w:shd w:val="clear" w:color="auto" w:fill="FFFFFF"/>
        </w:rPr>
        <w:t>в</w:t>
      </w:r>
      <w:r w:rsidR="004A3EC1" w:rsidRPr="004A3EC1">
        <w:rPr>
          <w:shd w:val="clear" w:color="auto" w:fill="FFFFFF"/>
        </w:rPr>
        <w:t>лияние темпа  изменения инвестиций в основной капи</w:t>
      </w:r>
      <w:r w:rsidR="00DB65D9">
        <w:rPr>
          <w:shd w:val="clear" w:color="auto" w:fill="FFFFFF"/>
        </w:rPr>
        <w:t>тал (ИОК)  на темп изменения ВРП в этих регионах</w:t>
      </w:r>
      <w:r w:rsidR="005D4458">
        <w:rPr>
          <w:shd w:val="clear" w:color="auto" w:fill="FFFFFF"/>
        </w:rPr>
        <w:t xml:space="preserve"> или</w:t>
      </w:r>
      <w:r w:rsidR="00A0117C">
        <w:rPr>
          <w:shd w:val="clear" w:color="auto" w:fill="FFFFFF"/>
        </w:rPr>
        <w:t>,</w:t>
      </w:r>
      <w:r w:rsidR="005D4458">
        <w:rPr>
          <w:shd w:val="clear" w:color="auto" w:fill="FFFFFF"/>
        </w:rPr>
        <w:t xml:space="preserve"> что тоже самое</w:t>
      </w:r>
      <w:r w:rsidR="00A0117C">
        <w:rPr>
          <w:shd w:val="clear" w:color="auto" w:fill="FFFFFF"/>
        </w:rPr>
        <w:t>,</w:t>
      </w:r>
      <w:r w:rsidR="004A3EC1">
        <w:rPr>
          <w:color w:val="000000"/>
        </w:rPr>
        <w:t xml:space="preserve"> </w:t>
      </w:r>
      <w:r>
        <w:rPr>
          <w:color w:val="000000"/>
        </w:rPr>
        <w:t xml:space="preserve">необходимо определить среднегодовые </w:t>
      </w:r>
      <w:r w:rsidRPr="00A81F9F">
        <w:rPr>
          <w:color w:val="000000"/>
        </w:rPr>
        <w:t xml:space="preserve"> коэффициент</w:t>
      </w:r>
      <w:r>
        <w:rPr>
          <w:color w:val="000000"/>
        </w:rPr>
        <w:t>ы</w:t>
      </w:r>
      <w:r w:rsidRPr="00A81F9F">
        <w:rPr>
          <w:color w:val="000000"/>
        </w:rPr>
        <w:t xml:space="preserve"> эластичности </w:t>
      </w:r>
      <w:r w:rsidR="005D4458">
        <w:rPr>
          <w:color w:val="000000"/>
        </w:rPr>
        <w:t>ВРП к ИОК</w:t>
      </w:r>
      <w:r>
        <w:rPr>
          <w:color w:val="000000"/>
        </w:rPr>
        <w:t xml:space="preserve"> в этих регионах</w:t>
      </w:r>
      <w:r w:rsidR="005D4458">
        <w:rPr>
          <w:color w:val="000000"/>
        </w:rPr>
        <w:t xml:space="preserve"> в предыдущий период.</w:t>
      </w:r>
    </w:p>
    <w:p w:rsidR="00662F24" w:rsidRDefault="00662F24" w:rsidP="00662F24">
      <w:pPr>
        <w:pStyle w:val="af1"/>
        <w:shd w:val="clear" w:color="auto" w:fill="FFFFFF"/>
        <w:spacing w:before="0" w:beforeAutospacing="0" w:after="0" w:afterAutospacing="0"/>
        <w:ind w:firstLine="720"/>
        <w:rPr>
          <w:color w:val="000000"/>
        </w:rPr>
      </w:pPr>
      <w:r>
        <w:rPr>
          <w:color w:val="000000"/>
        </w:rPr>
        <w:t xml:space="preserve"> </w:t>
      </w:r>
    </w:p>
    <w:p w:rsidR="003E4C03" w:rsidRDefault="00225F24" w:rsidP="003E4C03">
      <w:pPr>
        <w:pStyle w:val="af1"/>
        <w:shd w:val="clear" w:color="auto" w:fill="FFFFFF"/>
        <w:spacing w:before="0" w:beforeAutospacing="0" w:after="0" w:afterAutospacing="0"/>
        <w:ind w:firstLine="720"/>
        <w:jc w:val="both"/>
        <w:rPr>
          <w:b/>
          <w:color w:val="000000"/>
        </w:rPr>
      </w:pPr>
      <w:r>
        <w:rPr>
          <w:b/>
          <w:color w:val="000000"/>
        </w:rPr>
        <w:t>9.2</w:t>
      </w:r>
      <w:r w:rsidR="00662F24" w:rsidRPr="00EE283D">
        <w:rPr>
          <w:b/>
          <w:color w:val="000000"/>
        </w:rPr>
        <w:t xml:space="preserve">.1. </w:t>
      </w:r>
      <w:r w:rsidR="00763212">
        <w:rPr>
          <w:b/>
          <w:color w:val="000000"/>
        </w:rPr>
        <w:t>Связь между темпами</w:t>
      </w:r>
      <w:r w:rsidR="002845A2">
        <w:rPr>
          <w:b/>
          <w:color w:val="000000"/>
        </w:rPr>
        <w:t xml:space="preserve"> изменения  ИОКм </w:t>
      </w:r>
      <w:r w:rsidR="00763212">
        <w:rPr>
          <w:b/>
          <w:color w:val="000000"/>
        </w:rPr>
        <w:t xml:space="preserve">и </w:t>
      </w:r>
      <w:r w:rsidR="002845A2">
        <w:rPr>
          <w:b/>
          <w:color w:val="000000"/>
        </w:rPr>
        <w:t xml:space="preserve">ВРПм </w:t>
      </w:r>
      <w:r w:rsidR="00662F24" w:rsidRPr="00EE283D">
        <w:rPr>
          <w:b/>
          <w:color w:val="000000"/>
        </w:rPr>
        <w:t>в Москве.</w:t>
      </w:r>
    </w:p>
    <w:p w:rsidR="003E4C03" w:rsidRDefault="003E4C03" w:rsidP="003E4C03">
      <w:pPr>
        <w:pStyle w:val="af1"/>
        <w:shd w:val="clear" w:color="auto" w:fill="FFFFFF"/>
        <w:spacing w:before="0" w:beforeAutospacing="0" w:after="0" w:afterAutospacing="0"/>
        <w:ind w:firstLine="720"/>
        <w:jc w:val="both"/>
        <w:rPr>
          <w:b/>
          <w:color w:val="000000"/>
        </w:rPr>
      </w:pPr>
    </w:p>
    <w:p w:rsidR="00430177" w:rsidRDefault="002845A2" w:rsidP="00430177">
      <w:pPr>
        <w:pStyle w:val="af1"/>
        <w:shd w:val="clear" w:color="auto" w:fill="FFFFFF"/>
        <w:spacing w:before="0" w:beforeAutospacing="0" w:after="0" w:afterAutospacing="0"/>
        <w:ind w:firstLine="720"/>
        <w:jc w:val="both"/>
        <w:rPr>
          <w:b/>
          <w:color w:val="000000"/>
        </w:rPr>
      </w:pPr>
      <w:r w:rsidRPr="00E97367">
        <w:rPr>
          <w:color w:val="000000"/>
        </w:rPr>
        <w:t>Ранее н</w:t>
      </w:r>
      <w:r w:rsidR="00443B14">
        <w:rPr>
          <w:color w:val="000000"/>
        </w:rPr>
        <w:t>а рис. 51</w:t>
      </w:r>
      <w:r w:rsidR="00662F24" w:rsidRPr="00E97367">
        <w:rPr>
          <w:color w:val="000000"/>
        </w:rPr>
        <w:t xml:space="preserve"> </w:t>
      </w:r>
      <w:r w:rsidR="00F83FB6" w:rsidRPr="00E97367">
        <w:rPr>
          <w:color w:val="000000"/>
        </w:rPr>
        <w:t xml:space="preserve">была </w:t>
      </w:r>
      <w:r w:rsidR="00662F24" w:rsidRPr="00E97367">
        <w:rPr>
          <w:color w:val="000000"/>
        </w:rPr>
        <w:t>показана динамика ИОКм</w:t>
      </w:r>
      <w:r w:rsidR="00797946">
        <w:rPr>
          <w:color w:val="000000"/>
        </w:rPr>
        <w:t xml:space="preserve"> и</w:t>
      </w:r>
      <w:r w:rsidR="00662F24" w:rsidRPr="00E97367">
        <w:rPr>
          <w:color w:val="000000"/>
        </w:rPr>
        <w:t xml:space="preserve"> ВРПм</w:t>
      </w:r>
      <w:r w:rsidR="00A95B65" w:rsidRPr="00E97367">
        <w:rPr>
          <w:color w:val="000000"/>
        </w:rPr>
        <w:t xml:space="preserve"> в </w:t>
      </w:r>
      <w:r w:rsidR="00797946">
        <w:rPr>
          <w:color w:val="000000"/>
        </w:rPr>
        <w:t xml:space="preserve">Москве </w:t>
      </w:r>
      <w:r w:rsidR="00A95B65" w:rsidRPr="00E97367">
        <w:rPr>
          <w:color w:val="000000"/>
        </w:rPr>
        <w:t>в период 1996-2012гг., в ценах 1996 года и отнесенные к 1996</w:t>
      </w:r>
      <w:r w:rsidR="00662F24" w:rsidRPr="00E97367">
        <w:rPr>
          <w:color w:val="000000"/>
        </w:rPr>
        <w:t xml:space="preserve">г. </w:t>
      </w:r>
      <w:r w:rsidR="00F83FB6" w:rsidRPr="00E97367">
        <w:rPr>
          <w:color w:val="000000"/>
        </w:rPr>
        <w:t>Видно, что в период</w:t>
      </w:r>
      <w:r w:rsidR="00170D9B" w:rsidRPr="00E97367">
        <w:rPr>
          <w:color w:val="000000"/>
        </w:rPr>
        <w:t xml:space="preserve"> 1996-20</w:t>
      </w:r>
      <w:r w:rsidR="00496062" w:rsidRPr="00E97367">
        <w:rPr>
          <w:color w:val="000000"/>
        </w:rPr>
        <w:t>08 гг.</w:t>
      </w:r>
      <w:r w:rsidR="00A95B65" w:rsidRPr="00E97367">
        <w:rPr>
          <w:color w:val="000000"/>
        </w:rPr>
        <w:t xml:space="preserve"> </w:t>
      </w:r>
      <w:r w:rsidR="00170D9B" w:rsidRPr="00E97367">
        <w:rPr>
          <w:color w:val="000000"/>
        </w:rPr>
        <w:t xml:space="preserve">ИОКм увеличился на </w:t>
      </w:r>
      <w:r w:rsidR="00FE5D27">
        <w:rPr>
          <w:color w:val="000000"/>
        </w:rPr>
        <w:t>178</w:t>
      </w:r>
      <w:r w:rsidR="00170D9B" w:rsidRPr="00E97367">
        <w:rPr>
          <w:color w:val="000000"/>
        </w:rPr>
        <w:t xml:space="preserve">%, </w:t>
      </w:r>
      <w:r w:rsidR="0053594E">
        <w:rPr>
          <w:color w:val="000000"/>
        </w:rPr>
        <w:t>при этом</w:t>
      </w:r>
      <w:r w:rsidR="00170D9B" w:rsidRPr="00E97367">
        <w:rPr>
          <w:color w:val="000000"/>
        </w:rPr>
        <w:t xml:space="preserve"> ВРПм на 1</w:t>
      </w:r>
      <w:r w:rsidR="00FE5D27">
        <w:rPr>
          <w:color w:val="000000"/>
        </w:rPr>
        <w:t>52</w:t>
      </w:r>
      <w:r w:rsidR="00170D9B" w:rsidRPr="00E97367">
        <w:rPr>
          <w:color w:val="000000"/>
        </w:rPr>
        <w:t>%.</w:t>
      </w:r>
      <w:r w:rsidR="00DA459E" w:rsidRPr="00E97367">
        <w:rPr>
          <w:color w:val="000000"/>
        </w:rPr>
        <w:t xml:space="preserve"> </w:t>
      </w:r>
      <w:r w:rsidR="00496062" w:rsidRPr="00E97367">
        <w:rPr>
          <w:color w:val="000000"/>
        </w:rPr>
        <w:t>Отсюда</w:t>
      </w:r>
      <w:r w:rsidR="0053594E">
        <w:rPr>
          <w:color w:val="000000"/>
        </w:rPr>
        <w:t xml:space="preserve"> следует, что</w:t>
      </w:r>
      <w:r w:rsidR="00DA459E" w:rsidRPr="00E97367">
        <w:rPr>
          <w:color w:val="000000"/>
        </w:rPr>
        <w:t xml:space="preserve"> в этот период</w:t>
      </w:r>
      <w:r w:rsidR="00496062" w:rsidRPr="00E97367">
        <w:rPr>
          <w:color w:val="000000"/>
        </w:rPr>
        <w:t xml:space="preserve"> среднегодовой коэффициент эластичности ВРПм к ИОКм </w:t>
      </w:r>
      <w:r w:rsidR="00B42F55">
        <w:rPr>
          <w:color w:val="000000"/>
        </w:rPr>
        <w:t xml:space="preserve">можно </w:t>
      </w:r>
      <w:r w:rsidR="00DA459E" w:rsidRPr="00E97367">
        <w:rPr>
          <w:color w:val="000000"/>
        </w:rPr>
        <w:t xml:space="preserve">приближенно </w:t>
      </w:r>
      <w:r w:rsidR="00B42F55">
        <w:rPr>
          <w:color w:val="000000"/>
        </w:rPr>
        <w:t xml:space="preserve">оценить </w:t>
      </w:r>
      <w:r w:rsidR="00DA459E" w:rsidRPr="00E97367">
        <w:rPr>
          <w:color w:val="000000"/>
        </w:rPr>
        <w:t xml:space="preserve"> </w:t>
      </w:r>
      <w:r w:rsidR="00496062" w:rsidRPr="00E97367">
        <w:rPr>
          <w:color w:val="000000"/>
        </w:rPr>
        <w:t xml:space="preserve"> Кврпм</w:t>
      </w:r>
      <w:r w:rsidR="00DA459E" w:rsidRPr="00E97367">
        <w:rPr>
          <w:color w:val="000000"/>
        </w:rPr>
        <w:t>=</w:t>
      </w:r>
      <w:r w:rsidR="00FE5D27">
        <w:rPr>
          <w:color w:val="000000"/>
        </w:rPr>
        <w:t>152</w:t>
      </w:r>
      <w:r w:rsidR="00DA459E" w:rsidRPr="00E97367">
        <w:rPr>
          <w:color w:val="000000"/>
        </w:rPr>
        <w:t>%/</w:t>
      </w:r>
      <w:r w:rsidR="00FE5D27">
        <w:rPr>
          <w:color w:val="000000"/>
        </w:rPr>
        <w:t>178</w:t>
      </w:r>
      <w:r w:rsidR="00DA459E" w:rsidRPr="00E97367">
        <w:rPr>
          <w:color w:val="000000"/>
        </w:rPr>
        <w:t>%=</w:t>
      </w:r>
      <w:r w:rsidR="00FE5D27">
        <w:rPr>
          <w:b/>
          <w:color w:val="000000"/>
        </w:rPr>
        <w:t>0,85</w:t>
      </w:r>
      <w:r w:rsidR="00DA459E" w:rsidRPr="00C11505">
        <w:rPr>
          <w:b/>
          <w:color w:val="000000"/>
        </w:rPr>
        <w:t>.</w:t>
      </w:r>
    </w:p>
    <w:p w:rsidR="00430177" w:rsidRDefault="00C11505" w:rsidP="00430177">
      <w:pPr>
        <w:pStyle w:val="af1"/>
        <w:shd w:val="clear" w:color="auto" w:fill="FFFFFF"/>
        <w:spacing w:before="0" w:beforeAutospacing="0" w:after="0" w:afterAutospacing="0"/>
        <w:ind w:firstLine="720"/>
        <w:jc w:val="both"/>
        <w:rPr>
          <w:b/>
          <w:color w:val="000000"/>
        </w:rPr>
      </w:pPr>
      <w:r>
        <w:rPr>
          <w:color w:val="000000"/>
        </w:rPr>
        <w:t>В</w:t>
      </w:r>
      <w:r w:rsidR="00E97367" w:rsidRPr="00A81F9F">
        <w:rPr>
          <w:color w:val="000000"/>
        </w:rPr>
        <w:t xml:space="preserve"> 2009-2</w:t>
      </w:r>
      <w:r w:rsidR="002450CA">
        <w:rPr>
          <w:color w:val="000000"/>
        </w:rPr>
        <w:t>011</w:t>
      </w:r>
      <w:r w:rsidR="00E97367" w:rsidRPr="00A81F9F">
        <w:rPr>
          <w:color w:val="000000"/>
        </w:rPr>
        <w:t xml:space="preserve"> гг. произошло катастрофическое падение ИОК</w:t>
      </w:r>
      <w:r>
        <w:rPr>
          <w:color w:val="000000"/>
        </w:rPr>
        <w:t>м</w:t>
      </w:r>
      <w:r w:rsidR="00E97367" w:rsidRPr="00A81F9F">
        <w:rPr>
          <w:color w:val="000000"/>
        </w:rPr>
        <w:t xml:space="preserve"> </w:t>
      </w:r>
      <w:r w:rsidR="0053594E">
        <w:rPr>
          <w:color w:val="000000"/>
        </w:rPr>
        <w:t>(</w:t>
      </w:r>
      <w:r w:rsidR="0079791F">
        <w:rPr>
          <w:color w:val="000000"/>
        </w:rPr>
        <w:t>на 34</w:t>
      </w:r>
      <w:r w:rsidR="00E97367" w:rsidRPr="00A81F9F">
        <w:rPr>
          <w:color w:val="000000"/>
        </w:rPr>
        <w:t>%</w:t>
      </w:r>
      <w:r w:rsidR="0053594E">
        <w:rPr>
          <w:color w:val="000000"/>
        </w:rPr>
        <w:t>)</w:t>
      </w:r>
      <w:r w:rsidR="00F17779">
        <w:rPr>
          <w:color w:val="000000"/>
        </w:rPr>
        <w:t xml:space="preserve"> по отношению к уровню 2008г., а сами </w:t>
      </w:r>
      <w:r w:rsidR="00B42F55">
        <w:rPr>
          <w:color w:val="000000"/>
        </w:rPr>
        <w:t xml:space="preserve"> они </w:t>
      </w:r>
      <w:r w:rsidR="00E97367" w:rsidRPr="00A81F9F">
        <w:rPr>
          <w:color w:val="000000"/>
        </w:rPr>
        <w:t xml:space="preserve"> </w:t>
      </w:r>
      <w:r w:rsidR="00B42F55">
        <w:rPr>
          <w:color w:val="000000"/>
        </w:rPr>
        <w:t>снизили</w:t>
      </w:r>
      <w:r w:rsidR="0079791F">
        <w:rPr>
          <w:color w:val="000000"/>
        </w:rPr>
        <w:t>сь до уровня 2006</w:t>
      </w:r>
      <w:r w:rsidR="00B42F55">
        <w:rPr>
          <w:color w:val="000000"/>
        </w:rPr>
        <w:t xml:space="preserve"> г</w:t>
      </w:r>
      <w:r w:rsidR="0079791F">
        <w:rPr>
          <w:color w:val="000000"/>
        </w:rPr>
        <w:t>.</w:t>
      </w:r>
    </w:p>
    <w:p w:rsidR="0025260C" w:rsidRPr="00430177" w:rsidRDefault="00844123" w:rsidP="00430177">
      <w:pPr>
        <w:pStyle w:val="af1"/>
        <w:shd w:val="clear" w:color="auto" w:fill="FFFFFF"/>
        <w:spacing w:before="0" w:beforeAutospacing="0" w:after="0" w:afterAutospacing="0"/>
        <w:ind w:firstLine="720"/>
        <w:jc w:val="both"/>
        <w:rPr>
          <w:b/>
          <w:color w:val="000000"/>
        </w:rPr>
      </w:pPr>
      <w:r>
        <w:rPr>
          <w:color w:val="000000"/>
        </w:rPr>
        <w:t>На рис.6</w:t>
      </w:r>
      <w:r w:rsidR="00430177">
        <w:rPr>
          <w:color w:val="000000"/>
        </w:rPr>
        <w:t>1</w:t>
      </w:r>
      <w:r w:rsidR="00A50ED8">
        <w:rPr>
          <w:color w:val="000000"/>
        </w:rPr>
        <w:t xml:space="preserve"> показана динамика темпов изменения ИОКм и ВРПм в Москве в период 1997-</w:t>
      </w:r>
      <w:r w:rsidR="003C7C02">
        <w:rPr>
          <w:color w:val="000000"/>
        </w:rPr>
        <w:t>2012гг.</w:t>
      </w:r>
      <w:r w:rsidR="00382930" w:rsidRPr="00382930">
        <w:rPr>
          <w:noProof/>
        </w:rPr>
        <w:t xml:space="preserve"> </w:t>
      </w:r>
      <w:r w:rsidR="00382930">
        <w:rPr>
          <w:noProof/>
          <w:color w:val="000000"/>
        </w:rPr>
        <w:br/>
      </w:r>
      <w:r w:rsidR="0025260C" w:rsidRPr="0025260C">
        <w:rPr>
          <w:color w:val="000000"/>
        </w:rPr>
        <w:br/>
      </w:r>
    </w:p>
    <w:p w:rsidR="00090905" w:rsidRDefault="00090905" w:rsidP="00662F24">
      <w:pPr>
        <w:pStyle w:val="af1"/>
        <w:shd w:val="clear" w:color="auto" w:fill="FFFFFF"/>
        <w:spacing w:before="0" w:beforeAutospacing="0" w:after="0" w:afterAutospacing="0"/>
        <w:ind w:firstLine="720"/>
        <w:jc w:val="both"/>
        <w:rPr>
          <w:noProof/>
          <w:color w:val="000000"/>
        </w:rPr>
      </w:pPr>
    </w:p>
    <w:p w:rsidR="00662F24" w:rsidRDefault="007C1ADE" w:rsidP="008323C9">
      <w:pPr>
        <w:pStyle w:val="af1"/>
        <w:shd w:val="clear" w:color="auto" w:fill="FFFFFF"/>
        <w:spacing w:before="0" w:beforeAutospacing="0" w:after="0" w:afterAutospacing="0"/>
        <w:jc w:val="both"/>
        <w:rPr>
          <w:noProof/>
          <w:color w:val="000000"/>
        </w:rPr>
      </w:pPr>
      <w:r>
        <w:rPr>
          <w:noProof/>
          <w:color w:val="000000"/>
        </w:rPr>
        <w:drawing>
          <wp:inline distT="0" distB="0" distL="0" distR="0">
            <wp:extent cx="5941187" cy="3984879"/>
            <wp:effectExtent l="18288" t="6096" r="3175" b="0"/>
            <wp:docPr id="152"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A700E8" w:rsidRDefault="00A700E8" w:rsidP="00662F24">
      <w:pPr>
        <w:pStyle w:val="af1"/>
        <w:shd w:val="clear" w:color="auto" w:fill="FFFFFF"/>
        <w:spacing w:before="0" w:beforeAutospacing="0" w:after="0" w:afterAutospacing="0"/>
        <w:ind w:firstLine="720"/>
        <w:jc w:val="both"/>
        <w:rPr>
          <w:noProof/>
          <w:color w:val="000000"/>
        </w:rPr>
      </w:pPr>
    </w:p>
    <w:p w:rsidR="00A700E8" w:rsidRPr="00A81F9F" w:rsidRDefault="00844123" w:rsidP="00430177">
      <w:pPr>
        <w:pStyle w:val="af1"/>
        <w:shd w:val="clear" w:color="auto" w:fill="FFFFFF"/>
        <w:ind w:firstLine="851"/>
        <w:jc w:val="both"/>
        <w:rPr>
          <w:color w:val="000000"/>
        </w:rPr>
      </w:pPr>
      <w:r>
        <w:rPr>
          <w:noProof/>
          <w:color w:val="000000"/>
        </w:rPr>
        <w:t>Рис.6</w:t>
      </w:r>
      <w:r w:rsidR="00430177">
        <w:rPr>
          <w:noProof/>
          <w:color w:val="000000"/>
        </w:rPr>
        <w:t>1</w:t>
      </w:r>
      <w:r w:rsidR="00A700E8">
        <w:rPr>
          <w:noProof/>
          <w:color w:val="000000"/>
        </w:rPr>
        <w:t xml:space="preserve"> Динамика темпов изменения ИОКм и ВРПм в Москве в период 1996-2012 гг.</w:t>
      </w:r>
    </w:p>
    <w:p w:rsidR="002130F3" w:rsidRDefault="00A700E8" w:rsidP="00430177">
      <w:pPr>
        <w:pStyle w:val="af1"/>
        <w:shd w:val="clear" w:color="auto" w:fill="FFFFFF"/>
        <w:spacing w:before="0" w:beforeAutospacing="0" w:after="0" w:afterAutospacing="0"/>
        <w:jc w:val="both"/>
        <w:rPr>
          <w:color w:val="000000"/>
        </w:rPr>
      </w:pPr>
      <w:r>
        <w:rPr>
          <w:color w:val="000000"/>
        </w:rPr>
        <w:t xml:space="preserve">           В</w:t>
      </w:r>
      <w:r w:rsidRPr="00A81F9F">
        <w:rPr>
          <w:color w:val="000000"/>
        </w:rPr>
        <w:t>и</w:t>
      </w:r>
      <w:r>
        <w:rPr>
          <w:color w:val="000000"/>
        </w:rPr>
        <w:t>дно, что в период роста ИОК 1997</w:t>
      </w:r>
      <w:r w:rsidRPr="00A81F9F">
        <w:rPr>
          <w:color w:val="000000"/>
        </w:rPr>
        <w:t>-2000 гг., 2002-2008 гг. среднегодовой темп роста ИОК</w:t>
      </w:r>
      <w:r>
        <w:rPr>
          <w:color w:val="000000"/>
        </w:rPr>
        <w:t>м</w:t>
      </w:r>
      <w:r w:rsidRPr="00A81F9F">
        <w:rPr>
          <w:color w:val="000000"/>
        </w:rPr>
        <w:t xml:space="preserve"> в Москве равнялся </w:t>
      </w:r>
      <w:r>
        <w:rPr>
          <w:b/>
          <w:bCs/>
          <w:color w:val="000000"/>
        </w:rPr>
        <w:t>10,6</w:t>
      </w:r>
      <w:r w:rsidRPr="00A81F9F">
        <w:rPr>
          <w:b/>
          <w:bCs/>
          <w:color w:val="000000"/>
        </w:rPr>
        <w:t xml:space="preserve">%, </w:t>
      </w:r>
      <w:r w:rsidRPr="00A81F9F">
        <w:rPr>
          <w:color w:val="000000"/>
        </w:rPr>
        <w:t>при этом среднегодовой темп роста ВРП</w:t>
      </w:r>
      <w:r>
        <w:rPr>
          <w:color w:val="000000"/>
        </w:rPr>
        <w:t>м</w:t>
      </w:r>
      <w:r w:rsidRPr="00A81F9F">
        <w:rPr>
          <w:color w:val="000000"/>
        </w:rPr>
        <w:t xml:space="preserve"> составил  </w:t>
      </w:r>
      <w:r w:rsidR="009062A7">
        <w:rPr>
          <w:b/>
          <w:bCs/>
          <w:color w:val="000000"/>
        </w:rPr>
        <w:t>8,7</w:t>
      </w:r>
      <w:r w:rsidRPr="00A81F9F">
        <w:rPr>
          <w:b/>
          <w:bCs/>
          <w:color w:val="000000"/>
        </w:rPr>
        <w:t>%</w:t>
      </w:r>
      <w:r w:rsidRPr="00A81F9F">
        <w:rPr>
          <w:color w:val="000000"/>
        </w:rPr>
        <w:t xml:space="preserve">. </w:t>
      </w:r>
      <w:r w:rsidR="009062A7">
        <w:rPr>
          <w:color w:val="000000"/>
        </w:rPr>
        <w:t>Тогда</w:t>
      </w:r>
      <w:r w:rsidRPr="00A81F9F">
        <w:rPr>
          <w:color w:val="000000"/>
        </w:rPr>
        <w:t xml:space="preserve"> среднегодовой коэффициент эластичности </w:t>
      </w:r>
      <w:r w:rsidR="009062A7">
        <w:rPr>
          <w:color w:val="000000"/>
        </w:rPr>
        <w:t>ВРПм к ИОКм будет равен 8,7%/10,6</w:t>
      </w:r>
      <w:r w:rsidRPr="00A81F9F">
        <w:rPr>
          <w:color w:val="000000"/>
        </w:rPr>
        <w:t>%=</w:t>
      </w:r>
      <w:r w:rsidR="009062A7" w:rsidRPr="009062A7">
        <w:rPr>
          <w:b/>
          <w:color w:val="000000"/>
        </w:rPr>
        <w:t>0,82</w:t>
      </w:r>
      <w:r w:rsidRPr="00A81F9F">
        <w:rPr>
          <w:color w:val="000000"/>
        </w:rPr>
        <w:t>.</w:t>
      </w:r>
      <w:r w:rsidR="005B1111">
        <w:rPr>
          <w:color w:val="000000"/>
        </w:rPr>
        <w:t xml:space="preserve"> </w:t>
      </w:r>
      <w:r w:rsidR="00BF1825">
        <w:rPr>
          <w:color w:val="000000"/>
        </w:rPr>
        <w:t xml:space="preserve">А с учетом </w:t>
      </w:r>
      <w:r w:rsidR="002130F3">
        <w:rPr>
          <w:color w:val="000000"/>
        </w:rPr>
        <w:t>период</w:t>
      </w:r>
      <w:r w:rsidR="00BF1825">
        <w:rPr>
          <w:color w:val="000000"/>
        </w:rPr>
        <w:t>а</w:t>
      </w:r>
      <w:r w:rsidR="002130F3">
        <w:rPr>
          <w:color w:val="000000"/>
        </w:rPr>
        <w:t xml:space="preserve"> 2010-2012гг. среднегодовое значение ИОКм=</w:t>
      </w:r>
      <w:r w:rsidR="00BF1825">
        <w:rPr>
          <w:color w:val="000000"/>
        </w:rPr>
        <w:t>10,</w:t>
      </w:r>
      <w:r w:rsidR="00C63B66">
        <w:rPr>
          <w:color w:val="000000"/>
        </w:rPr>
        <w:t>05</w:t>
      </w:r>
      <w:r w:rsidR="002130F3">
        <w:rPr>
          <w:color w:val="000000"/>
        </w:rPr>
        <w:t>%, а среднегодовое значение ВРПм=</w:t>
      </w:r>
      <w:r w:rsidR="00BF1825">
        <w:rPr>
          <w:color w:val="000000"/>
        </w:rPr>
        <w:t>7,7</w:t>
      </w:r>
      <w:r w:rsidR="00B16265">
        <w:rPr>
          <w:color w:val="000000"/>
        </w:rPr>
        <w:t>%. Тогда среднегодовой коэффициент эластичности в этот период Кврпм=</w:t>
      </w:r>
      <w:r w:rsidR="00C63B66">
        <w:rPr>
          <w:color w:val="000000"/>
        </w:rPr>
        <w:t>7,7%/10,05%=</w:t>
      </w:r>
      <w:r w:rsidR="00B16265" w:rsidRPr="00C63B66">
        <w:rPr>
          <w:b/>
          <w:color w:val="000000"/>
        </w:rPr>
        <w:t>0,</w:t>
      </w:r>
      <w:r w:rsidR="00C63B66" w:rsidRPr="00C63B66">
        <w:rPr>
          <w:b/>
          <w:color w:val="000000"/>
        </w:rPr>
        <w:t>77</w:t>
      </w:r>
      <w:r w:rsidR="00B16265">
        <w:rPr>
          <w:color w:val="000000"/>
        </w:rPr>
        <w:t xml:space="preserve">. </w:t>
      </w:r>
    </w:p>
    <w:p w:rsidR="00FD5BCC" w:rsidRDefault="00C63B66" w:rsidP="00430177">
      <w:pPr>
        <w:pStyle w:val="af1"/>
        <w:shd w:val="clear" w:color="auto" w:fill="FFFFFF"/>
        <w:spacing w:before="0" w:beforeAutospacing="0" w:after="0" w:afterAutospacing="0"/>
        <w:ind w:firstLine="851"/>
        <w:jc w:val="both"/>
        <w:rPr>
          <w:color w:val="000000"/>
        </w:rPr>
      </w:pPr>
      <w:r>
        <w:rPr>
          <w:color w:val="000000"/>
        </w:rPr>
        <w:t>Величина Кэм=0,82 (</w:t>
      </w:r>
      <w:r w:rsidR="00FD5BCC">
        <w:rPr>
          <w:color w:val="000000"/>
        </w:rPr>
        <w:t xml:space="preserve">в период 1997-2000, 2002-2008гг.) </w:t>
      </w:r>
      <w:r w:rsidR="009062A7">
        <w:rPr>
          <w:color w:val="000000"/>
        </w:rPr>
        <w:t>достаточно близко</w:t>
      </w:r>
      <w:r w:rsidR="005B1111">
        <w:rPr>
          <w:color w:val="000000"/>
        </w:rPr>
        <w:t xml:space="preserve"> к приближенному значению 0,85, полученному выше</w:t>
      </w:r>
      <w:r w:rsidR="00FD5BCC">
        <w:rPr>
          <w:color w:val="000000"/>
        </w:rPr>
        <w:t xml:space="preserve"> для этого же периода</w:t>
      </w:r>
      <w:r w:rsidR="005B1111">
        <w:rPr>
          <w:color w:val="000000"/>
        </w:rPr>
        <w:t>.</w:t>
      </w:r>
    </w:p>
    <w:p w:rsidR="00430177" w:rsidRDefault="005B1111" w:rsidP="00430177">
      <w:pPr>
        <w:pStyle w:val="af1"/>
        <w:shd w:val="clear" w:color="auto" w:fill="FFFFFF"/>
        <w:spacing w:before="0" w:beforeAutospacing="0" w:after="0" w:afterAutospacing="0"/>
        <w:ind w:firstLine="851"/>
        <w:jc w:val="both"/>
        <w:rPr>
          <w:color w:val="000000"/>
        </w:rPr>
      </w:pPr>
      <w:r>
        <w:rPr>
          <w:color w:val="000000"/>
        </w:rPr>
        <w:t>З</w:t>
      </w:r>
      <w:r w:rsidR="00A700E8" w:rsidRPr="00A81F9F">
        <w:rPr>
          <w:color w:val="000000"/>
        </w:rPr>
        <w:t>начение среднего</w:t>
      </w:r>
      <w:r>
        <w:rPr>
          <w:color w:val="000000"/>
        </w:rPr>
        <w:t>дового</w:t>
      </w:r>
      <w:r w:rsidR="00A700E8" w:rsidRPr="00A81F9F">
        <w:rPr>
          <w:color w:val="000000"/>
        </w:rPr>
        <w:t xml:space="preserve"> коэффициента эластичности можно получить</w:t>
      </w:r>
      <w:r>
        <w:rPr>
          <w:color w:val="000000"/>
        </w:rPr>
        <w:t xml:space="preserve"> иным способом</w:t>
      </w:r>
      <w:r w:rsidR="00A700E8" w:rsidRPr="00A81F9F">
        <w:rPr>
          <w:color w:val="000000"/>
        </w:rPr>
        <w:t xml:space="preserve">, </w:t>
      </w:r>
      <w:r>
        <w:rPr>
          <w:color w:val="000000"/>
        </w:rPr>
        <w:t xml:space="preserve">как среднеарифметическую величину его </w:t>
      </w:r>
      <w:r w:rsidR="009724D1">
        <w:rPr>
          <w:color w:val="000000"/>
        </w:rPr>
        <w:t xml:space="preserve">ежегодных </w:t>
      </w:r>
      <w:r>
        <w:rPr>
          <w:color w:val="000000"/>
        </w:rPr>
        <w:t>значени</w:t>
      </w:r>
      <w:r w:rsidR="009724D1">
        <w:rPr>
          <w:color w:val="000000"/>
        </w:rPr>
        <w:t>й</w:t>
      </w:r>
      <w:r>
        <w:rPr>
          <w:color w:val="000000"/>
        </w:rPr>
        <w:t xml:space="preserve"> в </w:t>
      </w:r>
      <w:r w:rsidR="009724D1">
        <w:rPr>
          <w:color w:val="000000"/>
        </w:rPr>
        <w:t xml:space="preserve">том же </w:t>
      </w:r>
      <w:r>
        <w:rPr>
          <w:color w:val="000000"/>
        </w:rPr>
        <w:t>период</w:t>
      </w:r>
      <w:r w:rsidR="009724D1">
        <w:rPr>
          <w:color w:val="000000"/>
        </w:rPr>
        <w:t>е</w:t>
      </w:r>
      <w:r>
        <w:rPr>
          <w:color w:val="000000"/>
        </w:rPr>
        <w:t xml:space="preserve"> роста ИОК</w:t>
      </w:r>
      <w:r w:rsidR="009724D1">
        <w:rPr>
          <w:color w:val="000000"/>
        </w:rPr>
        <w:t xml:space="preserve">. </w:t>
      </w:r>
    </w:p>
    <w:p w:rsidR="00C41219" w:rsidRDefault="00844123" w:rsidP="00430177">
      <w:pPr>
        <w:pStyle w:val="af1"/>
        <w:shd w:val="clear" w:color="auto" w:fill="FFFFFF"/>
        <w:spacing w:before="0" w:beforeAutospacing="0" w:after="0" w:afterAutospacing="0"/>
        <w:ind w:firstLine="851"/>
        <w:jc w:val="both"/>
        <w:rPr>
          <w:color w:val="000000"/>
        </w:rPr>
      </w:pPr>
      <w:r>
        <w:rPr>
          <w:color w:val="000000"/>
        </w:rPr>
        <w:t>На рис.</w:t>
      </w:r>
      <w:r w:rsidR="00430177">
        <w:rPr>
          <w:color w:val="000000"/>
        </w:rPr>
        <w:t xml:space="preserve"> </w:t>
      </w:r>
      <w:r>
        <w:rPr>
          <w:color w:val="000000"/>
        </w:rPr>
        <w:t>6</w:t>
      </w:r>
      <w:r w:rsidR="00430177">
        <w:rPr>
          <w:color w:val="000000"/>
        </w:rPr>
        <w:t>2</w:t>
      </w:r>
      <w:r w:rsidR="00A700E8" w:rsidRPr="00A81F9F">
        <w:rPr>
          <w:color w:val="000000"/>
        </w:rPr>
        <w:t xml:space="preserve"> приведены </w:t>
      </w:r>
      <w:r w:rsidR="0012766E">
        <w:rPr>
          <w:color w:val="000000"/>
        </w:rPr>
        <w:t xml:space="preserve">ежегодные </w:t>
      </w:r>
      <w:r w:rsidR="00A700E8" w:rsidRPr="00A81F9F">
        <w:rPr>
          <w:color w:val="000000"/>
        </w:rPr>
        <w:t>значения коэффициента эластичности ВРП</w:t>
      </w:r>
      <w:r w:rsidR="009724D1">
        <w:rPr>
          <w:color w:val="000000"/>
        </w:rPr>
        <w:t>м</w:t>
      </w:r>
      <w:r w:rsidR="00A700E8" w:rsidRPr="00A81F9F">
        <w:rPr>
          <w:color w:val="000000"/>
        </w:rPr>
        <w:t xml:space="preserve"> к ИОК</w:t>
      </w:r>
      <w:r w:rsidR="009724D1">
        <w:rPr>
          <w:color w:val="000000"/>
        </w:rPr>
        <w:t>м Москвы</w:t>
      </w:r>
      <w:r w:rsidR="00C41219">
        <w:rPr>
          <w:color w:val="000000"/>
        </w:rPr>
        <w:t xml:space="preserve"> (Кврпм)</w:t>
      </w:r>
      <w:r w:rsidR="009724D1">
        <w:rPr>
          <w:color w:val="000000"/>
        </w:rPr>
        <w:t xml:space="preserve"> в период 1996-2012</w:t>
      </w:r>
      <w:r w:rsidR="00A700E8" w:rsidRPr="00A81F9F">
        <w:rPr>
          <w:color w:val="000000"/>
        </w:rPr>
        <w:t xml:space="preserve"> гг. </w:t>
      </w:r>
    </w:p>
    <w:p w:rsidR="00FB341A" w:rsidRDefault="009C668F" w:rsidP="00FB341A">
      <w:pPr>
        <w:pStyle w:val="af1"/>
        <w:shd w:val="clear" w:color="auto" w:fill="FFFFFF"/>
        <w:spacing w:before="0" w:beforeAutospacing="0" w:after="0" w:afterAutospacing="0"/>
        <w:ind w:firstLine="720"/>
        <w:rPr>
          <w:noProof/>
          <w:color w:val="000000"/>
        </w:rPr>
      </w:pPr>
      <w:r>
        <w:rPr>
          <w:color w:val="000000"/>
        </w:rPr>
        <w:br/>
      </w:r>
      <w:r w:rsidR="007C1ADE">
        <w:rPr>
          <w:noProof/>
          <w:color w:val="000000"/>
        </w:rPr>
        <w:drawing>
          <wp:inline distT="0" distB="0" distL="0" distR="0">
            <wp:extent cx="6083038" cy="4442018"/>
            <wp:effectExtent l="18090" t="6031" r="4397" b="126"/>
            <wp:docPr id="181" name="Диаграмма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sidR="00157EF1">
        <w:rPr>
          <w:noProof/>
          <w:color w:val="000000"/>
        </w:rPr>
        <w:br/>
      </w:r>
    </w:p>
    <w:p w:rsidR="00EC3D79" w:rsidRDefault="00EC3D79" w:rsidP="00FB341A">
      <w:pPr>
        <w:pStyle w:val="af1"/>
        <w:shd w:val="clear" w:color="auto" w:fill="FFFFFF"/>
        <w:spacing w:before="0" w:beforeAutospacing="0" w:after="0" w:afterAutospacing="0"/>
        <w:ind w:firstLine="720"/>
        <w:rPr>
          <w:color w:val="000000"/>
        </w:rPr>
      </w:pPr>
      <w:r>
        <w:rPr>
          <w:noProof/>
          <w:color w:val="000000"/>
        </w:rPr>
        <w:t>Рис.6</w:t>
      </w:r>
      <w:r w:rsidR="00430177">
        <w:rPr>
          <w:noProof/>
          <w:color w:val="000000"/>
        </w:rPr>
        <w:t>2</w:t>
      </w:r>
      <w:r>
        <w:rPr>
          <w:noProof/>
          <w:color w:val="000000"/>
        </w:rPr>
        <w:t>. Значение ежегодных коэффициентов эластичности ВРПм к ИОКм</w:t>
      </w:r>
      <w:r w:rsidR="00C41219">
        <w:rPr>
          <w:noProof/>
          <w:color w:val="000000"/>
        </w:rPr>
        <w:t xml:space="preserve"> (Кврпм) </w:t>
      </w:r>
      <w:r>
        <w:rPr>
          <w:noProof/>
          <w:color w:val="000000"/>
        </w:rPr>
        <w:t>в Москве в период 1997-2012 гг.</w:t>
      </w:r>
      <w:r>
        <w:rPr>
          <w:noProof/>
          <w:color w:val="000000"/>
        </w:rPr>
        <w:br/>
      </w:r>
    </w:p>
    <w:p w:rsidR="00AE48B3" w:rsidRDefault="00EC3D79" w:rsidP="000015C6">
      <w:pPr>
        <w:pStyle w:val="af1"/>
        <w:shd w:val="clear" w:color="auto" w:fill="FFFFFF"/>
        <w:spacing w:before="0" w:beforeAutospacing="0" w:after="0" w:afterAutospacing="0"/>
        <w:ind w:firstLine="720"/>
        <w:jc w:val="both"/>
        <w:rPr>
          <w:color w:val="000000"/>
        </w:rPr>
      </w:pPr>
      <w:r>
        <w:rPr>
          <w:color w:val="000000"/>
        </w:rPr>
        <w:t>Видно</w:t>
      </w:r>
      <w:r w:rsidRPr="00A81F9F">
        <w:rPr>
          <w:color w:val="000000"/>
        </w:rPr>
        <w:t xml:space="preserve">, </w:t>
      </w:r>
      <w:r w:rsidR="009C5777">
        <w:rPr>
          <w:color w:val="000000"/>
        </w:rPr>
        <w:t xml:space="preserve">что в период роста ИОКм (1997-2000 гг.,2002-2008 гг.,2011-2012 гг.) </w:t>
      </w:r>
      <w:r w:rsidR="00C41219">
        <w:rPr>
          <w:color w:val="000000"/>
        </w:rPr>
        <w:t>значения ежегодного</w:t>
      </w:r>
      <w:r w:rsidR="009C5777">
        <w:rPr>
          <w:color w:val="000000"/>
        </w:rPr>
        <w:t xml:space="preserve"> коэффициент</w:t>
      </w:r>
      <w:r w:rsidR="00C41219">
        <w:rPr>
          <w:color w:val="000000"/>
        </w:rPr>
        <w:t>а</w:t>
      </w:r>
      <w:r w:rsidR="009C5777">
        <w:rPr>
          <w:color w:val="000000"/>
        </w:rPr>
        <w:t xml:space="preserve"> эластичности Кврпм </w:t>
      </w:r>
      <w:r w:rsidR="00C41219">
        <w:rPr>
          <w:color w:val="000000"/>
        </w:rPr>
        <w:t>существенно отличались друг от друга в период 1997</w:t>
      </w:r>
      <w:r w:rsidR="00552C4B">
        <w:rPr>
          <w:color w:val="000000"/>
        </w:rPr>
        <w:t>,1998 и 1999 гг</w:t>
      </w:r>
      <w:r w:rsidR="0007183E">
        <w:rPr>
          <w:color w:val="000000"/>
        </w:rPr>
        <w:t xml:space="preserve">. и 2006,2007 и 2008 гг. Для этих значений необходимо </w:t>
      </w:r>
      <w:r w:rsidR="005D05EA">
        <w:rPr>
          <w:color w:val="000000"/>
        </w:rPr>
        <w:t xml:space="preserve">было  </w:t>
      </w:r>
      <w:r w:rsidR="0007183E">
        <w:rPr>
          <w:color w:val="000000"/>
        </w:rPr>
        <w:t>провести локальное осреднение.</w:t>
      </w:r>
      <w:r w:rsidR="005D05EA">
        <w:rPr>
          <w:color w:val="000000"/>
        </w:rPr>
        <w:t xml:space="preserve"> </w:t>
      </w:r>
      <w:r w:rsidR="0007183E">
        <w:rPr>
          <w:color w:val="000000"/>
        </w:rPr>
        <w:t xml:space="preserve">При этом в </w:t>
      </w:r>
      <w:r w:rsidR="005D05EA">
        <w:rPr>
          <w:color w:val="000000"/>
        </w:rPr>
        <w:t>первом периоде оказалось среднегодовое</w:t>
      </w:r>
      <w:r w:rsidR="0007183E">
        <w:rPr>
          <w:color w:val="000000"/>
        </w:rPr>
        <w:t xml:space="preserve"> значение Кврпм=0,33, а во втором периоде Кврпм=0,93.</w:t>
      </w:r>
      <w:r w:rsidR="00A90A51">
        <w:rPr>
          <w:color w:val="000000"/>
        </w:rPr>
        <w:t xml:space="preserve"> </w:t>
      </w:r>
    </w:p>
    <w:p w:rsidR="00AE48B3" w:rsidRDefault="00FB62F6" w:rsidP="000015C6">
      <w:pPr>
        <w:pStyle w:val="af1"/>
        <w:shd w:val="clear" w:color="auto" w:fill="FFFFFF"/>
        <w:spacing w:before="0" w:beforeAutospacing="0" w:after="0" w:afterAutospacing="0"/>
        <w:ind w:firstLine="720"/>
        <w:jc w:val="both"/>
        <w:rPr>
          <w:color w:val="000000"/>
        </w:rPr>
      </w:pPr>
      <w:r>
        <w:rPr>
          <w:color w:val="000000"/>
        </w:rPr>
        <w:t>На рис. 6</w:t>
      </w:r>
      <w:r w:rsidR="00430177">
        <w:rPr>
          <w:color w:val="000000"/>
        </w:rPr>
        <w:t>3</w:t>
      </w:r>
      <w:r>
        <w:rPr>
          <w:color w:val="000000"/>
        </w:rPr>
        <w:t xml:space="preserve"> показаны ежегодные коэффициенты эластичности ВРПм к ИОКм в Москве в период 1997-2012гг. в учетом локального осреднения 1997-1999гг. и 2006-2008гг. </w:t>
      </w:r>
    </w:p>
    <w:p w:rsidR="00AE48B3" w:rsidRDefault="00AE48B3" w:rsidP="000015C6">
      <w:pPr>
        <w:pStyle w:val="af1"/>
        <w:shd w:val="clear" w:color="auto" w:fill="FFFFFF"/>
        <w:spacing w:before="0" w:beforeAutospacing="0" w:after="0" w:afterAutospacing="0"/>
        <w:ind w:firstLine="720"/>
        <w:jc w:val="both"/>
        <w:rPr>
          <w:color w:val="000000"/>
        </w:rPr>
      </w:pPr>
    </w:p>
    <w:p w:rsidR="00AE48B3" w:rsidRDefault="007C1ADE" w:rsidP="00624754">
      <w:pPr>
        <w:pStyle w:val="af1"/>
        <w:shd w:val="clear" w:color="auto" w:fill="FFFFFF"/>
        <w:spacing w:before="0" w:beforeAutospacing="0" w:after="0" w:afterAutospacing="0"/>
        <w:jc w:val="both"/>
        <w:rPr>
          <w:color w:val="000000"/>
        </w:rPr>
      </w:pPr>
      <w:r>
        <w:rPr>
          <w:noProof/>
          <w:color w:val="000000"/>
        </w:rPr>
        <w:drawing>
          <wp:inline distT="0" distB="0" distL="0" distR="0">
            <wp:extent cx="6089068" cy="3175308"/>
            <wp:effectExtent l="12060" t="6042" r="4397" b="0"/>
            <wp:docPr id="187"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AE48B3" w:rsidRDefault="00AE48B3" w:rsidP="000015C6">
      <w:pPr>
        <w:pStyle w:val="af1"/>
        <w:shd w:val="clear" w:color="auto" w:fill="FFFFFF"/>
        <w:spacing w:before="0" w:beforeAutospacing="0" w:after="0" w:afterAutospacing="0"/>
        <w:ind w:firstLine="720"/>
        <w:jc w:val="both"/>
        <w:rPr>
          <w:color w:val="000000"/>
        </w:rPr>
      </w:pPr>
    </w:p>
    <w:p w:rsidR="00624754" w:rsidRDefault="00624754" w:rsidP="00624754">
      <w:pPr>
        <w:pStyle w:val="af1"/>
        <w:shd w:val="clear" w:color="auto" w:fill="FFFFFF"/>
        <w:spacing w:before="0" w:beforeAutospacing="0" w:after="0" w:afterAutospacing="0"/>
        <w:ind w:firstLine="720"/>
        <w:jc w:val="both"/>
        <w:rPr>
          <w:noProof/>
          <w:color w:val="000000"/>
        </w:rPr>
      </w:pPr>
      <w:r>
        <w:rPr>
          <w:color w:val="000000"/>
        </w:rPr>
        <w:t>Рис.</w:t>
      </w:r>
      <w:r w:rsidR="00CC2036">
        <w:rPr>
          <w:color w:val="000000"/>
        </w:rPr>
        <w:t xml:space="preserve"> 6</w:t>
      </w:r>
      <w:r w:rsidR="00430177">
        <w:rPr>
          <w:color w:val="000000"/>
        </w:rPr>
        <w:t>3.</w:t>
      </w:r>
      <w:r>
        <w:rPr>
          <w:color w:val="000000"/>
        </w:rPr>
        <w:t xml:space="preserve"> </w:t>
      </w:r>
      <w:r>
        <w:rPr>
          <w:noProof/>
          <w:color w:val="000000"/>
        </w:rPr>
        <w:t xml:space="preserve">Значение ежегодных коэффициентов эластичности ВРПм к ИОКм (Кврпм) в Москве в период 1997-2012 гг. после локального осреднения. </w:t>
      </w:r>
    </w:p>
    <w:p w:rsidR="00AE48B3" w:rsidRDefault="00AE48B3" w:rsidP="00430177">
      <w:pPr>
        <w:pStyle w:val="af1"/>
        <w:shd w:val="clear" w:color="auto" w:fill="FFFFFF"/>
        <w:spacing w:before="0" w:beforeAutospacing="0" w:after="0" w:afterAutospacing="0"/>
        <w:ind w:firstLine="720"/>
        <w:jc w:val="both"/>
        <w:rPr>
          <w:color w:val="000000"/>
        </w:rPr>
      </w:pPr>
    </w:p>
    <w:p w:rsidR="00CC2036" w:rsidRDefault="00A90A51" w:rsidP="000015C6">
      <w:pPr>
        <w:pStyle w:val="af1"/>
        <w:shd w:val="clear" w:color="auto" w:fill="FFFFFF"/>
        <w:spacing w:before="0" w:beforeAutospacing="0" w:after="0" w:afterAutospacing="0"/>
        <w:ind w:firstLine="720"/>
        <w:jc w:val="both"/>
        <w:rPr>
          <w:color w:val="000000"/>
        </w:rPr>
      </w:pPr>
      <w:r>
        <w:rPr>
          <w:color w:val="000000"/>
        </w:rPr>
        <w:t>Тогда в период 1997-2000 гг.,2002-2008гг.,</w:t>
      </w:r>
      <w:r w:rsidR="00A87796" w:rsidRPr="00A87796">
        <w:rPr>
          <w:color w:val="000000"/>
        </w:rPr>
        <w:t xml:space="preserve"> </w:t>
      </w:r>
      <w:r w:rsidR="000015C6">
        <w:rPr>
          <w:color w:val="000000"/>
        </w:rPr>
        <w:t xml:space="preserve">среднегодовое значение </w:t>
      </w:r>
      <w:r w:rsidR="00A87796">
        <w:rPr>
          <w:color w:val="000000"/>
        </w:rPr>
        <w:t>Кврпм=</w:t>
      </w:r>
      <w:r w:rsidR="00A87796" w:rsidRPr="00A87796">
        <w:rPr>
          <w:b/>
          <w:color w:val="000000"/>
        </w:rPr>
        <w:t>0,84,</w:t>
      </w:r>
      <w:r w:rsidR="00E87CD8">
        <w:rPr>
          <w:color w:val="000000"/>
        </w:rPr>
        <w:t xml:space="preserve"> что близко к значению 0,82,полученному выше другим способом.</w:t>
      </w:r>
      <w:r w:rsidR="00A87796">
        <w:rPr>
          <w:color w:val="000000"/>
        </w:rPr>
        <w:t xml:space="preserve"> </w:t>
      </w:r>
      <w:r w:rsidR="00E87CD8">
        <w:rPr>
          <w:color w:val="000000"/>
        </w:rPr>
        <w:t>Н</w:t>
      </w:r>
      <w:r w:rsidR="00A87796">
        <w:rPr>
          <w:color w:val="000000"/>
        </w:rPr>
        <w:t>а всем</w:t>
      </w:r>
      <w:r>
        <w:rPr>
          <w:color w:val="000000"/>
        </w:rPr>
        <w:t xml:space="preserve"> период</w:t>
      </w:r>
      <w:r w:rsidR="00A87796">
        <w:rPr>
          <w:color w:val="000000"/>
        </w:rPr>
        <w:t>е</w:t>
      </w:r>
      <w:r>
        <w:rPr>
          <w:color w:val="000000"/>
        </w:rPr>
        <w:t xml:space="preserve"> роста ИОКм,</w:t>
      </w:r>
      <w:r w:rsidR="00A87796">
        <w:rPr>
          <w:color w:val="000000"/>
        </w:rPr>
        <w:t xml:space="preserve"> </w:t>
      </w:r>
      <w:r w:rsidR="007B42B4">
        <w:rPr>
          <w:color w:val="000000"/>
        </w:rPr>
        <w:t>(</w:t>
      </w:r>
      <w:r>
        <w:rPr>
          <w:color w:val="000000"/>
        </w:rPr>
        <w:t>включая 2011-2012 гг</w:t>
      </w:r>
      <w:r w:rsidR="007B42B4">
        <w:rPr>
          <w:color w:val="000000"/>
        </w:rPr>
        <w:t>)</w:t>
      </w:r>
      <w:r>
        <w:rPr>
          <w:color w:val="000000"/>
        </w:rPr>
        <w:t>. среднегодовое значение</w:t>
      </w:r>
      <w:r w:rsidR="00A87796">
        <w:rPr>
          <w:color w:val="000000"/>
        </w:rPr>
        <w:t xml:space="preserve"> Кврпм=</w:t>
      </w:r>
      <w:r w:rsidR="00A87796" w:rsidRPr="00A87796">
        <w:rPr>
          <w:b/>
          <w:color w:val="000000"/>
        </w:rPr>
        <w:t>0,77</w:t>
      </w:r>
      <w:r w:rsidR="00A87796">
        <w:rPr>
          <w:color w:val="000000"/>
        </w:rPr>
        <w:t>.</w:t>
      </w:r>
      <w:r>
        <w:rPr>
          <w:color w:val="000000"/>
        </w:rPr>
        <w:t xml:space="preserve"> </w:t>
      </w:r>
      <w:r w:rsidR="00A65D16">
        <w:rPr>
          <w:color w:val="000000"/>
        </w:rPr>
        <w:t xml:space="preserve">Это значит, на всем периоде </w:t>
      </w:r>
      <w:r w:rsidR="00E87CD8">
        <w:rPr>
          <w:color w:val="000000"/>
        </w:rPr>
        <w:t>роста ИОК</w:t>
      </w:r>
      <w:r w:rsidR="00A65D16">
        <w:rPr>
          <w:color w:val="000000"/>
        </w:rPr>
        <w:t>м в среднем на 1% роста ИОКм приходится 0,77%</w:t>
      </w:r>
      <w:r w:rsidR="00E87CD8">
        <w:rPr>
          <w:color w:val="000000"/>
        </w:rPr>
        <w:t xml:space="preserve"> </w:t>
      </w:r>
      <w:r w:rsidR="00A65D16">
        <w:rPr>
          <w:color w:val="000000"/>
        </w:rPr>
        <w:t>роста</w:t>
      </w:r>
      <w:r w:rsidR="00CC2036">
        <w:rPr>
          <w:color w:val="000000"/>
        </w:rPr>
        <w:t xml:space="preserve"> ВРПм.</w:t>
      </w:r>
    </w:p>
    <w:p w:rsidR="00902DCC" w:rsidRPr="00430177" w:rsidRDefault="00A65D16" w:rsidP="00430177">
      <w:pPr>
        <w:pStyle w:val="af1"/>
        <w:shd w:val="clear" w:color="auto" w:fill="FFFFFF"/>
        <w:spacing w:before="0" w:beforeAutospacing="0" w:after="0" w:afterAutospacing="0"/>
        <w:ind w:firstLine="720"/>
        <w:jc w:val="both"/>
        <w:rPr>
          <w:color w:val="000000"/>
        </w:rPr>
      </w:pPr>
      <w:r>
        <w:rPr>
          <w:color w:val="000000"/>
        </w:rPr>
        <w:t xml:space="preserve"> </w:t>
      </w:r>
    </w:p>
    <w:p w:rsidR="00352246" w:rsidRDefault="00352246" w:rsidP="00430177">
      <w:pPr>
        <w:pStyle w:val="af1"/>
        <w:shd w:val="clear" w:color="auto" w:fill="FFFFFF"/>
        <w:spacing w:before="0" w:beforeAutospacing="0" w:after="0" w:afterAutospacing="0"/>
        <w:ind w:firstLine="720"/>
        <w:rPr>
          <w:b/>
          <w:color w:val="000000"/>
        </w:rPr>
      </w:pPr>
      <w:r>
        <w:rPr>
          <w:b/>
          <w:color w:val="000000"/>
        </w:rPr>
        <w:t>9.2.2. Анализ прогноза динамики ВРПм Москвы</w:t>
      </w:r>
      <w:r w:rsidR="001D64C6">
        <w:rPr>
          <w:b/>
          <w:color w:val="000000"/>
        </w:rPr>
        <w:t xml:space="preserve">, представленный департаментом экономической политики и развития г.Москвы </w:t>
      </w:r>
      <w:r>
        <w:rPr>
          <w:b/>
          <w:color w:val="000000"/>
        </w:rPr>
        <w:t xml:space="preserve"> </w:t>
      </w:r>
      <w:r w:rsidR="001D64C6">
        <w:rPr>
          <w:b/>
          <w:color w:val="000000"/>
        </w:rPr>
        <w:t>в</w:t>
      </w:r>
      <w:r w:rsidR="005811C2">
        <w:rPr>
          <w:b/>
          <w:color w:val="000000"/>
        </w:rPr>
        <w:t xml:space="preserve"> </w:t>
      </w:r>
      <w:r w:rsidR="005F54BB">
        <w:rPr>
          <w:b/>
          <w:color w:val="000000"/>
        </w:rPr>
        <w:t>Д</w:t>
      </w:r>
      <w:r w:rsidR="005811C2">
        <w:rPr>
          <w:b/>
          <w:color w:val="000000"/>
        </w:rPr>
        <w:t xml:space="preserve">окладе </w:t>
      </w:r>
      <w:r w:rsidR="00066E53">
        <w:rPr>
          <w:b/>
          <w:color w:val="000000"/>
        </w:rPr>
        <w:t xml:space="preserve"> </w:t>
      </w:r>
      <w:r w:rsidR="001D64C6">
        <w:rPr>
          <w:b/>
          <w:color w:val="000000"/>
        </w:rPr>
        <w:t>«С</w:t>
      </w:r>
      <w:r w:rsidR="00087071">
        <w:rPr>
          <w:b/>
          <w:color w:val="000000"/>
        </w:rPr>
        <w:t>оциально-экономическое развитие</w:t>
      </w:r>
      <w:r w:rsidR="00066E53">
        <w:rPr>
          <w:b/>
          <w:color w:val="000000"/>
        </w:rPr>
        <w:t xml:space="preserve"> и бюджет </w:t>
      </w:r>
      <w:r w:rsidR="001D64C6">
        <w:rPr>
          <w:b/>
          <w:color w:val="000000"/>
        </w:rPr>
        <w:t>г</w:t>
      </w:r>
      <w:r w:rsidR="00087071">
        <w:rPr>
          <w:b/>
          <w:color w:val="000000"/>
        </w:rPr>
        <w:t>орода Москвы: ф</w:t>
      </w:r>
      <w:r w:rsidR="001D64C6">
        <w:rPr>
          <w:b/>
          <w:color w:val="000000"/>
        </w:rPr>
        <w:t>акты и прогноз»</w:t>
      </w:r>
      <w:r w:rsidR="005811C2">
        <w:rPr>
          <w:b/>
          <w:color w:val="000000"/>
        </w:rPr>
        <w:t xml:space="preserve"> 2013 год.</w:t>
      </w:r>
    </w:p>
    <w:p w:rsidR="00D15FAD" w:rsidRPr="00A92BF9" w:rsidRDefault="005F54BB" w:rsidP="006C0652">
      <w:pPr>
        <w:pStyle w:val="af1"/>
        <w:shd w:val="clear" w:color="auto" w:fill="FFFFFF"/>
        <w:spacing w:before="0" w:beforeAutospacing="0" w:after="0" w:afterAutospacing="0"/>
        <w:ind w:firstLine="720"/>
        <w:jc w:val="both"/>
        <w:rPr>
          <w:color w:val="000000"/>
        </w:rPr>
      </w:pPr>
      <w:r>
        <w:rPr>
          <w:color w:val="000000"/>
        </w:rPr>
        <w:t>В данном Д</w:t>
      </w:r>
      <w:r w:rsidR="009E4492">
        <w:rPr>
          <w:color w:val="000000"/>
        </w:rPr>
        <w:t xml:space="preserve">окладе </w:t>
      </w:r>
      <w:r w:rsidR="0015229C">
        <w:rPr>
          <w:color w:val="000000"/>
        </w:rPr>
        <w:t>представлены</w:t>
      </w:r>
      <w:r w:rsidR="009E4492">
        <w:rPr>
          <w:color w:val="000000"/>
        </w:rPr>
        <w:t xml:space="preserve"> </w:t>
      </w:r>
      <w:r w:rsidR="0015229C">
        <w:rPr>
          <w:color w:val="000000"/>
        </w:rPr>
        <w:t xml:space="preserve">фактические ежегодные значения </w:t>
      </w:r>
      <w:r w:rsidR="005811C2" w:rsidRPr="005811C2">
        <w:rPr>
          <w:color w:val="000000"/>
        </w:rPr>
        <w:t>ВРП</w:t>
      </w:r>
      <w:r w:rsidR="00CE7716">
        <w:rPr>
          <w:color w:val="000000"/>
        </w:rPr>
        <w:t xml:space="preserve">м </w:t>
      </w:r>
      <w:r w:rsidR="009E4492">
        <w:rPr>
          <w:color w:val="000000"/>
        </w:rPr>
        <w:t>и ИОК</w:t>
      </w:r>
      <w:r w:rsidR="00994061">
        <w:rPr>
          <w:color w:val="000000"/>
        </w:rPr>
        <w:t>м</w:t>
      </w:r>
      <w:r w:rsidR="009E4492">
        <w:rPr>
          <w:color w:val="000000"/>
        </w:rPr>
        <w:t xml:space="preserve"> г</w:t>
      </w:r>
      <w:r w:rsidR="00430177">
        <w:rPr>
          <w:color w:val="000000"/>
        </w:rPr>
        <w:t>.</w:t>
      </w:r>
      <w:r w:rsidR="005811C2" w:rsidRPr="005811C2">
        <w:rPr>
          <w:color w:val="000000"/>
        </w:rPr>
        <w:t xml:space="preserve">Москвы </w:t>
      </w:r>
      <w:r w:rsidR="00CE7716">
        <w:rPr>
          <w:color w:val="000000"/>
        </w:rPr>
        <w:t xml:space="preserve">по годам в текущих ценах, пересчитанных в </w:t>
      </w:r>
      <w:r w:rsidR="00CE7716" w:rsidRPr="00CE7716">
        <w:rPr>
          <w:color w:val="000000"/>
        </w:rPr>
        <w:t xml:space="preserve">$ </w:t>
      </w:r>
      <w:r w:rsidR="00CE7716">
        <w:rPr>
          <w:color w:val="000000"/>
        </w:rPr>
        <w:t xml:space="preserve">ЦБ, по соответствующему среднегодовому текущему курсу, </w:t>
      </w:r>
      <w:r w:rsidR="005811C2">
        <w:rPr>
          <w:color w:val="000000"/>
        </w:rPr>
        <w:t xml:space="preserve">в период </w:t>
      </w:r>
      <w:r w:rsidR="00CE7716">
        <w:rPr>
          <w:color w:val="000000"/>
        </w:rPr>
        <w:t>2006-201</w:t>
      </w:r>
      <w:r w:rsidR="0015229C">
        <w:rPr>
          <w:color w:val="000000"/>
        </w:rPr>
        <w:t>2</w:t>
      </w:r>
      <w:r w:rsidR="00CE7716">
        <w:rPr>
          <w:color w:val="000000"/>
        </w:rPr>
        <w:t xml:space="preserve"> гг., а также их ежегодные темпы изменения</w:t>
      </w:r>
      <w:r w:rsidR="00430177">
        <w:rPr>
          <w:color w:val="000000"/>
        </w:rPr>
        <w:t xml:space="preserve"> </w:t>
      </w:r>
      <w:r w:rsidR="0015229C">
        <w:rPr>
          <w:color w:val="000000"/>
        </w:rPr>
        <w:t>(Рис.</w:t>
      </w:r>
      <w:r w:rsidR="006C0652">
        <w:rPr>
          <w:color w:val="000000"/>
        </w:rPr>
        <w:t xml:space="preserve"> </w:t>
      </w:r>
      <w:r w:rsidR="0015229C">
        <w:rPr>
          <w:color w:val="000000"/>
        </w:rPr>
        <w:t>6</w:t>
      </w:r>
      <w:r w:rsidR="006C0652">
        <w:rPr>
          <w:color w:val="000000"/>
        </w:rPr>
        <w:t>4</w:t>
      </w:r>
      <w:r w:rsidR="0015229C">
        <w:rPr>
          <w:color w:val="000000"/>
        </w:rPr>
        <w:t xml:space="preserve">). Кроме того, </w:t>
      </w:r>
      <w:r w:rsidR="00994061">
        <w:rPr>
          <w:color w:val="000000"/>
        </w:rPr>
        <w:t xml:space="preserve">там же представлены </w:t>
      </w:r>
      <w:r w:rsidR="0015229C">
        <w:rPr>
          <w:color w:val="000000"/>
        </w:rPr>
        <w:t>прогнозные значения ВРП</w:t>
      </w:r>
      <w:r w:rsidR="00994061">
        <w:rPr>
          <w:color w:val="000000"/>
        </w:rPr>
        <w:t xml:space="preserve"> и ИОК и </w:t>
      </w:r>
      <w:r w:rsidR="00D15FAD">
        <w:rPr>
          <w:color w:val="000000"/>
        </w:rPr>
        <w:t>соответствующие</w:t>
      </w:r>
      <w:r w:rsidR="00994061">
        <w:rPr>
          <w:color w:val="000000"/>
        </w:rPr>
        <w:t xml:space="preserve"> </w:t>
      </w:r>
      <w:r w:rsidR="00D15FAD">
        <w:rPr>
          <w:color w:val="000000"/>
        </w:rPr>
        <w:t xml:space="preserve">им </w:t>
      </w:r>
      <w:r w:rsidR="00994061">
        <w:rPr>
          <w:color w:val="000000"/>
        </w:rPr>
        <w:t>ежегодные темпы</w:t>
      </w:r>
      <w:r w:rsidR="00737563">
        <w:rPr>
          <w:color w:val="000000"/>
        </w:rPr>
        <w:t xml:space="preserve"> изменения</w:t>
      </w:r>
      <w:r w:rsidR="00994061">
        <w:rPr>
          <w:color w:val="000000"/>
        </w:rPr>
        <w:t xml:space="preserve"> на период 2013-2016 гг.</w:t>
      </w:r>
      <w:r w:rsidR="006D0C32">
        <w:rPr>
          <w:color w:val="000000"/>
        </w:rPr>
        <w:t xml:space="preserve"> </w:t>
      </w:r>
      <w:r w:rsidR="002604A1">
        <w:rPr>
          <w:color w:val="000000"/>
        </w:rPr>
        <w:t xml:space="preserve">В докладе </w:t>
      </w:r>
      <w:r>
        <w:rPr>
          <w:color w:val="000000"/>
        </w:rPr>
        <w:t>отсутствуют</w:t>
      </w:r>
      <w:r w:rsidR="00583F0D">
        <w:rPr>
          <w:color w:val="000000"/>
        </w:rPr>
        <w:t xml:space="preserve"> </w:t>
      </w:r>
      <w:r>
        <w:rPr>
          <w:color w:val="000000"/>
        </w:rPr>
        <w:t>аргументы, обосновывающие эти прогнозы</w:t>
      </w:r>
      <w:r w:rsidR="00FB2F74">
        <w:rPr>
          <w:color w:val="000000"/>
        </w:rPr>
        <w:t xml:space="preserve">: </w:t>
      </w:r>
      <w:r w:rsidR="00936D52">
        <w:rPr>
          <w:color w:val="000000"/>
        </w:rPr>
        <w:t xml:space="preserve">ежегодный темп инфляции, динамика курса </w:t>
      </w:r>
      <w:r w:rsidR="00936D52" w:rsidRPr="00936D52">
        <w:rPr>
          <w:color w:val="000000"/>
        </w:rPr>
        <w:t>$</w:t>
      </w:r>
      <w:r w:rsidR="00936D52">
        <w:rPr>
          <w:color w:val="000000"/>
        </w:rPr>
        <w:t xml:space="preserve"> и собственно,</w:t>
      </w:r>
      <w:r w:rsidR="00FB2F74">
        <w:rPr>
          <w:color w:val="000000"/>
        </w:rPr>
        <w:t xml:space="preserve"> прогнозируемые</w:t>
      </w:r>
      <w:r w:rsidR="00936D52">
        <w:rPr>
          <w:color w:val="000000"/>
        </w:rPr>
        <w:t xml:space="preserve"> темп</w:t>
      </w:r>
      <w:r w:rsidR="00FB2F74">
        <w:rPr>
          <w:color w:val="000000"/>
        </w:rPr>
        <w:t>ы</w:t>
      </w:r>
      <w:r w:rsidR="00936D52">
        <w:rPr>
          <w:color w:val="000000"/>
        </w:rPr>
        <w:t xml:space="preserve"> роста ВРП</w:t>
      </w:r>
      <w:r>
        <w:rPr>
          <w:color w:val="000000"/>
        </w:rPr>
        <w:t xml:space="preserve">м и ИОКм </w:t>
      </w:r>
      <w:r w:rsidR="00FB2F74">
        <w:rPr>
          <w:color w:val="000000"/>
        </w:rPr>
        <w:t xml:space="preserve">в постоянных ценах. </w:t>
      </w:r>
      <w:r w:rsidR="00737563">
        <w:rPr>
          <w:color w:val="000000"/>
        </w:rPr>
        <w:t>Кроме того, никак</w:t>
      </w:r>
      <w:r w:rsidR="00583F0D">
        <w:rPr>
          <w:color w:val="000000"/>
        </w:rPr>
        <w:t xml:space="preserve"> не </w:t>
      </w:r>
      <w:r w:rsidR="00FB2F74">
        <w:rPr>
          <w:color w:val="000000"/>
        </w:rPr>
        <w:t>рассматрива</w:t>
      </w:r>
      <w:r>
        <w:rPr>
          <w:color w:val="000000"/>
        </w:rPr>
        <w:t>е</w:t>
      </w:r>
      <w:r w:rsidR="00FB2F74">
        <w:rPr>
          <w:color w:val="000000"/>
        </w:rPr>
        <w:t>тся</w:t>
      </w:r>
      <w:r w:rsidR="00583F0D">
        <w:rPr>
          <w:color w:val="000000"/>
        </w:rPr>
        <w:t xml:space="preserve"> с</w:t>
      </w:r>
      <w:r w:rsidR="00FB2F74">
        <w:rPr>
          <w:color w:val="000000"/>
        </w:rPr>
        <w:t>вяз</w:t>
      </w:r>
      <w:r>
        <w:rPr>
          <w:color w:val="000000"/>
        </w:rPr>
        <w:t>ь</w:t>
      </w:r>
      <w:r w:rsidR="00583F0D">
        <w:rPr>
          <w:color w:val="000000"/>
        </w:rPr>
        <w:t xml:space="preserve"> между темпами изменения ВРП</w:t>
      </w:r>
      <w:r>
        <w:rPr>
          <w:color w:val="000000"/>
        </w:rPr>
        <w:t>м</w:t>
      </w:r>
      <w:r w:rsidR="00583F0D">
        <w:rPr>
          <w:color w:val="000000"/>
        </w:rPr>
        <w:t xml:space="preserve"> и ИОК</w:t>
      </w:r>
      <w:r>
        <w:rPr>
          <w:color w:val="000000"/>
        </w:rPr>
        <w:t>м</w:t>
      </w:r>
      <w:r w:rsidR="00583F0D">
        <w:rPr>
          <w:color w:val="000000"/>
        </w:rPr>
        <w:t>.</w:t>
      </w:r>
      <w:r w:rsidR="00A92BF9">
        <w:rPr>
          <w:color w:val="000000"/>
        </w:rPr>
        <w:t xml:space="preserve"> При этом п</w:t>
      </w:r>
      <w:r w:rsidR="00737563">
        <w:rPr>
          <w:color w:val="000000"/>
        </w:rPr>
        <w:t xml:space="preserve">редполагается </w:t>
      </w:r>
      <w:r w:rsidR="00A92BF9">
        <w:rPr>
          <w:color w:val="000000"/>
        </w:rPr>
        <w:t xml:space="preserve"> </w:t>
      </w:r>
      <w:r w:rsidR="00737563">
        <w:rPr>
          <w:color w:val="000000"/>
        </w:rPr>
        <w:t>достаточно высокий</w:t>
      </w:r>
      <w:r>
        <w:rPr>
          <w:color w:val="000000"/>
        </w:rPr>
        <w:t>, собственно,</w:t>
      </w:r>
      <w:r w:rsidR="00737563">
        <w:rPr>
          <w:color w:val="000000"/>
        </w:rPr>
        <w:t xml:space="preserve"> </w:t>
      </w:r>
      <w:r w:rsidR="00A92BF9">
        <w:rPr>
          <w:color w:val="000000"/>
        </w:rPr>
        <w:t xml:space="preserve"> темп изменения ВРП</w:t>
      </w:r>
      <w:r w:rsidR="00737563">
        <w:rPr>
          <w:color w:val="000000"/>
        </w:rPr>
        <w:t xml:space="preserve"> (</w:t>
      </w:r>
      <w:r w:rsidR="008E30DD">
        <w:rPr>
          <w:color w:val="000000"/>
        </w:rPr>
        <w:t xml:space="preserve">от </w:t>
      </w:r>
      <w:r w:rsidR="00737563">
        <w:rPr>
          <w:color w:val="000000"/>
        </w:rPr>
        <w:t xml:space="preserve">4,6% в 2013 году и </w:t>
      </w:r>
      <w:r w:rsidR="008E30DD">
        <w:rPr>
          <w:color w:val="000000"/>
        </w:rPr>
        <w:t xml:space="preserve">до </w:t>
      </w:r>
      <w:r w:rsidR="00737563">
        <w:rPr>
          <w:color w:val="000000"/>
        </w:rPr>
        <w:t xml:space="preserve">5,6% в 2016 году) </w:t>
      </w:r>
      <w:r w:rsidR="00A92BF9">
        <w:rPr>
          <w:color w:val="000000"/>
        </w:rPr>
        <w:t xml:space="preserve"> в текущих ценах</w:t>
      </w:r>
      <w:r w:rsidR="00732596">
        <w:rPr>
          <w:color w:val="000000"/>
        </w:rPr>
        <w:t xml:space="preserve">, пересчитанных в </w:t>
      </w:r>
      <w:r w:rsidR="00A92BF9" w:rsidRPr="00A92BF9">
        <w:rPr>
          <w:color w:val="000000"/>
        </w:rPr>
        <w:t>$</w:t>
      </w:r>
      <w:r w:rsidR="00A92BF9">
        <w:rPr>
          <w:color w:val="000000"/>
        </w:rPr>
        <w:t xml:space="preserve"> </w:t>
      </w:r>
      <w:r w:rsidR="00732596">
        <w:rPr>
          <w:color w:val="000000"/>
        </w:rPr>
        <w:t>ЦБ</w:t>
      </w:r>
      <w:r w:rsidR="00737563">
        <w:rPr>
          <w:color w:val="000000"/>
        </w:rPr>
        <w:t xml:space="preserve"> </w:t>
      </w:r>
      <w:r w:rsidR="00732596">
        <w:rPr>
          <w:color w:val="000000"/>
        </w:rPr>
        <w:t xml:space="preserve">по среднегодовым курсам, </w:t>
      </w:r>
      <w:r>
        <w:rPr>
          <w:color w:val="000000"/>
        </w:rPr>
        <w:t>прогноз которых</w:t>
      </w:r>
      <w:r w:rsidR="00732596">
        <w:rPr>
          <w:color w:val="000000"/>
        </w:rPr>
        <w:t xml:space="preserve"> не привод</w:t>
      </w:r>
      <w:r>
        <w:rPr>
          <w:color w:val="000000"/>
        </w:rPr>
        <w:t>и</w:t>
      </w:r>
      <w:r w:rsidR="00732596">
        <w:rPr>
          <w:color w:val="000000"/>
        </w:rPr>
        <w:t>тся в работе.</w:t>
      </w:r>
    </w:p>
    <w:p w:rsidR="005811C2" w:rsidRPr="00D67471" w:rsidRDefault="007C1ADE" w:rsidP="006E4F8D">
      <w:pPr>
        <w:pStyle w:val="af1"/>
        <w:shd w:val="clear" w:color="auto" w:fill="FFFFFF"/>
        <w:spacing w:before="0" w:beforeAutospacing="0" w:after="0" w:afterAutospacing="0"/>
        <w:rPr>
          <w:color w:val="000000"/>
        </w:rPr>
      </w:pPr>
      <w:r>
        <w:rPr>
          <w:noProof/>
          <w:color w:val="000000"/>
        </w:rPr>
        <w:drawing>
          <wp:inline distT="0" distB="0" distL="0" distR="0">
            <wp:extent cx="6061263" cy="4737032"/>
            <wp:effectExtent l="12446" t="6418" r="3241" b="0"/>
            <wp:docPr id="172" name="Диаграмма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902DCC">
        <w:rPr>
          <w:color w:val="000000"/>
        </w:rPr>
        <w:br/>
      </w:r>
    </w:p>
    <w:p w:rsidR="00241DC6" w:rsidRDefault="00241DC6" w:rsidP="00902DCC">
      <w:pPr>
        <w:pStyle w:val="af1"/>
        <w:shd w:val="clear" w:color="auto" w:fill="FFFFFF"/>
        <w:spacing w:before="0" w:beforeAutospacing="0" w:after="0" w:afterAutospacing="0"/>
        <w:ind w:firstLine="720"/>
        <w:rPr>
          <w:color w:val="000000"/>
        </w:rPr>
      </w:pPr>
    </w:p>
    <w:p w:rsidR="00352246" w:rsidRPr="00F35E2F" w:rsidRDefault="00902DCC" w:rsidP="00902DCC">
      <w:pPr>
        <w:pStyle w:val="af1"/>
        <w:shd w:val="clear" w:color="auto" w:fill="FFFFFF"/>
        <w:spacing w:before="0" w:beforeAutospacing="0" w:after="0" w:afterAutospacing="0"/>
        <w:ind w:firstLine="720"/>
        <w:rPr>
          <w:color w:val="000000"/>
        </w:rPr>
      </w:pPr>
      <w:r>
        <w:rPr>
          <w:color w:val="000000"/>
        </w:rPr>
        <w:t>Рис.</w:t>
      </w:r>
      <w:r w:rsidR="00D120F3">
        <w:rPr>
          <w:color w:val="000000"/>
        </w:rPr>
        <w:t xml:space="preserve"> </w:t>
      </w:r>
      <w:r>
        <w:rPr>
          <w:color w:val="000000"/>
        </w:rPr>
        <w:t>6</w:t>
      </w:r>
      <w:r w:rsidR="006C0652">
        <w:rPr>
          <w:color w:val="000000"/>
        </w:rPr>
        <w:t>4.</w:t>
      </w:r>
      <w:r>
        <w:rPr>
          <w:color w:val="000000"/>
        </w:rPr>
        <w:t xml:space="preserve"> Динамика ВРПм и ИОКм </w:t>
      </w:r>
      <w:r w:rsidR="00B31B8E">
        <w:rPr>
          <w:color w:val="000000"/>
        </w:rPr>
        <w:t xml:space="preserve"> и их ежегодных темпов изменения  в г.Москве</w:t>
      </w:r>
      <w:r>
        <w:rPr>
          <w:color w:val="000000"/>
        </w:rPr>
        <w:t xml:space="preserve"> в период 2006-2016 гг.</w:t>
      </w:r>
      <w:r w:rsidR="009443B3">
        <w:rPr>
          <w:color w:val="000000"/>
        </w:rPr>
        <w:t xml:space="preserve"> из Д</w:t>
      </w:r>
      <w:r w:rsidR="00241DC6">
        <w:rPr>
          <w:color w:val="000000"/>
        </w:rPr>
        <w:t>оклада</w:t>
      </w:r>
      <w:r w:rsidR="00F35E2F">
        <w:rPr>
          <w:color w:val="000000"/>
        </w:rPr>
        <w:t xml:space="preserve"> </w:t>
      </w:r>
      <w:r w:rsidR="00F35E2F" w:rsidRPr="00F35E2F">
        <w:rPr>
          <w:color w:val="000000"/>
        </w:rPr>
        <w:t>«Социально-экономическое развитие и бюджет города Москвы: факты и прогноз»</w:t>
      </w:r>
    </w:p>
    <w:p w:rsidR="00352246" w:rsidRDefault="00352246" w:rsidP="00241DC6">
      <w:pPr>
        <w:pStyle w:val="af1"/>
        <w:shd w:val="clear" w:color="auto" w:fill="FFFFFF"/>
        <w:spacing w:before="0" w:beforeAutospacing="0" w:after="0" w:afterAutospacing="0"/>
        <w:ind w:firstLine="720"/>
        <w:rPr>
          <w:color w:val="000000"/>
        </w:rPr>
      </w:pPr>
    </w:p>
    <w:p w:rsidR="009C608D" w:rsidRDefault="00241DC6" w:rsidP="006C0652">
      <w:pPr>
        <w:pStyle w:val="af1"/>
        <w:shd w:val="clear" w:color="auto" w:fill="FFFFFF"/>
        <w:spacing w:before="0" w:beforeAutospacing="0" w:after="0" w:afterAutospacing="0"/>
        <w:ind w:firstLine="720"/>
        <w:jc w:val="both"/>
        <w:rPr>
          <w:color w:val="000000"/>
        </w:rPr>
      </w:pPr>
      <w:r>
        <w:rPr>
          <w:color w:val="000000"/>
        </w:rPr>
        <w:t xml:space="preserve">Представление </w:t>
      </w:r>
      <w:r w:rsidR="0054353E">
        <w:rPr>
          <w:color w:val="000000"/>
        </w:rPr>
        <w:t xml:space="preserve">ежегодных значений </w:t>
      </w:r>
      <w:r>
        <w:rPr>
          <w:color w:val="000000"/>
        </w:rPr>
        <w:t>ВРП</w:t>
      </w:r>
      <w:r w:rsidR="009443B3">
        <w:rPr>
          <w:color w:val="000000"/>
        </w:rPr>
        <w:t>м</w:t>
      </w:r>
      <w:r>
        <w:rPr>
          <w:color w:val="000000"/>
        </w:rPr>
        <w:t xml:space="preserve"> и ИОК</w:t>
      </w:r>
      <w:r w:rsidR="009443B3">
        <w:rPr>
          <w:color w:val="000000"/>
        </w:rPr>
        <w:t>м</w:t>
      </w:r>
      <w:r w:rsidR="000519E3">
        <w:rPr>
          <w:color w:val="000000"/>
        </w:rPr>
        <w:t xml:space="preserve"> </w:t>
      </w:r>
      <w:r>
        <w:rPr>
          <w:color w:val="000000"/>
        </w:rPr>
        <w:t xml:space="preserve">в </w:t>
      </w:r>
      <w:r w:rsidRPr="005679AC">
        <w:rPr>
          <w:color w:val="000000"/>
          <w:u w:val="single"/>
        </w:rPr>
        <w:t>текущих</w:t>
      </w:r>
      <w:r>
        <w:rPr>
          <w:color w:val="000000"/>
        </w:rPr>
        <w:t xml:space="preserve"> ценах</w:t>
      </w:r>
      <w:r w:rsidR="000519E3">
        <w:rPr>
          <w:color w:val="000000"/>
        </w:rPr>
        <w:t xml:space="preserve">, да еще пересчитанные в </w:t>
      </w:r>
      <w:r w:rsidR="000519E3" w:rsidRPr="000519E3">
        <w:rPr>
          <w:color w:val="000000"/>
        </w:rPr>
        <w:t>$</w:t>
      </w:r>
      <w:r w:rsidR="000519E3">
        <w:rPr>
          <w:color w:val="000000"/>
        </w:rPr>
        <w:t xml:space="preserve"> США по</w:t>
      </w:r>
      <w:r w:rsidR="009C608D">
        <w:rPr>
          <w:color w:val="000000"/>
        </w:rPr>
        <w:t xml:space="preserve"> среднегодовому</w:t>
      </w:r>
      <w:r w:rsidR="000519E3">
        <w:rPr>
          <w:color w:val="000000"/>
        </w:rPr>
        <w:t xml:space="preserve"> курсу ЦБ РФ</w:t>
      </w:r>
      <w:r w:rsidR="0054353E">
        <w:rPr>
          <w:color w:val="000000"/>
        </w:rPr>
        <w:t xml:space="preserve"> в соответствующем году</w:t>
      </w:r>
      <w:r w:rsidR="000519E3">
        <w:rPr>
          <w:color w:val="000000"/>
        </w:rPr>
        <w:t xml:space="preserve">, </w:t>
      </w:r>
      <w:r w:rsidR="00A3132A" w:rsidRPr="0054353E">
        <w:rPr>
          <w:b/>
          <w:color w:val="000000"/>
        </w:rPr>
        <w:t xml:space="preserve">не </w:t>
      </w:r>
      <w:r w:rsidR="0034059C" w:rsidRPr="0054353E">
        <w:rPr>
          <w:b/>
          <w:color w:val="000000"/>
        </w:rPr>
        <w:t>является</w:t>
      </w:r>
      <w:r w:rsidR="0034059C">
        <w:rPr>
          <w:color w:val="000000"/>
        </w:rPr>
        <w:t xml:space="preserve"> представительным. </w:t>
      </w:r>
      <w:r w:rsidR="00A3132A">
        <w:rPr>
          <w:color w:val="000000"/>
        </w:rPr>
        <w:t xml:space="preserve">Это связано с тем, что </w:t>
      </w:r>
      <w:r w:rsidR="0054353E">
        <w:rPr>
          <w:color w:val="000000"/>
        </w:rPr>
        <w:t xml:space="preserve">эти </w:t>
      </w:r>
      <w:r w:rsidR="00A3132A">
        <w:rPr>
          <w:color w:val="000000"/>
        </w:rPr>
        <w:t xml:space="preserve">значения </w:t>
      </w:r>
      <w:r w:rsidR="0054353E">
        <w:rPr>
          <w:color w:val="000000"/>
        </w:rPr>
        <w:t>существенно зависят как от уровня инфляции в каждом году, так и от</w:t>
      </w:r>
      <w:r w:rsidR="009C608D">
        <w:rPr>
          <w:color w:val="000000"/>
        </w:rPr>
        <w:t xml:space="preserve"> среднегодового</w:t>
      </w:r>
      <w:r w:rsidR="0054353E">
        <w:rPr>
          <w:color w:val="000000"/>
        </w:rPr>
        <w:t xml:space="preserve"> курса </w:t>
      </w:r>
      <w:r w:rsidR="0054353E" w:rsidRPr="0054353E">
        <w:rPr>
          <w:color w:val="000000"/>
        </w:rPr>
        <w:t>$</w:t>
      </w:r>
      <w:r w:rsidR="0054353E">
        <w:rPr>
          <w:color w:val="000000"/>
        </w:rPr>
        <w:t xml:space="preserve"> в этом году.</w:t>
      </w:r>
      <w:r w:rsidR="00F35F41">
        <w:rPr>
          <w:color w:val="000000"/>
        </w:rPr>
        <w:t xml:space="preserve"> В результате </w:t>
      </w:r>
      <w:r w:rsidR="00643B17">
        <w:rPr>
          <w:color w:val="000000"/>
        </w:rPr>
        <w:t>искажается сопоставление между собой</w:t>
      </w:r>
      <w:r w:rsidR="009C608D">
        <w:rPr>
          <w:color w:val="000000"/>
        </w:rPr>
        <w:t xml:space="preserve">, как </w:t>
      </w:r>
      <w:r w:rsidR="00643B17">
        <w:rPr>
          <w:color w:val="000000"/>
        </w:rPr>
        <w:t>самих  ежегодных  значений ВРП</w:t>
      </w:r>
      <w:r w:rsidR="009C608D">
        <w:rPr>
          <w:color w:val="000000"/>
        </w:rPr>
        <w:t>м</w:t>
      </w:r>
      <w:r w:rsidR="00643B17">
        <w:rPr>
          <w:color w:val="000000"/>
        </w:rPr>
        <w:t xml:space="preserve"> и ИОК</w:t>
      </w:r>
      <w:r w:rsidR="009C608D">
        <w:rPr>
          <w:color w:val="000000"/>
        </w:rPr>
        <w:t>м</w:t>
      </w:r>
      <w:r w:rsidR="00731306">
        <w:rPr>
          <w:color w:val="000000"/>
        </w:rPr>
        <w:t>,</w:t>
      </w:r>
      <w:r w:rsidR="009C608D">
        <w:rPr>
          <w:color w:val="000000"/>
        </w:rPr>
        <w:t xml:space="preserve"> так</w:t>
      </w:r>
      <w:r w:rsidR="00643B17">
        <w:rPr>
          <w:color w:val="000000"/>
        </w:rPr>
        <w:t xml:space="preserve"> и</w:t>
      </w:r>
      <w:r w:rsidR="009C608D">
        <w:rPr>
          <w:color w:val="000000"/>
        </w:rPr>
        <w:t xml:space="preserve"> их</w:t>
      </w:r>
      <w:r w:rsidR="00643B17">
        <w:rPr>
          <w:color w:val="000000"/>
        </w:rPr>
        <w:t xml:space="preserve"> темпов изменения.</w:t>
      </w:r>
      <w:r w:rsidR="00897415">
        <w:rPr>
          <w:color w:val="000000"/>
        </w:rPr>
        <w:t xml:space="preserve"> </w:t>
      </w:r>
    </w:p>
    <w:p w:rsidR="0005216C" w:rsidRDefault="001574D5" w:rsidP="006C0652">
      <w:pPr>
        <w:pStyle w:val="af1"/>
        <w:shd w:val="clear" w:color="auto" w:fill="FFFFFF"/>
        <w:spacing w:before="0" w:beforeAutospacing="0" w:after="0" w:afterAutospacing="0"/>
        <w:ind w:firstLine="720"/>
        <w:jc w:val="both"/>
        <w:rPr>
          <w:color w:val="000000"/>
        </w:rPr>
      </w:pPr>
      <w:r>
        <w:rPr>
          <w:color w:val="000000"/>
        </w:rPr>
        <w:t>Например, в</w:t>
      </w:r>
      <w:r w:rsidR="000D0B3F">
        <w:rPr>
          <w:color w:val="000000"/>
        </w:rPr>
        <w:t xml:space="preserve"> 200</w:t>
      </w:r>
      <w:r w:rsidR="002E050E">
        <w:rPr>
          <w:color w:val="000000"/>
        </w:rPr>
        <w:t>7</w:t>
      </w:r>
      <w:r w:rsidR="000D0B3F">
        <w:rPr>
          <w:color w:val="000000"/>
        </w:rPr>
        <w:t xml:space="preserve"> году темп роста ВРП</w:t>
      </w:r>
      <w:r w:rsidR="009C608D">
        <w:rPr>
          <w:color w:val="000000"/>
        </w:rPr>
        <w:t>м</w:t>
      </w:r>
      <w:r w:rsidR="000D0B3F">
        <w:rPr>
          <w:color w:val="000000"/>
        </w:rPr>
        <w:t xml:space="preserve"> и ИОК</w:t>
      </w:r>
      <w:r w:rsidR="009C608D">
        <w:rPr>
          <w:color w:val="000000"/>
        </w:rPr>
        <w:t>м</w:t>
      </w:r>
      <w:r w:rsidR="000D0B3F">
        <w:rPr>
          <w:color w:val="000000"/>
        </w:rPr>
        <w:t xml:space="preserve">  равнялся соответственно  </w:t>
      </w:r>
      <w:r w:rsidR="002E050E">
        <w:rPr>
          <w:color w:val="000000"/>
        </w:rPr>
        <w:t>135,8</w:t>
      </w:r>
      <w:r w:rsidR="000D0B3F" w:rsidRPr="00224118">
        <w:rPr>
          <w:color w:val="000000"/>
        </w:rPr>
        <w:t xml:space="preserve">% и </w:t>
      </w:r>
      <w:r w:rsidR="002E050E">
        <w:rPr>
          <w:color w:val="000000"/>
        </w:rPr>
        <w:t>140,2</w:t>
      </w:r>
      <w:r w:rsidR="000D0B3F" w:rsidRPr="00224118">
        <w:rPr>
          <w:color w:val="000000"/>
        </w:rPr>
        <w:t>%</w:t>
      </w:r>
      <w:r w:rsidR="002E050E">
        <w:rPr>
          <w:color w:val="000000"/>
        </w:rPr>
        <w:t xml:space="preserve"> (см. рис. 62)</w:t>
      </w:r>
      <w:r w:rsidR="000D0B3F">
        <w:rPr>
          <w:color w:val="000000"/>
        </w:rPr>
        <w:t>. Это значит, что в 200</w:t>
      </w:r>
      <w:r w:rsidR="00C87664">
        <w:rPr>
          <w:color w:val="000000"/>
        </w:rPr>
        <w:t>7</w:t>
      </w:r>
      <w:r w:rsidR="000D0B3F">
        <w:rPr>
          <w:color w:val="000000"/>
        </w:rPr>
        <w:t xml:space="preserve"> году по сравнению с 200</w:t>
      </w:r>
      <w:r w:rsidR="002E050E">
        <w:rPr>
          <w:color w:val="000000"/>
        </w:rPr>
        <w:t>6</w:t>
      </w:r>
      <w:r w:rsidR="000D0B3F">
        <w:rPr>
          <w:color w:val="000000"/>
        </w:rPr>
        <w:t xml:space="preserve"> годом ВРПм и ИОКм</w:t>
      </w:r>
      <w:r w:rsidR="00235337">
        <w:rPr>
          <w:color w:val="000000"/>
        </w:rPr>
        <w:t xml:space="preserve"> увеличились на </w:t>
      </w:r>
      <w:r w:rsidR="002E050E">
        <w:rPr>
          <w:color w:val="000000"/>
        </w:rPr>
        <w:t>35,8</w:t>
      </w:r>
      <w:r w:rsidR="00235337">
        <w:rPr>
          <w:color w:val="000000"/>
        </w:rPr>
        <w:t xml:space="preserve">% и </w:t>
      </w:r>
      <w:r w:rsidR="002E050E">
        <w:rPr>
          <w:color w:val="000000"/>
        </w:rPr>
        <w:t>40,2</w:t>
      </w:r>
      <w:r w:rsidR="00235337">
        <w:rPr>
          <w:color w:val="000000"/>
        </w:rPr>
        <w:t xml:space="preserve">%, соответственно. </w:t>
      </w:r>
      <w:r w:rsidR="00565A67">
        <w:rPr>
          <w:color w:val="000000"/>
        </w:rPr>
        <w:t>Эти значения темпов роста искажены инфляцией</w:t>
      </w:r>
      <w:r w:rsidR="001B571C">
        <w:rPr>
          <w:color w:val="000000"/>
        </w:rPr>
        <w:t xml:space="preserve"> в Москве</w:t>
      </w:r>
      <w:r w:rsidR="00565A67">
        <w:rPr>
          <w:color w:val="000000"/>
        </w:rPr>
        <w:t xml:space="preserve"> </w:t>
      </w:r>
      <w:r w:rsidR="000D0B3F">
        <w:rPr>
          <w:color w:val="000000"/>
        </w:rPr>
        <w:t>(</w:t>
      </w:r>
      <w:r>
        <w:rPr>
          <w:color w:val="000000"/>
        </w:rPr>
        <w:t>1</w:t>
      </w:r>
      <w:r w:rsidR="00880213">
        <w:rPr>
          <w:color w:val="000000"/>
        </w:rPr>
        <w:t>7,5</w:t>
      </w:r>
      <w:r w:rsidR="000D0B3F">
        <w:rPr>
          <w:color w:val="000000"/>
        </w:rPr>
        <w:t>%</w:t>
      </w:r>
      <w:r>
        <w:rPr>
          <w:color w:val="000000"/>
        </w:rPr>
        <w:t xml:space="preserve"> в 200</w:t>
      </w:r>
      <w:r w:rsidR="002E050E">
        <w:rPr>
          <w:color w:val="000000"/>
        </w:rPr>
        <w:t>7</w:t>
      </w:r>
      <w:r>
        <w:rPr>
          <w:color w:val="000000"/>
        </w:rPr>
        <w:t>г.</w:t>
      </w:r>
      <w:r w:rsidR="006943E5">
        <w:rPr>
          <w:color w:val="000000"/>
        </w:rPr>
        <w:t xml:space="preserve"> по отношению к 200</w:t>
      </w:r>
      <w:r w:rsidR="002E050E">
        <w:rPr>
          <w:color w:val="000000"/>
        </w:rPr>
        <w:t>6</w:t>
      </w:r>
      <w:r w:rsidR="006943E5">
        <w:rPr>
          <w:color w:val="000000"/>
        </w:rPr>
        <w:t>г.</w:t>
      </w:r>
      <w:r w:rsidR="000D0B3F">
        <w:rPr>
          <w:color w:val="000000"/>
        </w:rPr>
        <w:t xml:space="preserve">) и </w:t>
      </w:r>
      <w:r w:rsidR="00BE5214">
        <w:rPr>
          <w:color w:val="000000"/>
        </w:rPr>
        <w:t>раз</w:t>
      </w:r>
      <w:r w:rsidR="006943E5">
        <w:rPr>
          <w:color w:val="000000"/>
        </w:rPr>
        <w:t>личны</w:t>
      </w:r>
      <w:r w:rsidR="00565A67">
        <w:rPr>
          <w:color w:val="000000"/>
        </w:rPr>
        <w:t>ми</w:t>
      </w:r>
      <w:r w:rsidR="006943E5">
        <w:rPr>
          <w:color w:val="000000"/>
        </w:rPr>
        <w:t xml:space="preserve"> значения</w:t>
      </w:r>
      <w:r w:rsidR="00565A67">
        <w:rPr>
          <w:color w:val="000000"/>
        </w:rPr>
        <w:t>ми</w:t>
      </w:r>
      <w:r w:rsidR="00D53877">
        <w:rPr>
          <w:color w:val="000000"/>
        </w:rPr>
        <w:t xml:space="preserve"> среднегодовы</w:t>
      </w:r>
      <w:r w:rsidR="006943E5">
        <w:rPr>
          <w:color w:val="000000"/>
        </w:rPr>
        <w:t>х</w:t>
      </w:r>
      <w:r w:rsidR="00BE5214">
        <w:rPr>
          <w:color w:val="000000"/>
        </w:rPr>
        <w:t xml:space="preserve"> </w:t>
      </w:r>
      <w:r w:rsidR="00774B65">
        <w:rPr>
          <w:color w:val="000000"/>
        </w:rPr>
        <w:t>курс</w:t>
      </w:r>
      <w:r w:rsidR="006943E5">
        <w:rPr>
          <w:color w:val="000000"/>
        </w:rPr>
        <w:t>ов</w:t>
      </w:r>
      <w:r w:rsidR="00D53877">
        <w:rPr>
          <w:color w:val="000000"/>
        </w:rPr>
        <w:t xml:space="preserve"> 1</w:t>
      </w:r>
      <w:r w:rsidR="00D53877" w:rsidRPr="00D53877">
        <w:rPr>
          <w:color w:val="000000"/>
        </w:rPr>
        <w:t>$</w:t>
      </w:r>
      <w:r w:rsidR="00D53877">
        <w:rPr>
          <w:color w:val="000000"/>
        </w:rPr>
        <w:t>ЦБ=</w:t>
      </w:r>
      <w:r w:rsidR="00FF2F6E">
        <w:rPr>
          <w:color w:val="000000"/>
        </w:rPr>
        <w:t>27,2</w:t>
      </w:r>
      <w:r w:rsidR="00D53877">
        <w:rPr>
          <w:color w:val="000000"/>
        </w:rPr>
        <w:t>руб.</w:t>
      </w:r>
      <w:r w:rsidR="001B571C">
        <w:rPr>
          <w:color w:val="000000"/>
        </w:rPr>
        <w:t xml:space="preserve"> и </w:t>
      </w:r>
      <w:r w:rsidR="00FF2F6E">
        <w:rPr>
          <w:color w:val="000000"/>
        </w:rPr>
        <w:t>25,5</w:t>
      </w:r>
      <w:r w:rsidR="00D53877">
        <w:rPr>
          <w:color w:val="000000"/>
        </w:rPr>
        <w:t>руб.</w:t>
      </w:r>
      <w:r w:rsidR="00BE5214">
        <w:rPr>
          <w:color w:val="000000"/>
        </w:rPr>
        <w:t xml:space="preserve"> в 200</w:t>
      </w:r>
      <w:r w:rsidR="002E050E">
        <w:rPr>
          <w:color w:val="000000"/>
        </w:rPr>
        <w:t>6</w:t>
      </w:r>
      <w:r w:rsidR="00D53877">
        <w:rPr>
          <w:color w:val="000000"/>
        </w:rPr>
        <w:t xml:space="preserve">г. </w:t>
      </w:r>
      <w:r w:rsidR="00BE5214">
        <w:rPr>
          <w:color w:val="000000"/>
        </w:rPr>
        <w:t>и 200</w:t>
      </w:r>
      <w:r w:rsidR="002E050E">
        <w:rPr>
          <w:color w:val="000000"/>
        </w:rPr>
        <w:t>7</w:t>
      </w:r>
      <w:r w:rsidR="00BE5214">
        <w:rPr>
          <w:color w:val="000000"/>
        </w:rPr>
        <w:t>гг.</w:t>
      </w:r>
      <w:r w:rsidR="00D53877">
        <w:rPr>
          <w:color w:val="000000"/>
        </w:rPr>
        <w:t>, соответственно</w:t>
      </w:r>
      <w:r w:rsidR="006943E5">
        <w:rPr>
          <w:color w:val="000000"/>
        </w:rPr>
        <w:t>.</w:t>
      </w:r>
      <w:r w:rsidR="00713A17" w:rsidRPr="00713A17">
        <w:rPr>
          <w:color w:val="000000"/>
        </w:rPr>
        <w:t xml:space="preserve"> </w:t>
      </w:r>
      <w:r w:rsidR="00713A17">
        <w:rPr>
          <w:color w:val="000000"/>
        </w:rPr>
        <w:t>Тогда как по данным Росстата в постоянных ценах (2006г.) темп роста ВРПм и ИОКм в 2007г. по отношению к 2006г. составил</w:t>
      </w:r>
      <w:r w:rsidR="00B9551C">
        <w:rPr>
          <w:color w:val="000000"/>
        </w:rPr>
        <w:t xml:space="preserve"> всего</w:t>
      </w:r>
      <w:r w:rsidR="00713A17">
        <w:rPr>
          <w:color w:val="000000"/>
        </w:rPr>
        <w:t xml:space="preserve"> 8,3% и 10,9%, соответственно (см. рис. </w:t>
      </w:r>
      <w:r w:rsidR="006C0652">
        <w:rPr>
          <w:color w:val="000000"/>
        </w:rPr>
        <w:t>61</w:t>
      </w:r>
      <w:r w:rsidR="00713A17">
        <w:rPr>
          <w:color w:val="000000"/>
        </w:rPr>
        <w:t xml:space="preserve">). </w:t>
      </w:r>
    </w:p>
    <w:p w:rsidR="00655767" w:rsidRPr="00897076" w:rsidRDefault="000461BF" w:rsidP="006C0652">
      <w:pPr>
        <w:pStyle w:val="af1"/>
        <w:shd w:val="clear" w:color="auto" w:fill="FFFFFF"/>
        <w:spacing w:before="0" w:beforeAutospacing="0" w:after="0" w:afterAutospacing="0"/>
        <w:ind w:firstLine="720"/>
        <w:jc w:val="both"/>
        <w:rPr>
          <w:color w:val="000000"/>
        </w:rPr>
      </w:pPr>
      <w:r>
        <w:rPr>
          <w:color w:val="000000"/>
        </w:rPr>
        <w:t>На рис.6</w:t>
      </w:r>
      <w:r w:rsidR="006C0652">
        <w:rPr>
          <w:color w:val="000000"/>
        </w:rPr>
        <w:t>5</w:t>
      </w:r>
      <w:r>
        <w:rPr>
          <w:color w:val="000000"/>
        </w:rPr>
        <w:t xml:space="preserve"> показана динамика </w:t>
      </w:r>
      <w:r w:rsidR="00814221">
        <w:rPr>
          <w:color w:val="000000"/>
        </w:rPr>
        <w:t xml:space="preserve">среднегодового </w:t>
      </w:r>
      <w:r>
        <w:rPr>
          <w:color w:val="000000"/>
        </w:rPr>
        <w:t xml:space="preserve">курса </w:t>
      </w:r>
      <w:r w:rsidRPr="000461BF">
        <w:rPr>
          <w:color w:val="000000"/>
        </w:rPr>
        <w:t>$</w:t>
      </w:r>
      <w:r>
        <w:rPr>
          <w:color w:val="000000"/>
        </w:rPr>
        <w:t xml:space="preserve"> </w:t>
      </w:r>
      <w:r w:rsidR="0066367D">
        <w:rPr>
          <w:color w:val="000000"/>
        </w:rPr>
        <w:t xml:space="preserve">по базе данных ЦБ РФ </w:t>
      </w:r>
      <w:r>
        <w:rPr>
          <w:color w:val="000000"/>
        </w:rPr>
        <w:t>в период с 2006-2012 гг.</w:t>
      </w:r>
      <w:r w:rsidR="0066367D">
        <w:rPr>
          <w:color w:val="000000"/>
        </w:rPr>
        <w:t>, на 2013</w:t>
      </w:r>
      <w:r w:rsidR="00897076">
        <w:rPr>
          <w:color w:val="000000"/>
        </w:rPr>
        <w:t xml:space="preserve"> год</w:t>
      </w:r>
      <w:r w:rsidR="00897076" w:rsidRPr="00897076">
        <w:rPr>
          <w:color w:val="000000"/>
        </w:rPr>
        <w:t xml:space="preserve"> </w:t>
      </w:r>
      <w:r w:rsidR="00897076">
        <w:rPr>
          <w:color w:val="000000"/>
        </w:rPr>
        <w:t xml:space="preserve">1 </w:t>
      </w:r>
      <w:r w:rsidR="00897076" w:rsidRPr="00323B5C">
        <w:rPr>
          <w:color w:val="000000"/>
        </w:rPr>
        <w:t>$</w:t>
      </w:r>
      <w:r w:rsidR="00897076">
        <w:rPr>
          <w:color w:val="000000"/>
        </w:rPr>
        <w:t xml:space="preserve"> ЦБ=31,</w:t>
      </w:r>
      <w:r w:rsidR="006C0652">
        <w:rPr>
          <w:color w:val="000000"/>
        </w:rPr>
        <w:t xml:space="preserve">84 руб.– </w:t>
      </w:r>
      <w:r w:rsidR="0066367D">
        <w:rPr>
          <w:color w:val="000000"/>
        </w:rPr>
        <w:t>наша оценка.</w:t>
      </w:r>
      <w:r w:rsidR="00323B5C">
        <w:rPr>
          <w:color w:val="000000"/>
        </w:rPr>
        <w:t xml:space="preserve"> </w:t>
      </w:r>
      <w:r w:rsidR="00655767">
        <w:rPr>
          <w:color w:val="000000"/>
        </w:rPr>
        <w:t>В период 2014-2016 гг. в последующем анализе принимается</w:t>
      </w:r>
      <w:r w:rsidR="00C344AF">
        <w:rPr>
          <w:color w:val="000000"/>
        </w:rPr>
        <w:t xml:space="preserve"> два варианта:</w:t>
      </w:r>
      <w:r w:rsidR="00655767">
        <w:rPr>
          <w:color w:val="000000"/>
        </w:rPr>
        <w:t xml:space="preserve"> </w:t>
      </w:r>
      <w:r w:rsidR="002E3F56">
        <w:rPr>
          <w:color w:val="000000"/>
        </w:rPr>
        <w:t xml:space="preserve">среднегодовой </w:t>
      </w:r>
      <w:r w:rsidR="00655767">
        <w:rPr>
          <w:color w:val="000000"/>
        </w:rPr>
        <w:t xml:space="preserve">курс 1 </w:t>
      </w:r>
      <w:r w:rsidR="00655767" w:rsidRPr="00897076">
        <w:rPr>
          <w:color w:val="000000"/>
        </w:rPr>
        <w:t xml:space="preserve">$ </w:t>
      </w:r>
      <w:r w:rsidR="002E3F56">
        <w:rPr>
          <w:color w:val="000000"/>
        </w:rPr>
        <w:t>ЦБ=31,84руб.,</w:t>
      </w:r>
      <w:r w:rsidR="00655767">
        <w:rPr>
          <w:color w:val="000000"/>
        </w:rPr>
        <w:t xml:space="preserve"> соответствующий 2013 году</w:t>
      </w:r>
      <w:r w:rsidR="00C344AF">
        <w:rPr>
          <w:color w:val="000000"/>
        </w:rPr>
        <w:t xml:space="preserve"> и прогноз Минэкономразвития (газета «Ведомости» от 04.12.2013г.)</w:t>
      </w:r>
      <w:r w:rsidR="00655767">
        <w:rPr>
          <w:color w:val="000000"/>
        </w:rPr>
        <w:t>.</w:t>
      </w:r>
    </w:p>
    <w:p w:rsidR="0066367D" w:rsidRDefault="0066367D" w:rsidP="00612367">
      <w:pPr>
        <w:pStyle w:val="af1"/>
        <w:shd w:val="clear" w:color="auto" w:fill="FFFFFF"/>
        <w:spacing w:before="0" w:beforeAutospacing="0" w:after="0" w:afterAutospacing="0"/>
        <w:ind w:firstLine="720"/>
        <w:rPr>
          <w:color w:val="000000"/>
        </w:rPr>
      </w:pPr>
    </w:p>
    <w:p w:rsidR="0066367D" w:rsidRDefault="007C1ADE" w:rsidP="009B6650">
      <w:pPr>
        <w:pStyle w:val="af1"/>
        <w:shd w:val="clear" w:color="auto" w:fill="FFFFFF"/>
        <w:spacing w:before="0" w:beforeAutospacing="0" w:after="0" w:afterAutospacing="0"/>
        <w:rPr>
          <w:color w:val="000000"/>
        </w:rPr>
      </w:pPr>
      <w:r>
        <w:rPr>
          <w:noProof/>
          <w:color w:val="000000"/>
        </w:rPr>
        <w:drawing>
          <wp:inline distT="0" distB="0" distL="0" distR="0">
            <wp:extent cx="5255515" cy="3422469"/>
            <wp:effectExtent l="12192" t="6531" r="9143" b="0"/>
            <wp:docPr id="176" name="Диаграмма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66367D" w:rsidRDefault="0066367D" w:rsidP="0066367D">
      <w:pPr>
        <w:pStyle w:val="af1"/>
        <w:shd w:val="clear" w:color="auto" w:fill="FFFFFF"/>
        <w:spacing w:before="0" w:beforeAutospacing="0" w:after="0" w:afterAutospacing="0"/>
        <w:ind w:firstLine="720"/>
        <w:jc w:val="center"/>
        <w:rPr>
          <w:color w:val="000000"/>
        </w:rPr>
      </w:pPr>
    </w:p>
    <w:p w:rsidR="0066367D" w:rsidRDefault="009209A4" w:rsidP="009B6650">
      <w:pPr>
        <w:pStyle w:val="af1"/>
        <w:shd w:val="clear" w:color="auto" w:fill="FFFFFF"/>
        <w:spacing w:before="0" w:beforeAutospacing="0" w:after="0" w:afterAutospacing="0"/>
        <w:ind w:firstLine="851"/>
        <w:jc w:val="both"/>
        <w:rPr>
          <w:color w:val="000000"/>
        </w:rPr>
      </w:pPr>
      <w:r>
        <w:rPr>
          <w:color w:val="000000"/>
        </w:rPr>
        <w:t>Рис.6</w:t>
      </w:r>
      <w:r w:rsidR="006C0652">
        <w:rPr>
          <w:color w:val="000000"/>
        </w:rPr>
        <w:t>5.</w:t>
      </w:r>
      <w:r w:rsidR="0066367D" w:rsidRPr="0066367D">
        <w:rPr>
          <w:color w:val="000000"/>
        </w:rPr>
        <w:t xml:space="preserve"> «Динамика </w:t>
      </w:r>
      <w:r w:rsidR="00814221">
        <w:rPr>
          <w:color w:val="000000"/>
        </w:rPr>
        <w:t xml:space="preserve">среднегодового </w:t>
      </w:r>
      <w:r w:rsidR="0066367D" w:rsidRPr="0066367D">
        <w:rPr>
          <w:color w:val="000000"/>
        </w:rPr>
        <w:t xml:space="preserve">курса </w:t>
      </w:r>
      <w:r w:rsidR="00814221" w:rsidRPr="00814221">
        <w:rPr>
          <w:color w:val="000000"/>
        </w:rPr>
        <w:t>$</w:t>
      </w:r>
      <w:r w:rsidR="00772226">
        <w:rPr>
          <w:color w:val="000000"/>
        </w:rPr>
        <w:t xml:space="preserve"> ЦБ в период 2006</w:t>
      </w:r>
      <w:r w:rsidR="00814221">
        <w:rPr>
          <w:color w:val="000000"/>
        </w:rPr>
        <w:t>-2012 гг.,</w:t>
      </w:r>
      <w:r w:rsidR="009B6650">
        <w:rPr>
          <w:color w:val="000000"/>
        </w:rPr>
        <w:t xml:space="preserve"> </w:t>
      </w:r>
      <w:r w:rsidR="00814221">
        <w:rPr>
          <w:color w:val="000000"/>
        </w:rPr>
        <w:t xml:space="preserve">2013 год </w:t>
      </w:r>
      <w:r w:rsidR="00C0223D">
        <w:rPr>
          <w:color w:val="000000"/>
        </w:rPr>
        <w:t>–</w:t>
      </w:r>
      <w:r w:rsidR="00814221">
        <w:rPr>
          <w:color w:val="000000"/>
        </w:rPr>
        <w:t xml:space="preserve"> оценка</w:t>
      </w:r>
      <w:r w:rsidR="00C0223D">
        <w:rPr>
          <w:color w:val="000000"/>
        </w:rPr>
        <w:t>,</w:t>
      </w:r>
      <w:r w:rsidR="002E3F56">
        <w:rPr>
          <w:color w:val="000000"/>
        </w:rPr>
        <w:t xml:space="preserve"> в </w:t>
      </w:r>
      <w:r w:rsidR="00C0223D">
        <w:rPr>
          <w:color w:val="000000"/>
        </w:rPr>
        <w:t>2014-2016-</w:t>
      </w:r>
      <w:r w:rsidR="002E3F56">
        <w:rPr>
          <w:color w:val="000000"/>
        </w:rPr>
        <w:t>принятый в анализе</w:t>
      </w:r>
      <w:r w:rsidR="00B85706">
        <w:rPr>
          <w:color w:val="000000"/>
        </w:rPr>
        <w:t xml:space="preserve"> </w:t>
      </w:r>
      <w:r w:rsidR="00B85706" w:rsidRPr="00B85706">
        <w:rPr>
          <w:color w:val="000000"/>
        </w:rPr>
        <w:t xml:space="preserve">1 $ </w:t>
      </w:r>
      <w:r w:rsidR="00B85706">
        <w:rPr>
          <w:color w:val="000000"/>
        </w:rPr>
        <w:t>ЦБ=31,84 руб.</w:t>
      </w:r>
      <w:r w:rsidR="00D41416">
        <w:rPr>
          <w:color w:val="000000"/>
        </w:rPr>
        <w:t>, и по прогнозу Минэкономразвития</w:t>
      </w:r>
      <w:r w:rsidR="00772226">
        <w:rPr>
          <w:color w:val="000000"/>
        </w:rPr>
        <w:t xml:space="preserve"> 04.12.2013 г.</w:t>
      </w:r>
      <w:r w:rsidR="0066367D" w:rsidRPr="0066367D">
        <w:rPr>
          <w:color w:val="000000"/>
        </w:rPr>
        <w:t>»</w:t>
      </w:r>
      <w:r w:rsidR="00C344AF">
        <w:rPr>
          <w:color w:val="000000"/>
        </w:rPr>
        <w:t>.</w:t>
      </w:r>
    </w:p>
    <w:p w:rsidR="00C0223D" w:rsidRDefault="00C0223D" w:rsidP="006C0652">
      <w:pPr>
        <w:pStyle w:val="af1"/>
        <w:shd w:val="clear" w:color="auto" w:fill="FFFFFF"/>
        <w:spacing w:before="0" w:beforeAutospacing="0" w:after="0" w:afterAutospacing="0"/>
        <w:rPr>
          <w:color w:val="000000"/>
        </w:rPr>
      </w:pPr>
    </w:p>
    <w:p w:rsidR="00A476F3" w:rsidRPr="001B6E48" w:rsidRDefault="00A476F3" w:rsidP="00D120F3">
      <w:pPr>
        <w:pStyle w:val="af1"/>
        <w:shd w:val="clear" w:color="auto" w:fill="FFFFFF"/>
        <w:spacing w:before="0" w:beforeAutospacing="0" w:after="0" w:afterAutospacing="0"/>
        <w:ind w:firstLine="720"/>
        <w:jc w:val="both"/>
        <w:rPr>
          <w:color w:val="000000"/>
        </w:rPr>
      </w:pPr>
      <w:r>
        <w:rPr>
          <w:color w:val="000000"/>
        </w:rPr>
        <w:t>Видно, что</w:t>
      </w:r>
      <w:r w:rsidR="00655767">
        <w:rPr>
          <w:color w:val="000000"/>
        </w:rPr>
        <w:t xml:space="preserve"> курс </w:t>
      </w:r>
      <w:r w:rsidR="00655767" w:rsidRPr="00655767">
        <w:rPr>
          <w:color w:val="000000"/>
        </w:rPr>
        <w:t>$</w:t>
      </w:r>
      <w:r w:rsidR="00655767">
        <w:rPr>
          <w:color w:val="000000"/>
        </w:rPr>
        <w:t xml:space="preserve"> ЦБ </w:t>
      </w:r>
      <w:r w:rsidR="00DC4674">
        <w:rPr>
          <w:color w:val="000000"/>
        </w:rPr>
        <w:t>заметно</w:t>
      </w:r>
      <w:r w:rsidR="00655767">
        <w:rPr>
          <w:color w:val="000000"/>
        </w:rPr>
        <w:t xml:space="preserve"> меняется год от года</w:t>
      </w:r>
      <w:r w:rsidR="00DC4674">
        <w:rPr>
          <w:color w:val="000000"/>
        </w:rPr>
        <w:t xml:space="preserve">, например, </w:t>
      </w:r>
      <w:r>
        <w:rPr>
          <w:color w:val="000000"/>
        </w:rPr>
        <w:t xml:space="preserve">только за один год </w:t>
      </w:r>
      <w:r w:rsidR="00F06CB4">
        <w:rPr>
          <w:color w:val="000000"/>
        </w:rPr>
        <w:t xml:space="preserve">(2008-2009) курс </w:t>
      </w:r>
      <w:r w:rsidR="00F06CB4" w:rsidRPr="00F06CB4">
        <w:rPr>
          <w:color w:val="000000"/>
        </w:rPr>
        <w:t>$</w:t>
      </w:r>
      <w:r w:rsidR="00DC4674">
        <w:rPr>
          <w:color w:val="000000"/>
        </w:rPr>
        <w:t xml:space="preserve"> ЦБ изменился на 27,3%. Это</w:t>
      </w:r>
      <w:r w:rsidR="00F06CB4">
        <w:rPr>
          <w:color w:val="000000"/>
        </w:rPr>
        <w:t xml:space="preserve"> существенно искажает </w:t>
      </w:r>
      <w:r w:rsidR="001B6E48">
        <w:rPr>
          <w:color w:val="000000"/>
        </w:rPr>
        <w:t xml:space="preserve">среднегодовые </w:t>
      </w:r>
      <w:r w:rsidR="00F06CB4">
        <w:rPr>
          <w:color w:val="000000"/>
        </w:rPr>
        <w:t>темпы</w:t>
      </w:r>
      <w:r w:rsidR="00DC4674">
        <w:rPr>
          <w:color w:val="000000"/>
        </w:rPr>
        <w:t xml:space="preserve"> изменения</w:t>
      </w:r>
      <w:r w:rsidR="00F06CB4">
        <w:rPr>
          <w:color w:val="000000"/>
        </w:rPr>
        <w:t xml:space="preserve"> ВРП</w:t>
      </w:r>
      <w:r w:rsidR="00DC4674">
        <w:rPr>
          <w:color w:val="000000"/>
        </w:rPr>
        <w:t>м</w:t>
      </w:r>
      <w:r w:rsidR="00F06CB4">
        <w:rPr>
          <w:color w:val="000000"/>
        </w:rPr>
        <w:t xml:space="preserve"> и </w:t>
      </w:r>
      <w:r w:rsidR="001B6E48">
        <w:rPr>
          <w:color w:val="000000"/>
        </w:rPr>
        <w:t>ИОК</w:t>
      </w:r>
      <w:r w:rsidR="00DC4674">
        <w:rPr>
          <w:color w:val="000000"/>
        </w:rPr>
        <w:t>м</w:t>
      </w:r>
      <w:r w:rsidR="001B6E48">
        <w:rPr>
          <w:color w:val="000000"/>
        </w:rPr>
        <w:t xml:space="preserve">, рассчитанные в </w:t>
      </w:r>
      <w:r w:rsidR="001B6E48" w:rsidRPr="001B6E48">
        <w:rPr>
          <w:color w:val="000000"/>
        </w:rPr>
        <w:t>$</w:t>
      </w:r>
      <w:r w:rsidR="001B6E48">
        <w:rPr>
          <w:color w:val="000000"/>
        </w:rPr>
        <w:t xml:space="preserve"> ЦБ РФ.</w:t>
      </w:r>
    </w:p>
    <w:p w:rsidR="00814221" w:rsidRPr="0066367D" w:rsidRDefault="001B6E48" w:rsidP="00D120F3">
      <w:pPr>
        <w:pStyle w:val="af1"/>
        <w:shd w:val="clear" w:color="auto" w:fill="FFFFFF"/>
        <w:spacing w:before="0" w:beforeAutospacing="0" w:after="0" w:afterAutospacing="0"/>
        <w:ind w:firstLine="720"/>
        <w:jc w:val="both"/>
        <w:rPr>
          <w:color w:val="000000"/>
        </w:rPr>
      </w:pPr>
      <w:r>
        <w:rPr>
          <w:color w:val="000000"/>
        </w:rPr>
        <w:t>Кроме того</w:t>
      </w:r>
      <w:r w:rsidR="00A476F3">
        <w:rPr>
          <w:color w:val="000000"/>
        </w:rPr>
        <w:t>,</w:t>
      </w:r>
      <w:r>
        <w:rPr>
          <w:color w:val="000000"/>
        </w:rPr>
        <w:t xml:space="preserve"> в самом </w:t>
      </w:r>
      <w:r w:rsidR="002E3F56">
        <w:rPr>
          <w:color w:val="000000"/>
        </w:rPr>
        <w:t>Д</w:t>
      </w:r>
      <w:r>
        <w:rPr>
          <w:color w:val="000000"/>
        </w:rPr>
        <w:t>окладе</w:t>
      </w:r>
      <w:r w:rsidR="00A476F3">
        <w:rPr>
          <w:color w:val="000000"/>
        </w:rPr>
        <w:t xml:space="preserve"> при анализе прогнозов темпов роста составляющих ВРП (промышленного производства, торговли, транспорта, строительства, сектора бизнес-услуг и т.д.), а также темпов роста  ИОК они приводится в процентах к предыдущему году в </w:t>
      </w:r>
      <w:r w:rsidR="00A476F3" w:rsidRPr="005679AC">
        <w:rPr>
          <w:color w:val="000000"/>
          <w:u w:val="single"/>
        </w:rPr>
        <w:t>постоянных</w:t>
      </w:r>
      <w:r w:rsidR="00A476F3">
        <w:rPr>
          <w:color w:val="000000"/>
        </w:rPr>
        <w:t xml:space="preserve"> ценах. </w:t>
      </w:r>
      <w:r w:rsidR="00DA0B95">
        <w:rPr>
          <w:color w:val="000000"/>
        </w:rPr>
        <w:t>А с</w:t>
      </w:r>
      <w:r w:rsidR="00A476F3">
        <w:rPr>
          <w:color w:val="000000"/>
        </w:rPr>
        <w:t xml:space="preserve">ами же составляющие ВРП и ИОК в большинстве случаев даются в млрд. рублей. </w:t>
      </w:r>
    </w:p>
    <w:p w:rsidR="00D265E4" w:rsidRDefault="006B4DAD" w:rsidP="00D120F3">
      <w:pPr>
        <w:pStyle w:val="af1"/>
        <w:shd w:val="clear" w:color="auto" w:fill="FFFFFF"/>
        <w:spacing w:before="0" w:beforeAutospacing="0" w:after="0" w:afterAutospacing="0"/>
        <w:ind w:firstLine="720"/>
        <w:jc w:val="both"/>
        <w:rPr>
          <w:color w:val="000000"/>
        </w:rPr>
      </w:pPr>
      <w:r>
        <w:rPr>
          <w:color w:val="000000"/>
        </w:rPr>
        <w:t>Обычно д</w:t>
      </w:r>
      <w:r w:rsidR="00DA0B95">
        <w:rPr>
          <w:color w:val="000000"/>
        </w:rPr>
        <w:t>ля целей</w:t>
      </w:r>
      <w:r w:rsidR="004F79DE">
        <w:rPr>
          <w:color w:val="000000"/>
        </w:rPr>
        <w:t xml:space="preserve"> сравнения принято представлять ВРП</w:t>
      </w:r>
      <w:r>
        <w:rPr>
          <w:color w:val="000000"/>
        </w:rPr>
        <w:t xml:space="preserve"> (ВВП)</w:t>
      </w:r>
      <w:r w:rsidR="004F79DE">
        <w:rPr>
          <w:color w:val="000000"/>
        </w:rPr>
        <w:t xml:space="preserve"> и ИОК в динамике по годам  в постоянных ценах, т.е. очищенных от инфляции. Соответственно, ежегодный</w:t>
      </w:r>
      <w:r>
        <w:rPr>
          <w:color w:val="000000"/>
        </w:rPr>
        <w:t xml:space="preserve"> их</w:t>
      </w:r>
      <w:r w:rsidR="004F79DE">
        <w:rPr>
          <w:color w:val="000000"/>
        </w:rPr>
        <w:t xml:space="preserve"> темп изменения дается в ценах предыдущего года, т.е. также очищен от инфляции текущего года. </w:t>
      </w:r>
      <w:r w:rsidR="005E0768">
        <w:rPr>
          <w:color w:val="000000"/>
        </w:rPr>
        <w:t>Если рассматривается определенный период времени,</w:t>
      </w:r>
      <w:r>
        <w:rPr>
          <w:color w:val="000000"/>
        </w:rPr>
        <w:t xml:space="preserve"> </w:t>
      </w:r>
      <w:r w:rsidR="005E0768">
        <w:rPr>
          <w:color w:val="000000"/>
        </w:rPr>
        <w:t xml:space="preserve">то, </w:t>
      </w:r>
      <w:r w:rsidR="004F79DE">
        <w:rPr>
          <w:color w:val="000000"/>
        </w:rPr>
        <w:t>проходя по всему временному ряду,</w:t>
      </w:r>
      <w:r w:rsidR="00713A17">
        <w:rPr>
          <w:color w:val="000000"/>
        </w:rPr>
        <w:t xml:space="preserve"> значения ВРП и ИОК легко пересчитать в ценах </w:t>
      </w:r>
      <w:r w:rsidR="004F79DE">
        <w:rPr>
          <w:color w:val="000000"/>
        </w:rPr>
        <w:t xml:space="preserve"> на первый год  периода рассмотрения.</w:t>
      </w:r>
    </w:p>
    <w:p w:rsidR="00612367" w:rsidRPr="009209A4" w:rsidRDefault="00D120F3" w:rsidP="00D120F3">
      <w:pPr>
        <w:pStyle w:val="af1"/>
        <w:shd w:val="clear" w:color="auto" w:fill="FFFFFF"/>
        <w:spacing w:before="0" w:beforeAutospacing="0" w:after="0" w:afterAutospacing="0"/>
        <w:ind w:firstLine="720"/>
        <w:jc w:val="both"/>
        <w:rPr>
          <w:color w:val="000000"/>
        </w:rPr>
      </w:pPr>
      <w:r>
        <w:rPr>
          <w:color w:val="000000"/>
        </w:rPr>
        <w:t>На рис. 66</w:t>
      </w:r>
      <w:r w:rsidR="004F79DE">
        <w:rPr>
          <w:color w:val="000000"/>
        </w:rPr>
        <w:t xml:space="preserve"> представлена динамика ВРПм и ИОКм в Москве</w:t>
      </w:r>
      <w:r w:rsidR="000B2C73">
        <w:rPr>
          <w:color w:val="000000"/>
        </w:rPr>
        <w:t xml:space="preserve"> в текущих  и постоянных ценах  в перио</w:t>
      </w:r>
      <w:r w:rsidR="00DC4674">
        <w:rPr>
          <w:color w:val="000000"/>
        </w:rPr>
        <w:t>д 2006-2012гг., 2013 год-оценка, и прогнозные значения</w:t>
      </w:r>
      <w:r w:rsidR="009209A4">
        <w:rPr>
          <w:color w:val="000000"/>
        </w:rPr>
        <w:t xml:space="preserve">, взятые из рис.62 и пересчитанные по фиксированному курсу 1 </w:t>
      </w:r>
      <w:r w:rsidR="009209A4" w:rsidRPr="009209A4">
        <w:rPr>
          <w:color w:val="000000"/>
        </w:rPr>
        <w:t>$</w:t>
      </w:r>
      <w:r w:rsidR="009209A4">
        <w:rPr>
          <w:color w:val="000000"/>
        </w:rPr>
        <w:t xml:space="preserve"> ЦБ=31,84</w:t>
      </w:r>
      <w:r w:rsidR="00772226">
        <w:rPr>
          <w:color w:val="000000"/>
        </w:rPr>
        <w:t xml:space="preserve"> и по прогнозу Минэкономразвития </w:t>
      </w:r>
      <w:r w:rsidR="009209A4">
        <w:rPr>
          <w:color w:val="000000"/>
        </w:rPr>
        <w:t>(см. рис.</w:t>
      </w:r>
      <w:r>
        <w:rPr>
          <w:color w:val="000000"/>
        </w:rPr>
        <w:t xml:space="preserve"> </w:t>
      </w:r>
      <w:r w:rsidR="009209A4">
        <w:rPr>
          <w:color w:val="000000"/>
        </w:rPr>
        <w:t>6</w:t>
      </w:r>
      <w:r>
        <w:rPr>
          <w:color w:val="000000"/>
        </w:rPr>
        <w:t>5</w:t>
      </w:r>
      <w:r w:rsidR="009209A4">
        <w:rPr>
          <w:color w:val="000000"/>
        </w:rPr>
        <w:t>).</w:t>
      </w:r>
    </w:p>
    <w:p w:rsidR="000B2C73" w:rsidRDefault="000B2C73" w:rsidP="00612367">
      <w:pPr>
        <w:pStyle w:val="af1"/>
        <w:shd w:val="clear" w:color="auto" w:fill="FFFFFF"/>
        <w:spacing w:before="0" w:beforeAutospacing="0" w:after="0" w:afterAutospacing="0"/>
        <w:ind w:firstLine="720"/>
        <w:rPr>
          <w:b/>
          <w:color w:val="000000"/>
        </w:rPr>
      </w:pPr>
    </w:p>
    <w:p w:rsidR="00612367" w:rsidRDefault="00813C91" w:rsidP="00FC7EB8">
      <w:pPr>
        <w:pStyle w:val="af1"/>
        <w:shd w:val="clear" w:color="auto" w:fill="FFFFFF"/>
        <w:spacing w:before="0" w:beforeAutospacing="0" w:after="0" w:afterAutospacing="0"/>
        <w:rPr>
          <w:b/>
          <w:color w:val="000000"/>
        </w:rPr>
      </w:pPr>
      <w:r w:rsidRPr="00813C91">
        <w:rPr>
          <w:b/>
          <w:noProof/>
          <w:color w:val="000000"/>
        </w:rPr>
        <w:drawing>
          <wp:inline distT="0" distB="0" distL="0" distR="0">
            <wp:extent cx="6105525" cy="5351235"/>
            <wp:effectExtent l="19050" t="0" r="9525" b="1815"/>
            <wp:docPr id="2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612367" w:rsidRDefault="00612367" w:rsidP="00612367">
      <w:pPr>
        <w:pStyle w:val="af1"/>
        <w:shd w:val="clear" w:color="auto" w:fill="FFFFFF"/>
        <w:spacing w:before="0" w:beforeAutospacing="0" w:after="0" w:afterAutospacing="0"/>
        <w:ind w:firstLine="720"/>
        <w:rPr>
          <w:b/>
          <w:color w:val="000000"/>
        </w:rPr>
      </w:pPr>
    </w:p>
    <w:p w:rsidR="000B2C73" w:rsidRDefault="00D777B9" w:rsidP="000B2C73">
      <w:pPr>
        <w:pStyle w:val="af1"/>
        <w:shd w:val="clear" w:color="auto" w:fill="FFFFFF"/>
        <w:spacing w:before="0" w:beforeAutospacing="0" w:after="0" w:afterAutospacing="0"/>
        <w:ind w:firstLine="720"/>
        <w:rPr>
          <w:color w:val="000000"/>
        </w:rPr>
      </w:pPr>
      <w:r>
        <w:rPr>
          <w:color w:val="000000"/>
        </w:rPr>
        <w:t>Рис.6</w:t>
      </w:r>
      <w:r w:rsidR="00D120F3">
        <w:rPr>
          <w:color w:val="000000"/>
        </w:rPr>
        <w:t>6.</w:t>
      </w:r>
      <w:r w:rsidR="000B2C73" w:rsidRPr="000B2C73">
        <w:rPr>
          <w:color w:val="000000"/>
        </w:rPr>
        <w:t xml:space="preserve"> «Динамика</w:t>
      </w:r>
      <w:r w:rsidR="000B2C73">
        <w:rPr>
          <w:color w:val="000000"/>
        </w:rPr>
        <w:t xml:space="preserve"> ВРПм и ИОКм в Москве в текущих  и постоянных ценах </w:t>
      </w:r>
      <w:r w:rsidR="00E34A3F">
        <w:rPr>
          <w:color w:val="000000"/>
        </w:rPr>
        <w:t>2006 года</w:t>
      </w:r>
      <w:r w:rsidR="000B2C73">
        <w:rPr>
          <w:color w:val="000000"/>
        </w:rPr>
        <w:t xml:space="preserve"> в период 2006-2012гг., 2013 год-оценка</w:t>
      </w:r>
      <w:r w:rsidR="0026414B">
        <w:rPr>
          <w:color w:val="000000"/>
        </w:rPr>
        <w:t xml:space="preserve">,2014-2016 гг. </w:t>
      </w:r>
      <w:r w:rsidR="00E34A3F">
        <w:rPr>
          <w:color w:val="000000"/>
        </w:rPr>
        <w:t>–</w:t>
      </w:r>
      <w:r w:rsidR="0026414B">
        <w:rPr>
          <w:color w:val="000000"/>
        </w:rPr>
        <w:t xml:space="preserve"> прогноз</w:t>
      </w:r>
      <w:r w:rsidR="00E34A3F">
        <w:rPr>
          <w:color w:val="000000"/>
        </w:rPr>
        <w:t xml:space="preserve"> по данным Доклада</w:t>
      </w:r>
      <w:r w:rsidR="00696B30">
        <w:rPr>
          <w:color w:val="000000"/>
        </w:rPr>
        <w:t xml:space="preserve"> при курсе </w:t>
      </w:r>
      <w:r w:rsidR="00696B30" w:rsidRPr="00696B30">
        <w:rPr>
          <w:color w:val="000000"/>
        </w:rPr>
        <w:t>$</w:t>
      </w:r>
      <w:r w:rsidR="00696B30">
        <w:rPr>
          <w:color w:val="000000"/>
        </w:rPr>
        <w:t xml:space="preserve"> ЦБ=31,84 руб. и по прогнозу Минэкономразвития</w:t>
      </w:r>
      <w:r w:rsidR="000B2C73">
        <w:rPr>
          <w:color w:val="000000"/>
        </w:rPr>
        <w:t>»</w:t>
      </w:r>
    </w:p>
    <w:p w:rsidR="0026414B" w:rsidRDefault="0026414B" w:rsidP="000B2C73">
      <w:pPr>
        <w:pStyle w:val="af1"/>
        <w:shd w:val="clear" w:color="auto" w:fill="FFFFFF"/>
        <w:spacing w:before="0" w:beforeAutospacing="0" w:after="0" w:afterAutospacing="0"/>
        <w:ind w:firstLine="720"/>
        <w:rPr>
          <w:color w:val="000000"/>
        </w:rPr>
      </w:pPr>
    </w:p>
    <w:p w:rsidR="00497EC9" w:rsidRDefault="00E34A3F" w:rsidP="00497EC9">
      <w:pPr>
        <w:pStyle w:val="af1"/>
        <w:shd w:val="clear" w:color="auto" w:fill="FFFFFF"/>
        <w:spacing w:before="0" w:beforeAutospacing="0" w:after="0" w:afterAutospacing="0"/>
        <w:ind w:firstLine="720"/>
        <w:rPr>
          <w:color w:val="000000"/>
        </w:rPr>
      </w:pPr>
      <w:r>
        <w:rPr>
          <w:color w:val="000000"/>
        </w:rPr>
        <w:t>Видно, что в 2012 году</w:t>
      </w:r>
      <w:r w:rsidR="00497EC9" w:rsidRPr="00497EC9">
        <w:rPr>
          <w:color w:val="000000"/>
        </w:rPr>
        <w:t xml:space="preserve"> </w:t>
      </w:r>
      <w:r w:rsidR="00497EC9">
        <w:rPr>
          <w:color w:val="000000"/>
        </w:rPr>
        <w:t>объем ВРПм=5688,5 млрд. руб. в постоянных ценах 2006г., а в текущих ВРПм=</w:t>
      </w:r>
      <w:r>
        <w:rPr>
          <w:color w:val="000000"/>
        </w:rPr>
        <w:t>11095,1</w:t>
      </w:r>
      <w:r w:rsidR="00564DCB">
        <w:rPr>
          <w:color w:val="000000"/>
        </w:rPr>
        <w:t xml:space="preserve"> млрд.руб</w:t>
      </w:r>
      <w:r w:rsidR="00497EC9">
        <w:rPr>
          <w:color w:val="000000"/>
        </w:rPr>
        <w:t xml:space="preserve">. или почти в </w:t>
      </w:r>
      <w:r w:rsidR="00D47244">
        <w:rPr>
          <w:color w:val="000000"/>
        </w:rPr>
        <w:t>2</w:t>
      </w:r>
      <w:r w:rsidR="00497EC9">
        <w:rPr>
          <w:color w:val="000000"/>
        </w:rPr>
        <w:t xml:space="preserve"> раза больше</w:t>
      </w:r>
      <w:r w:rsidR="00D47244">
        <w:rPr>
          <w:color w:val="000000"/>
        </w:rPr>
        <w:t xml:space="preserve"> в числовом выражении</w:t>
      </w:r>
      <w:r w:rsidR="005C5C29">
        <w:rPr>
          <w:color w:val="000000"/>
        </w:rPr>
        <w:t>.</w:t>
      </w:r>
      <w:r w:rsidR="004D03EE">
        <w:rPr>
          <w:color w:val="000000"/>
        </w:rPr>
        <w:t xml:space="preserve"> При</w:t>
      </w:r>
      <w:r w:rsidR="00D120F3">
        <w:rPr>
          <w:color w:val="000000"/>
        </w:rPr>
        <w:t xml:space="preserve"> этом</w:t>
      </w:r>
      <w:r w:rsidR="001E2F1C">
        <w:rPr>
          <w:color w:val="000000"/>
        </w:rPr>
        <w:t xml:space="preserve"> при</w:t>
      </w:r>
      <w:r w:rsidR="004D03EE">
        <w:rPr>
          <w:color w:val="000000"/>
        </w:rPr>
        <w:t xml:space="preserve"> </w:t>
      </w:r>
      <w:r w:rsidR="00B91B7B">
        <w:rPr>
          <w:color w:val="000000"/>
        </w:rPr>
        <w:t xml:space="preserve">заданных темпах роста, </w:t>
      </w:r>
      <w:r w:rsidR="00D24B0C">
        <w:rPr>
          <w:color w:val="000000"/>
        </w:rPr>
        <w:t>ВРПм</w:t>
      </w:r>
      <w:r w:rsidR="00D64EDD">
        <w:rPr>
          <w:color w:val="000000"/>
        </w:rPr>
        <w:t xml:space="preserve"> в постоянных ценах (см. ниже), он</w:t>
      </w:r>
      <w:r w:rsidR="00E000D2">
        <w:rPr>
          <w:color w:val="000000"/>
        </w:rPr>
        <w:t xml:space="preserve"> превысит</w:t>
      </w:r>
      <w:r w:rsidR="00D24B0C">
        <w:rPr>
          <w:color w:val="000000"/>
        </w:rPr>
        <w:t xml:space="preserve"> докризисн</w:t>
      </w:r>
      <w:r w:rsidR="00E000D2">
        <w:rPr>
          <w:color w:val="000000"/>
        </w:rPr>
        <w:t>ый уровень (6135,4 млрд. руб. в 2008г.)</w:t>
      </w:r>
      <w:r w:rsidR="001E2F1C">
        <w:rPr>
          <w:color w:val="000000"/>
        </w:rPr>
        <w:t xml:space="preserve">  только в 2014 году</w:t>
      </w:r>
      <w:r w:rsidR="00D24B0C">
        <w:rPr>
          <w:color w:val="000000"/>
        </w:rPr>
        <w:t>.</w:t>
      </w:r>
      <w:r w:rsidR="005A3B0A">
        <w:rPr>
          <w:color w:val="000000"/>
        </w:rPr>
        <w:t xml:space="preserve"> </w:t>
      </w:r>
      <w:r w:rsidR="00E000D2">
        <w:rPr>
          <w:color w:val="000000"/>
        </w:rPr>
        <w:t>В текущих ценах э</w:t>
      </w:r>
      <w:r w:rsidR="005A3B0A">
        <w:rPr>
          <w:color w:val="000000"/>
        </w:rPr>
        <w:t>то значение будет равно 12720,1 млрд.руб.</w:t>
      </w:r>
    </w:p>
    <w:p w:rsidR="007C776A" w:rsidRDefault="007C776A" w:rsidP="0069674F">
      <w:pPr>
        <w:pStyle w:val="af1"/>
        <w:shd w:val="clear" w:color="auto" w:fill="FFFFFF"/>
        <w:spacing w:before="0" w:beforeAutospacing="0" w:after="0" w:afterAutospacing="0"/>
        <w:ind w:firstLine="720"/>
        <w:rPr>
          <w:color w:val="000000"/>
        </w:rPr>
      </w:pPr>
      <w:r>
        <w:rPr>
          <w:color w:val="000000"/>
        </w:rPr>
        <w:t>На рис. 6</w:t>
      </w:r>
      <w:r w:rsidR="00D120F3">
        <w:rPr>
          <w:color w:val="000000"/>
        </w:rPr>
        <w:t>7</w:t>
      </w:r>
      <w:r>
        <w:rPr>
          <w:color w:val="000000"/>
        </w:rPr>
        <w:t xml:space="preserve"> в большем масштабе показана динамика ИОКм в текущих и постоянных ценах 2006г. в период 2006-2012гг., 2013г. – оценка и в 2014-2016гг. – прогноз, принятый в Докладе. </w:t>
      </w:r>
      <w:r w:rsidR="0069674F">
        <w:rPr>
          <w:color w:val="000000"/>
        </w:rPr>
        <w:t xml:space="preserve">А именно: 6% рост, 6,2% рост и 7% рост, соответственно, в 2014, 2015 и 2016гг. </w:t>
      </w:r>
    </w:p>
    <w:p w:rsidR="0026414B" w:rsidRPr="005C5C29" w:rsidRDefault="004D03EE" w:rsidP="00497EC9">
      <w:pPr>
        <w:pStyle w:val="af1"/>
        <w:shd w:val="clear" w:color="auto" w:fill="FFFFFF"/>
        <w:spacing w:before="0" w:beforeAutospacing="0" w:after="0" w:afterAutospacing="0"/>
        <w:ind w:firstLine="720"/>
        <w:rPr>
          <w:color w:val="000000"/>
        </w:rPr>
      </w:pPr>
      <w:r>
        <w:rPr>
          <w:color w:val="000000"/>
        </w:rPr>
        <w:br/>
      </w:r>
      <w:r w:rsidR="005122DE" w:rsidRPr="005122DE">
        <w:rPr>
          <w:noProof/>
          <w:color w:val="000000"/>
        </w:rPr>
        <w:drawing>
          <wp:inline distT="0" distB="0" distL="0" distR="0">
            <wp:extent cx="6105525" cy="3364372"/>
            <wp:effectExtent l="19050" t="0" r="9525" b="7478"/>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612367" w:rsidRDefault="00612367" w:rsidP="00612367">
      <w:pPr>
        <w:pStyle w:val="af1"/>
        <w:shd w:val="clear" w:color="auto" w:fill="FFFFFF"/>
        <w:spacing w:before="0" w:beforeAutospacing="0" w:after="0" w:afterAutospacing="0"/>
        <w:ind w:firstLine="720"/>
        <w:rPr>
          <w:b/>
          <w:color w:val="000000"/>
        </w:rPr>
      </w:pPr>
    </w:p>
    <w:p w:rsidR="00352246" w:rsidRDefault="00D0269D" w:rsidP="002A55F7">
      <w:pPr>
        <w:pStyle w:val="af1"/>
        <w:shd w:val="clear" w:color="auto" w:fill="FFFFFF"/>
        <w:spacing w:before="0" w:beforeAutospacing="0" w:after="0" w:afterAutospacing="0"/>
        <w:ind w:firstLine="720"/>
        <w:jc w:val="both"/>
        <w:rPr>
          <w:color w:val="000000"/>
        </w:rPr>
      </w:pPr>
      <w:r w:rsidRPr="00D0269D">
        <w:rPr>
          <w:color w:val="000000"/>
        </w:rPr>
        <w:t>Рис.</w:t>
      </w:r>
      <w:r w:rsidR="00D120F3">
        <w:rPr>
          <w:color w:val="000000"/>
        </w:rPr>
        <w:t xml:space="preserve"> </w:t>
      </w:r>
      <w:r w:rsidRPr="00D0269D">
        <w:rPr>
          <w:color w:val="000000"/>
        </w:rPr>
        <w:t>6</w:t>
      </w:r>
      <w:r w:rsidR="00D120F3">
        <w:rPr>
          <w:color w:val="000000"/>
        </w:rPr>
        <w:t xml:space="preserve">7. </w:t>
      </w:r>
      <w:r w:rsidRPr="00D0269D">
        <w:rPr>
          <w:color w:val="000000"/>
        </w:rPr>
        <w:t>Динамика ИОКм в текущих и постоянных ценах 2006 г</w:t>
      </w:r>
      <w:r w:rsidR="002A55F7">
        <w:rPr>
          <w:color w:val="000000"/>
        </w:rPr>
        <w:t>. в период 2006-2012гг.,</w:t>
      </w:r>
      <w:r w:rsidR="006B2C66">
        <w:rPr>
          <w:color w:val="000000"/>
        </w:rPr>
        <w:t xml:space="preserve"> </w:t>
      </w:r>
      <w:r w:rsidR="002A55F7">
        <w:rPr>
          <w:color w:val="000000"/>
        </w:rPr>
        <w:t xml:space="preserve">2013г. – оценка, 2014-2016гг. – </w:t>
      </w:r>
      <w:r>
        <w:rPr>
          <w:color w:val="000000"/>
        </w:rPr>
        <w:t>прогноз</w:t>
      </w:r>
      <w:r w:rsidR="00AB3364">
        <w:rPr>
          <w:color w:val="000000"/>
        </w:rPr>
        <w:t xml:space="preserve"> по Докладу</w:t>
      </w:r>
      <w:r w:rsidR="00B85706">
        <w:rPr>
          <w:color w:val="000000"/>
        </w:rPr>
        <w:t xml:space="preserve"> при курсе </w:t>
      </w:r>
      <w:r w:rsidR="00B85706" w:rsidRPr="00696B30">
        <w:rPr>
          <w:color w:val="000000"/>
        </w:rPr>
        <w:t>$</w:t>
      </w:r>
      <w:r w:rsidR="00B85706">
        <w:rPr>
          <w:color w:val="000000"/>
        </w:rPr>
        <w:t xml:space="preserve"> ЦБ=31,84 руб. и по прогнозу Минэкономразвития</w:t>
      </w:r>
      <w:r w:rsidR="00696B30">
        <w:rPr>
          <w:color w:val="000000"/>
        </w:rPr>
        <w:t>,</w:t>
      </w:r>
    </w:p>
    <w:p w:rsidR="00A67132" w:rsidRDefault="00A67132" w:rsidP="00D22716">
      <w:pPr>
        <w:pStyle w:val="af1"/>
        <w:shd w:val="clear" w:color="auto" w:fill="FFFFFF"/>
        <w:spacing w:before="0" w:beforeAutospacing="0" w:after="0" w:afterAutospacing="0"/>
        <w:ind w:firstLine="720"/>
        <w:jc w:val="both"/>
        <w:rPr>
          <w:color w:val="000000"/>
        </w:rPr>
      </w:pPr>
    </w:p>
    <w:p w:rsidR="00D22716" w:rsidRDefault="004D2FAD" w:rsidP="00D22716">
      <w:pPr>
        <w:pStyle w:val="af1"/>
        <w:shd w:val="clear" w:color="auto" w:fill="FFFFFF"/>
        <w:spacing w:before="0" w:beforeAutospacing="0" w:after="0" w:afterAutospacing="0"/>
        <w:ind w:firstLine="720"/>
        <w:jc w:val="both"/>
        <w:rPr>
          <w:color w:val="000000"/>
        </w:rPr>
      </w:pPr>
      <w:r>
        <w:rPr>
          <w:color w:val="000000"/>
        </w:rPr>
        <w:t>В 2009 и в 2010 годах значения ИОК</w:t>
      </w:r>
      <w:r w:rsidR="00A67132">
        <w:rPr>
          <w:color w:val="000000"/>
        </w:rPr>
        <w:t>м</w:t>
      </w:r>
      <w:r>
        <w:rPr>
          <w:color w:val="000000"/>
        </w:rPr>
        <w:t xml:space="preserve"> и в постоянных ценах и в текущих ценах </w:t>
      </w:r>
      <w:r w:rsidR="00A67132" w:rsidRPr="003B42F6">
        <w:rPr>
          <w:b/>
          <w:color w:val="000000"/>
        </w:rPr>
        <w:t>падало</w:t>
      </w:r>
      <w:r w:rsidR="00A67132">
        <w:rPr>
          <w:color w:val="000000"/>
        </w:rPr>
        <w:t>.</w:t>
      </w:r>
      <w:r>
        <w:rPr>
          <w:color w:val="000000"/>
        </w:rPr>
        <w:t xml:space="preserve"> </w:t>
      </w:r>
      <w:r w:rsidR="00A67132">
        <w:rPr>
          <w:color w:val="000000"/>
        </w:rPr>
        <w:t xml:space="preserve"> П</w:t>
      </w:r>
      <w:r>
        <w:rPr>
          <w:color w:val="000000"/>
        </w:rPr>
        <w:t>оэтому</w:t>
      </w:r>
      <w:r w:rsidR="00A67132">
        <w:rPr>
          <w:color w:val="000000"/>
        </w:rPr>
        <w:t xml:space="preserve"> при определении среднегодового значения Кврп</w:t>
      </w:r>
      <w:r w:rsidR="00937687">
        <w:rPr>
          <w:color w:val="000000"/>
        </w:rPr>
        <w:t>м</w:t>
      </w:r>
      <w:r w:rsidR="00A67132">
        <w:rPr>
          <w:color w:val="000000"/>
        </w:rPr>
        <w:t xml:space="preserve"> в стадии </w:t>
      </w:r>
      <w:r w:rsidR="00A67132" w:rsidRPr="00A67132">
        <w:rPr>
          <w:b/>
          <w:color w:val="000000"/>
        </w:rPr>
        <w:t>роста</w:t>
      </w:r>
      <w:r w:rsidR="00A67132">
        <w:rPr>
          <w:color w:val="000000"/>
        </w:rPr>
        <w:t xml:space="preserve"> ИОКм эти года не будут рассматриваться.</w:t>
      </w:r>
      <w:r>
        <w:rPr>
          <w:color w:val="000000"/>
        </w:rPr>
        <w:t xml:space="preserve"> </w:t>
      </w:r>
    </w:p>
    <w:p w:rsidR="00D47244" w:rsidRDefault="00D22716" w:rsidP="00D22716">
      <w:pPr>
        <w:pStyle w:val="af1"/>
        <w:shd w:val="clear" w:color="auto" w:fill="FFFFFF"/>
        <w:spacing w:before="0" w:beforeAutospacing="0" w:after="0" w:afterAutospacing="0"/>
        <w:ind w:firstLine="720"/>
        <w:jc w:val="both"/>
        <w:rPr>
          <w:color w:val="000000"/>
        </w:rPr>
      </w:pPr>
      <w:r>
        <w:rPr>
          <w:color w:val="000000"/>
        </w:rPr>
        <w:t>В 2012г. объем ИОКм=</w:t>
      </w:r>
      <w:r w:rsidR="00707C78">
        <w:rPr>
          <w:color w:val="000000"/>
        </w:rPr>
        <w:t xml:space="preserve">553,4 млрд. руб. в постоянных ценах </w:t>
      </w:r>
      <w:r w:rsidR="00AA0A03">
        <w:rPr>
          <w:color w:val="000000"/>
        </w:rPr>
        <w:t xml:space="preserve">2006г. </w:t>
      </w:r>
      <w:r w:rsidR="00707C78">
        <w:rPr>
          <w:color w:val="000000"/>
        </w:rPr>
        <w:t xml:space="preserve">и 1005,4 млрд. руб. </w:t>
      </w:r>
      <w:r>
        <w:rPr>
          <w:color w:val="000000"/>
        </w:rPr>
        <w:t xml:space="preserve"> в текущих ценах</w:t>
      </w:r>
      <w:r w:rsidR="00AA0A03">
        <w:rPr>
          <w:color w:val="000000"/>
        </w:rPr>
        <w:t xml:space="preserve"> или почти в </w:t>
      </w:r>
      <w:r w:rsidR="00D47244">
        <w:rPr>
          <w:color w:val="000000"/>
        </w:rPr>
        <w:t>2</w:t>
      </w:r>
      <w:r w:rsidR="00AA0A03">
        <w:rPr>
          <w:color w:val="000000"/>
        </w:rPr>
        <w:t xml:space="preserve"> раза больше</w:t>
      </w:r>
      <w:r w:rsidR="00D47244">
        <w:rPr>
          <w:color w:val="000000"/>
        </w:rPr>
        <w:t xml:space="preserve"> в числовом выражении</w:t>
      </w:r>
      <w:r>
        <w:rPr>
          <w:color w:val="000000"/>
        </w:rPr>
        <w:t xml:space="preserve">. </w:t>
      </w:r>
      <w:r w:rsidR="00AA0A03">
        <w:rPr>
          <w:color w:val="000000"/>
        </w:rPr>
        <w:t>Видно</w:t>
      </w:r>
      <w:r>
        <w:rPr>
          <w:color w:val="000000"/>
        </w:rPr>
        <w:t xml:space="preserve">, что объем ИОКм </w:t>
      </w:r>
      <w:r w:rsidR="00633064">
        <w:rPr>
          <w:color w:val="000000"/>
        </w:rPr>
        <w:t xml:space="preserve">достигнет </w:t>
      </w:r>
      <w:r>
        <w:rPr>
          <w:color w:val="000000"/>
        </w:rPr>
        <w:t>докризисно</w:t>
      </w:r>
      <w:r w:rsidR="00633064">
        <w:rPr>
          <w:color w:val="000000"/>
        </w:rPr>
        <w:t>го</w:t>
      </w:r>
      <w:r w:rsidR="00E000D2">
        <w:rPr>
          <w:color w:val="000000"/>
        </w:rPr>
        <w:t xml:space="preserve"> </w:t>
      </w:r>
      <w:r w:rsidR="00633064">
        <w:rPr>
          <w:color w:val="000000"/>
        </w:rPr>
        <w:t>уровня</w:t>
      </w:r>
      <w:r w:rsidR="00E000D2">
        <w:rPr>
          <w:color w:val="000000"/>
        </w:rPr>
        <w:t xml:space="preserve"> (670,9 млрд. руб. в 2008г.)</w:t>
      </w:r>
      <w:r>
        <w:rPr>
          <w:color w:val="000000"/>
        </w:rPr>
        <w:t xml:space="preserve">  только в 2015 году.</w:t>
      </w:r>
      <w:r w:rsidR="00E000D2">
        <w:rPr>
          <w:color w:val="000000"/>
        </w:rPr>
        <w:t xml:space="preserve"> В текущих ценах это значение будет равно </w:t>
      </w:r>
      <w:r w:rsidR="00633064">
        <w:rPr>
          <w:color w:val="000000"/>
        </w:rPr>
        <w:t>1258,0</w:t>
      </w:r>
      <w:r w:rsidR="00937687">
        <w:rPr>
          <w:color w:val="000000"/>
        </w:rPr>
        <w:t xml:space="preserve"> (1451,2)</w:t>
      </w:r>
      <w:r w:rsidR="00E000D2">
        <w:rPr>
          <w:color w:val="000000"/>
        </w:rPr>
        <w:t xml:space="preserve"> млрд. руб. </w:t>
      </w:r>
    </w:p>
    <w:p w:rsidR="00AB3364" w:rsidRDefault="00144E28" w:rsidP="00D22716">
      <w:pPr>
        <w:pStyle w:val="af1"/>
        <w:shd w:val="clear" w:color="auto" w:fill="FFFFFF"/>
        <w:spacing w:before="0" w:beforeAutospacing="0" w:after="0" w:afterAutospacing="0"/>
        <w:ind w:firstLine="720"/>
        <w:jc w:val="both"/>
        <w:rPr>
          <w:color w:val="000000"/>
        </w:rPr>
      </w:pPr>
      <w:r>
        <w:rPr>
          <w:color w:val="000000"/>
        </w:rPr>
        <w:t>Интересно сопоставить ежегодные коэффициенты эластичности ВРПм к ИОКм в постоянных ценах</w:t>
      </w:r>
      <w:r w:rsidR="002774A3">
        <w:rPr>
          <w:color w:val="000000"/>
        </w:rPr>
        <w:t xml:space="preserve"> </w:t>
      </w:r>
      <w:r w:rsidR="003B42F6">
        <w:rPr>
          <w:color w:val="000000"/>
        </w:rPr>
        <w:t>(Росстат,</w:t>
      </w:r>
      <w:r w:rsidR="002774A3">
        <w:rPr>
          <w:color w:val="000000"/>
        </w:rPr>
        <w:t xml:space="preserve"> </w:t>
      </w:r>
      <w:r w:rsidR="003B42F6">
        <w:rPr>
          <w:color w:val="000000"/>
        </w:rPr>
        <w:t>2013 год)</w:t>
      </w:r>
      <w:r>
        <w:rPr>
          <w:color w:val="000000"/>
        </w:rPr>
        <w:t xml:space="preserve"> и в текущих ценах в </w:t>
      </w:r>
      <w:r w:rsidRPr="00144E28">
        <w:rPr>
          <w:color w:val="000000"/>
        </w:rPr>
        <w:t xml:space="preserve">$ </w:t>
      </w:r>
      <w:r>
        <w:rPr>
          <w:color w:val="000000"/>
        </w:rPr>
        <w:t>ЦБ</w:t>
      </w:r>
      <w:r w:rsidR="00D00020">
        <w:rPr>
          <w:color w:val="000000"/>
        </w:rPr>
        <w:t xml:space="preserve"> (</w:t>
      </w:r>
      <w:r w:rsidR="00664735">
        <w:rPr>
          <w:color w:val="000000"/>
        </w:rPr>
        <w:t xml:space="preserve">по данным </w:t>
      </w:r>
      <w:r w:rsidR="00D00020">
        <w:rPr>
          <w:color w:val="000000"/>
        </w:rPr>
        <w:t>Доклад</w:t>
      </w:r>
      <w:r w:rsidR="00664735">
        <w:rPr>
          <w:color w:val="000000"/>
        </w:rPr>
        <w:t>а – рис. 6</w:t>
      </w:r>
      <w:r w:rsidR="002774A3">
        <w:rPr>
          <w:color w:val="000000"/>
        </w:rPr>
        <w:t>3</w:t>
      </w:r>
      <w:r w:rsidR="00D00020">
        <w:rPr>
          <w:color w:val="000000"/>
        </w:rPr>
        <w:t>) –</w:t>
      </w:r>
      <w:r w:rsidR="00664735">
        <w:rPr>
          <w:color w:val="000000"/>
        </w:rPr>
        <w:t xml:space="preserve"> см.</w:t>
      </w:r>
      <w:r w:rsidR="00D00020">
        <w:rPr>
          <w:color w:val="000000"/>
        </w:rPr>
        <w:t xml:space="preserve"> рис. </w:t>
      </w:r>
      <w:r w:rsidR="00184B17">
        <w:rPr>
          <w:color w:val="000000"/>
        </w:rPr>
        <w:t>6</w:t>
      </w:r>
      <w:r w:rsidR="002774A3">
        <w:rPr>
          <w:color w:val="000000"/>
        </w:rPr>
        <w:t>8</w:t>
      </w:r>
      <w:r w:rsidR="00184B17">
        <w:rPr>
          <w:color w:val="000000"/>
        </w:rPr>
        <w:t>.</w:t>
      </w:r>
    </w:p>
    <w:p w:rsidR="00482CDC" w:rsidRDefault="00482CDC" w:rsidP="00482CDC">
      <w:pPr>
        <w:pStyle w:val="af1"/>
        <w:shd w:val="clear" w:color="auto" w:fill="FFFFFF"/>
        <w:spacing w:before="0" w:beforeAutospacing="0" w:after="0" w:afterAutospacing="0"/>
        <w:ind w:firstLine="720"/>
        <w:rPr>
          <w:color w:val="000000"/>
        </w:rPr>
      </w:pPr>
    </w:p>
    <w:p w:rsidR="00482CDC" w:rsidRDefault="00482CDC" w:rsidP="00482CDC">
      <w:pPr>
        <w:pStyle w:val="af1"/>
        <w:shd w:val="clear" w:color="auto" w:fill="FFFFFF"/>
        <w:spacing w:before="0" w:beforeAutospacing="0" w:after="0" w:afterAutospacing="0"/>
        <w:ind w:firstLine="720"/>
        <w:rPr>
          <w:color w:val="000000"/>
        </w:rPr>
      </w:pPr>
    </w:p>
    <w:p w:rsidR="00482CDC" w:rsidRDefault="00061885" w:rsidP="00482CDC">
      <w:pPr>
        <w:pStyle w:val="af1"/>
        <w:shd w:val="clear" w:color="auto" w:fill="FFFFFF"/>
        <w:spacing w:before="0" w:beforeAutospacing="0" w:after="0" w:afterAutospacing="0"/>
        <w:rPr>
          <w:noProof/>
          <w:color w:val="000000"/>
        </w:rPr>
      </w:pPr>
      <w:r w:rsidRPr="00061885">
        <w:rPr>
          <w:noProof/>
          <w:color w:val="000000"/>
        </w:rPr>
        <w:drawing>
          <wp:inline distT="0" distB="0" distL="0" distR="0">
            <wp:extent cx="5353050" cy="3190875"/>
            <wp:effectExtent l="19050" t="0" r="19050" b="0"/>
            <wp:docPr id="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482CDC" w:rsidRDefault="00482CDC" w:rsidP="00482CDC">
      <w:pPr>
        <w:pStyle w:val="af1"/>
        <w:shd w:val="clear" w:color="auto" w:fill="FFFFFF"/>
        <w:spacing w:before="0" w:beforeAutospacing="0" w:after="0" w:afterAutospacing="0"/>
        <w:rPr>
          <w:noProof/>
          <w:color w:val="000000"/>
        </w:rPr>
      </w:pPr>
    </w:p>
    <w:p w:rsidR="00482CDC" w:rsidRDefault="00482CDC" w:rsidP="00664735">
      <w:pPr>
        <w:pStyle w:val="af1"/>
        <w:shd w:val="clear" w:color="auto" w:fill="FFFFFF"/>
        <w:spacing w:before="0" w:beforeAutospacing="0" w:after="0" w:afterAutospacing="0"/>
        <w:ind w:firstLine="851"/>
        <w:jc w:val="both"/>
        <w:rPr>
          <w:noProof/>
          <w:color w:val="000000"/>
        </w:rPr>
      </w:pPr>
      <w:r>
        <w:rPr>
          <w:noProof/>
          <w:color w:val="000000"/>
        </w:rPr>
        <w:t>Рис.6</w:t>
      </w:r>
      <w:r w:rsidR="002774A3">
        <w:rPr>
          <w:noProof/>
          <w:color w:val="000000"/>
        </w:rPr>
        <w:t>8.</w:t>
      </w:r>
      <w:r w:rsidRPr="0034642B">
        <w:rPr>
          <w:color w:val="000000"/>
        </w:rPr>
        <w:t xml:space="preserve"> </w:t>
      </w:r>
      <w:r>
        <w:rPr>
          <w:color w:val="000000"/>
        </w:rPr>
        <w:t>Ежегодные</w:t>
      </w:r>
      <w:r>
        <w:rPr>
          <w:noProof/>
          <w:color w:val="000000"/>
        </w:rPr>
        <w:t xml:space="preserve"> коэффициенты эластичности ВРП</w:t>
      </w:r>
      <w:r w:rsidR="00664735">
        <w:rPr>
          <w:noProof/>
          <w:color w:val="000000"/>
        </w:rPr>
        <w:t>м</w:t>
      </w:r>
      <w:r>
        <w:rPr>
          <w:noProof/>
          <w:color w:val="000000"/>
        </w:rPr>
        <w:t xml:space="preserve"> к ИОК</w:t>
      </w:r>
      <w:r w:rsidR="00664735">
        <w:rPr>
          <w:noProof/>
          <w:color w:val="000000"/>
        </w:rPr>
        <w:t>м</w:t>
      </w:r>
      <w:r w:rsidR="00E174D6">
        <w:rPr>
          <w:noProof/>
          <w:color w:val="000000"/>
        </w:rPr>
        <w:t xml:space="preserve"> в постоянных</w:t>
      </w:r>
      <w:r w:rsidR="007806F9">
        <w:rPr>
          <w:noProof/>
          <w:color w:val="000000"/>
        </w:rPr>
        <w:t xml:space="preserve"> ценах с уче</w:t>
      </w:r>
      <w:r w:rsidR="00122746">
        <w:rPr>
          <w:noProof/>
          <w:color w:val="000000"/>
        </w:rPr>
        <w:t>том локального осреднения в 2006-</w:t>
      </w:r>
      <w:r w:rsidR="007806F9">
        <w:rPr>
          <w:noProof/>
          <w:color w:val="000000"/>
        </w:rPr>
        <w:t>2008 гг.</w:t>
      </w:r>
      <w:r w:rsidR="00E174D6">
        <w:rPr>
          <w:noProof/>
          <w:color w:val="000000"/>
        </w:rPr>
        <w:t xml:space="preserve"> и текущих ценах</w:t>
      </w:r>
      <w:r w:rsidR="00664735">
        <w:rPr>
          <w:noProof/>
          <w:color w:val="000000"/>
        </w:rPr>
        <w:t xml:space="preserve"> </w:t>
      </w:r>
      <w:r w:rsidR="00E174D6">
        <w:rPr>
          <w:noProof/>
          <w:color w:val="000000"/>
        </w:rPr>
        <w:t xml:space="preserve">в </w:t>
      </w:r>
      <w:r w:rsidR="00E174D6" w:rsidRPr="00E174D6">
        <w:rPr>
          <w:noProof/>
          <w:color w:val="000000"/>
        </w:rPr>
        <w:t xml:space="preserve">$ </w:t>
      </w:r>
      <w:r w:rsidR="00E174D6">
        <w:rPr>
          <w:noProof/>
          <w:color w:val="000000"/>
        </w:rPr>
        <w:t xml:space="preserve">ЦБ </w:t>
      </w:r>
      <w:r w:rsidR="00664735">
        <w:rPr>
          <w:noProof/>
          <w:color w:val="000000"/>
        </w:rPr>
        <w:t>в период 200</w:t>
      </w:r>
      <w:r w:rsidR="00E174D6">
        <w:rPr>
          <w:noProof/>
          <w:color w:val="000000"/>
        </w:rPr>
        <w:t>2</w:t>
      </w:r>
      <w:r w:rsidR="00664735">
        <w:rPr>
          <w:noProof/>
          <w:color w:val="000000"/>
        </w:rPr>
        <w:t>-2013</w:t>
      </w:r>
      <w:r>
        <w:rPr>
          <w:noProof/>
          <w:color w:val="000000"/>
        </w:rPr>
        <w:t xml:space="preserve">гг. и прогноз </w:t>
      </w:r>
      <w:r w:rsidR="00664735">
        <w:rPr>
          <w:noProof/>
          <w:color w:val="000000"/>
        </w:rPr>
        <w:t xml:space="preserve">на </w:t>
      </w:r>
      <w:r w:rsidR="003E6312">
        <w:rPr>
          <w:noProof/>
          <w:color w:val="000000"/>
        </w:rPr>
        <w:t>2014-2016</w:t>
      </w:r>
      <w:r>
        <w:rPr>
          <w:noProof/>
          <w:color w:val="000000"/>
        </w:rPr>
        <w:t>гг.</w:t>
      </w:r>
    </w:p>
    <w:p w:rsidR="00F65853" w:rsidRDefault="00F65853" w:rsidP="00664735">
      <w:pPr>
        <w:pStyle w:val="af1"/>
        <w:shd w:val="clear" w:color="auto" w:fill="FFFFFF"/>
        <w:spacing w:before="0" w:beforeAutospacing="0" w:after="0" w:afterAutospacing="0"/>
        <w:ind w:firstLine="851"/>
        <w:jc w:val="both"/>
        <w:rPr>
          <w:noProof/>
          <w:color w:val="000000"/>
        </w:rPr>
      </w:pPr>
    </w:p>
    <w:p w:rsidR="00F52A8B" w:rsidRDefault="00F52A8B" w:rsidP="0038153D">
      <w:pPr>
        <w:pStyle w:val="af1"/>
        <w:shd w:val="clear" w:color="auto" w:fill="FFFFFF"/>
        <w:spacing w:before="0" w:beforeAutospacing="0" w:after="0" w:afterAutospacing="0"/>
        <w:ind w:firstLine="851"/>
        <w:jc w:val="both"/>
        <w:rPr>
          <w:noProof/>
          <w:color w:val="000000"/>
        </w:rPr>
      </w:pPr>
      <w:r>
        <w:rPr>
          <w:noProof/>
          <w:color w:val="000000"/>
        </w:rPr>
        <w:t>На рис. 6</w:t>
      </w:r>
      <w:r w:rsidR="002774A3">
        <w:rPr>
          <w:noProof/>
          <w:color w:val="000000"/>
        </w:rPr>
        <w:t>8</w:t>
      </w:r>
      <w:r>
        <w:rPr>
          <w:noProof/>
          <w:color w:val="000000"/>
        </w:rPr>
        <w:t xml:space="preserve"> </w:t>
      </w:r>
      <w:r w:rsidR="008B484E">
        <w:rPr>
          <w:noProof/>
          <w:color w:val="000000"/>
        </w:rPr>
        <w:t xml:space="preserve">в 2006, 2007, 2008гг. </w:t>
      </w:r>
      <w:r>
        <w:rPr>
          <w:noProof/>
          <w:color w:val="000000"/>
        </w:rPr>
        <w:t xml:space="preserve"> </w:t>
      </w:r>
      <w:r w:rsidR="00C76665">
        <w:rPr>
          <w:noProof/>
          <w:color w:val="000000"/>
        </w:rPr>
        <w:t xml:space="preserve">значения </w:t>
      </w:r>
      <w:r>
        <w:rPr>
          <w:noProof/>
          <w:color w:val="000000"/>
        </w:rPr>
        <w:t>Кврпм</w:t>
      </w:r>
      <w:r w:rsidR="008B484E">
        <w:rPr>
          <w:noProof/>
          <w:color w:val="000000"/>
        </w:rPr>
        <w:t>=0,93</w:t>
      </w:r>
      <w:r>
        <w:rPr>
          <w:noProof/>
          <w:color w:val="000000"/>
        </w:rPr>
        <w:t xml:space="preserve"> в постоянных ценах </w:t>
      </w:r>
      <w:r w:rsidR="00C76665">
        <w:rPr>
          <w:noProof/>
          <w:color w:val="000000"/>
        </w:rPr>
        <w:t>получены</w:t>
      </w:r>
      <w:r w:rsidR="008B484E">
        <w:rPr>
          <w:noProof/>
          <w:color w:val="000000"/>
        </w:rPr>
        <w:t xml:space="preserve"> после локального осреднения</w:t>
      </w:r>
      <w:r w:rsidR="00122746">
        <w:rPr>
          <w:noProof/>
          <w:color w:val="000000"/>
        </w:rPr>
        <w:t>.(см.рис.6</w:t>
      </w:r>
      <w:r w:rsidR="002774A3">
        <w:rPr>
          <w:noProof/>
          <w:color w:val="000000"/>
        </w:rPr>
        <w:t>3</w:t>
      </w:r>
      <w:r w:rsidR="00942C8C">
        <w:rPr>
          <w:noProof/>
          <w:color w:val="000000"/>
        </w:rPr>
        <w:t>)</w:t>
      </w:r>
      <w:r w:rsidR="002774A3">
        <w:rPr>
          <w:noProof/>
          <w:color w:val="000000"/>
        </w:rPr>
        <w:t>.</w:t>
      </w:r>
      <w:r w:rsidR="008B484E">
        <w:rPr>
          <w:noProof/>
          <w:color w:val="000000"/>
        </w:rPr>
        <w:t xml:space="preserve"> </w:t>
      </w:r>
    </w:p>
    <w:p w:rsidR="00871221" w:rsidRDefault="006D31F0" w:rsidP="0038153D">
      <w:pPr>
        <w:pStyle w:val="af1"/>
        <w:shd w:val="clear" w:color="auto" w:fill="FFFFFF"/>
        <w:spacing w:before="0" w:beforeAutospacing="0" w:after="0" w:afterAutospacing="0"/>
        <w:ind w:firstLine="851"/>
        <w:jc w:val="both"/>
        <w:rPr>
          <w:noProof/>
          <w:color w:val="000000"/>
        </w:rPr>
      </w:pPr>
      <w:r>
        <w:rPr>
          <w:noProof/>
          <w:color w:val="000000"/>
        </w:rPr>
        <w:t xml:space="preserve">Видно, что </w:t>
      </w:r>
      <w:r w:rsidR="00C74242">
        <w:rPr>
          <w:noProof/>
          <w:color w:val="000000"/>
        </w:rPr>
        <w:t>среднегодовые значения</w:t>
      </w:r>
      <w:r>
        <w:rPr>
          <w:noProof/>
          <w:color w:val="000000"/>
        </w:rPr>
        <w:t xml:space="preserve"> Кврпм и </w:t>
      </w:r>
      <w:r w:rsidR="00F52A8B">
        <w:rPr>
          <w:noProof/>
          <w:color w:val="000000"/>
        </w:rPr>
        <w:t>в постоянных</w:t>
      </w:r>
      <w:r w:rsidR="00871221">
        <w:rPr>
          <w:noProof/>
          <w:color w:val="000000"/>
        </w:rPr>
        <w:t xml:space="preserve"> ценах в период  2002-2008 гг.</w:t>
      </w:r>
      <w:r w:rsidR="00F52A8B">
        <w:rPr>
          <w:noProof/>
          <w:color w:val="000000"/>
        </w:rPr>
        <w:t>, и в текущих ценах</w:t>
      </w:r>
      <w:r w:rsidR="00871221">
        <w:rPr>
          <w:noProof/>
          <w:color w:val="000000"/>
        </w:rPr>
        <w:t xml:space="preserve"> в 2006-2008 гг.</w:t>
      </w:r>
      <w:r w:rsidR="00F52A8B">
        <w:rPr>
          <w:noProof/>
          <w:color w:val="000000"/>
        </w:rPr>
        <w:t xml:space="preserve"> </w:t>
      </w:r>
      <w:r w:rsidR="008733AA">
        <w:rPr>
          <w:noProof/>
          <w:color w:val="000000"/>
        </w:rPr>
        <w:t xml:space="preserve">близки между собой и равны </w:t>
      </w:r>
      <w:r w:rsidR="00F52A8B">
        <w:rPr>
          <w:noProof/>
          <w:color w:val="000000"/>
        </w:rPr>
        <w:t xml:space="preserve"> 0,84 и 0,85</w:t>
      </w:r>
      <w:r w:rsidR="008733AA">
        <w:rPr>
          <w:noProof/>
          <w:color w:val="000000"/>
        </w:rPr>
        <w:t>,</w:t>
      </w:r>
      <w:r w:rsidR="008733AA" w:rsidRPr="008733AA">
        <w:rPr>
          <w:noProof/>
          <w:color w:val="000000"/>
        </w:rPr>
        <w:t xml:space="preserve"> </w:t>
      </w:r>
      <w:r w:rsidR="008733AA">
        <w:rPr>
          <w:noProof/>
          <w:color w:val="000000"/>
        </w:rPr>
        <w:t>соответственно</w:t>
      </w:r>
      <w:r w:rsidR="00664450">
        <w:rPr>
          <w:noProof/>
          <w:color w:val="000000"/>
        </w:rPr>
        <w:t xml:space="preserve">. </w:t>
      </w:r>
      <w:r w:rsidR="004C3C93">
        <w:rPr>
          <w:noProof/>
          <w:color w:val="000000"/>
        </w:rPr>
        <w:t>С учетом 2011-2012</w:t>
      </w:r>
      <w:r w:rsidR="00C74242">
        <w:rPr>
          <w:noProof/>
          <w:color w:val="000000"/>
        </w:rPr>
        <w:t xml:space="preserve"> гг.</w:t>
      </w:r>
      <w:r w:rsidR="004C3C93">
        <w:rPr>
          <w:noProof/>
          <w:color w:val="000000"/>
        </w:rPr>
        <w:t xml:space="preserve"> величина Кврпм=0,75 </w:t>
      </w:r>
      <w:r w:rsidR="00584AAF">
        <w:rPr>
          <w:noProof/>
          <w:color w:val="000000"/>
        </w:rPr>
        <w:t xml:space="preserve"> в постоянных</w:t>
      </w:r>
      <w:r w:rsidR="00166665">
        <w:rPr>
          <w:noProof/>
          <w:color w:val="000000"/>
        </w:rPr>
        <w:t xml:space="preserve"> в период 2002-2008 гг.,2011-2012 гг.</w:t>
      </w:r>
      <w:r w:rsidR="002B7FB3">
        <w:rPr>
          <w:noProof/>
          <w:color w:val="000000"/>
        </w:rPr>
        <w:t>(по данным настоящей работы)</w:t>
      </w:r>
      <w:r w:rsidR="00584AAF">
        <w:rPr>
          <w:noProof/>
          <w:color w:val="000000"/>
        </w:rPr>
        <w:t xml:space="preserve"> </w:t>
      </w:r>
      <w:r w:rsidR="001551CF">
        <w:rPr>
          <w:noProof/>
          <w:color w:val="000000"/>
        </w:rPr>
        <w:t>и в текущих</w:t>
      </w:r>
      <w:r w:rsidR="002B7FB3">
        <w:rPr>
          <w:noProof/>
          <w:color w:val="000000"/>
        </w:rPr>
        <w:t xml:space="preserve"> долларовых </w:t>
      </w:r>
      <w:r w:rsidR="004549F8">
        <w:rPr>
          <w:noProof/>
          <w:color w:val="000000"/>
        </w:rPr>
        <w:t xml:space="preserve"> ценах</w:t>
      </w:r>
      <w:r w:rsidR="002B7FB3">
        <w:rPr>
          <w:noProof/>
          <w:color w:val="000000"/>
        </w:rPr>
        <w:t xml:space="preserve"> в </w:t>
      </w:r>
      <w:r w:rsidR="00166665">
        <w:rPr>
          <w:noProof/>
          <w:color w:val="000000"/>
        </w:rPr>
        <w:t xml:space="preserve">период </w:t>
      </w:r>
      <w:r w:rsidR="002B7FB3">
        <w:rPr>
          <w:noProof/>
          <w:color w:val="000000"/>
        </w:rPr>
        <w:t>2006-2008</w:t>
      </w:r>
      <w:r w:rsidR="001551CF">
        <w:rPr>
          <w:noProof/>
          <w:color w:val="000000"/>
        </w:rPr>
        <w:t xml:space="preserve"> гг.,</w:t>
      </w:r>
      <w:r w:rsidR="002B7FB3">
        <w:rPr>
          <w:noProof/>
          <w:color w:val="000000"/>
        </w:rPr>
        <w:t>2011-2012 гг.</w:t>
      </w:r>
      <w:r w:rsidR="001551CF">
        <w:rPr>
          <w:noProof/>
          <w:color w:val="000000"/>
        </w:rPr>
        <w:t xml:space="preserve"> (</w:t>
      </w:r>
      <w:r w:rsidR="00584AAF">
        <w:rPr>
          <w:noProof/>
          <w:color w:val="000000"/>
        </w:rPr>
        <w:t>по данным Доклада</w:t>
      </w:r>
      <w:r w:rsidR="001551CF">
        <w:rPr>
          <w:noProof/>
          <w:color w:val="000000"/>
        </w:rPr>
        <w:t>.</w:t>
      </w:r>
      <w:r w:rsidR="00584AAF">
        <w:rPr>
          <w:noProof/>
          <w:color w:val="000000"/>
        </w:rPr>
        <w:t xml:space="preserve"> Рис.61)</w:t>
      </w:r>
      <w:r w:rsidR="001551CF">
        <w:rPr>
          <w:noProof/>
          <w:color w:val="000000"/>
        </w:rPr>
        <w:t xml:space="preserve">. </w:t>
      </w:r>
      <w:r w:rsidR="00584AAF">
        <w:rPr>
          <w:noProof/>
          <w:color w:val="000000"/>
        </w:rPr>
        <w:t xml:space="preserve"> </w:t>
      </w:r>
    </w:p>
    <w:p w:rsidR="002774A3" w:rsidRDefault="00725E95" w:rsidP="0038153D">
      <w:pPr>
        <w:pStyle w:val="af1"/>
        <w:shd w:val="clear" w:color="auto" w:fill="FFFFFF"/>
        <w:spacing w:before="0" w:beforeAutospacing="0" w:after="0" w:afterAutospacing="0"/>
        <w:ind w:firstLine="851"/>
        <w:jc w:val="both"/>
        <w:rPr>
          <w:noProof/>
          <w:color w:val="000000"/>
        </w:rPr>
      </w:pPr>
      <w:r>
        <w:rPr>
          <w:noProof/>
          <w:color w:val="000000"/>
        </w:rPr>
        <w:t>В Докладе</w:t>
      </w:r>
      <w:r w:rsidR="00FC4F17">
        <w:rPr>
          <w:noProof/>
          <w:color w:val="000000"/>
        </w:rPr>
        <w:t xml:space="preserve"> на период 2013-2016 гг.</w:t>
      </w:r>
      <w:r>
        <w:rPr>
          <w:noProof/>
          <w:color w:val="000000"/>
        </w:rPr>
        <w:t>дается прогноз</w:t>
      </w:r>
      <w:r w:rsidR="00A21848">
        <w:rPr>
          <w:noProof/>
          <w:color w:val="000000"/>
        </w:rPr>
        <w:t xml:space="preserve"> темпов роста ИОКм</w:t>
      </w:r>
      <w:r w:rsidR="00D47E44">
        <w:rPr>
          <w:noProof/>
          <w:color w:val="000000"/>
        </w:rPr>
        <w:t xml:space="preserve"> </w:t>
      </w:r>
      <w:r w:rsidR="00370587">
        <w:rPr>
          <w:noProof/>
          <w:color w:val="000000"/>
        </w:rPr>
        <w:t>в</w:t>
      </w:r>
      <w:r>
        <w:rPr>
          <w:noProof/>
          <w:color w:val="000000"/>
        </w:rPr>
        <w:t xml:space="preserve"> постоянны</w:t>
      </w:r>
      <w:r w:rsidR="0092343D">
        <w:rPr>
          <w:noProof/>
          <w:color w:val="000000"/>
        </w:rPr>
        <w:t xml:space="preserve">х </w:t>
      </w:r>
      <w:r>
        <w:rPr>
          <w:noProof/>
          <w:color w:val="000000"/>
        </w:rPr>
        <w:t>ценах</w:t>
      </w:r>
      <w:r w:rsidR="00FC4F17">
        <w:rPr>
          <w:noProof/>
          <w:color w:val="000000"/>
        </w:rPr>
        <w:t xml:space="preserve">: </w:t>
      </w:r>
      <w:r w:rsidR="00A21848">
        <w:rPr>
          <w:noProof/>
          <w:color w:val="000000"/>
        </w:rPr>
        <w:t>6%,</w:t>
      </w:r>
      <w:r w:rsidR="00370587">
        <w:rPr>
          <w:noProof/>
          <w:color w:val="000000"/>
        </w:rPr>
        <w:t>6,</w:t>
      </w:r>
      <w:r>
        <w:rPr>
          <w:noProof/>
          <w:color w:val="000000"/>
        </w:rPr>
        <w:t>2</w:t>
      </w:r>
      <w:r w:rsidR="00A21848">
        <w:rPr>
          <w:noProof/>
          <w:color w:val="000000"/>
        </w:rPr>
        <w:t>%,</w:t>
      </w:r>
      <w:r>
        <w:rPr>
          <w:noProof/>
          <w:color w:val="000000"/>
        </w:rPr>
        <w:t>6,5%</w:t>
      </w:r>
      <w:r w:rsidR="006F284F">
        <w:rPr>
          <w:noProof/>
          <w:color w:val="000000"/>
        </w:rPr>
        <w:t>,</w:t>
      </w:r>
      <w:r w:rsidR="00A21848">
        <w:rPr>
          <w:noProof/>
          <w:color w:val="000000"/>
        </w:rPr>
        <w:t xml:space="preserve">7% </w:t>
      </w:r>
      <w:r>
        <w:rPr>
          <w:noProof/>
          <w:color w:val="000000"/>
        </w:rPr>
        <w:t>соответственно.</w:t>
      </w:r>
      <w:r w:rsidR="004E3167">
        <w:rPr>
          <w:noProof/>
          <w:color w:val="000000"/>
        </w:rPr>
        <w:t xml:space="preserve"> </w:t>
      </w:r>
      <w:r w:rsidR="004E0884">
        <w:rPr>
          <w:noProof/>
          <w:color w:val="000000"/>
        </w:rPr>
        <w:t xml:space="preserve">Тогда </w:t>
      </w:r>
      <w:r w:rsidR="00FC4F17">
        <w:rPr>
          <w:noProof/>
          <w:color w:val="000000"/>
        </w:rPr>
        <w:t xml:space="preserve">в этот период </w:t>
      </w:r>
      <w:r w:rsidR="004E0884">
        <w:rPr>
          <w:noProof/>
          <w:color w:val="000000"/>
        </w:rPr>
        <w:t>п</w:t>
      </w:r>
      <w:r w:rsidR="004E3167">
        <w:rPr>
          <w:noProof/>
          <w:color w:val="000000"/>
        </w:rPr>
        <w:t>ри среднегодовом значении Кврпм=0,6 получаются следующие значения темпов роста</w:t>
      </w:r>
      <w:r w:rsidR="00FC4F17">
        <w:rPr>
          <w:noProof/>
          <w:color w:val="000000"/>
        </w:rPr>
        <w:t xml:space="preserve"> </w:t>
      </w:r>
      <w:r w:rsidR="004E0884">
        <w:rPr>
          <w:rFonts w:ascii="Calibri" w:hAnsi="Calibri" w:cs="Calibri"/>
          <w:noProof/>
          <w:color w:val="000000"/>
        </w:rPr>
        <w:t>Δ</w:t>
      </w:r>
      <w:r w:rsidR="004E0884">
        <w:rPr>
          <w:noProof/>
          <w:color w:val="000000"/>
        </w:rPr>
        <w:t>ВРПм/ВРПм</w:t>
      </w:r>
      <w:r w:rsidR="00DF1A18">
        <w:rPr>
          <w:noProof/>
          <w:color w:val="000000"/>
        </w:rPr>
        <w:t>:</w:t>
      </w:r>
      <w:r w:rsidR="004E0884">
        <w:rPr>
          <w:noProof/>
          <w:color w:val="000000"/>
        </w:rPr>
        <w:t xml:space="preserve"> </w:t>
      </w:r>
      <w:r w:rsidR="00166665">
        <w:rPr>
          <w:noProof/>
          <w:color w:val="000000"/>
        </w:rPr>
        <w:t>6%*0,75</w:t>
      </w:r>
      <w:r w:rsidR="004E3167">
        <w:rPr>
          <w:noProof/>
          <w:color w:val="000000"/>
        </w:rPr>
        <w:t>=</w:t>
      </w:r>
      <w:r w:rsidR="00166665">
        <w:rPr>
          <w:b/>
          <w:noProof/>
          <w:color w:val="000000"/>
        </w:rPr>
        <w:t>4,5</w:t>
      </w:r>
      <w:r w:rsidR="004E3167" w:rsidRPr="006340DE">
        <w:rPr>
          <w:b/>
          <w:noProof/>
          <w:color w:val="000000"/>
        </w:rPr>
        <w:t>%</w:t>
      </w:r>
      <w:r w:rsidR="004E3167">
        <w:rPr>
          <w:noProof/>
          <w:color w:val="000000"/>
        </w:rPr>
        <w:t>;</w:t>
      </w:r>
      <w:r w:rsidR="00166665">
        <w:rPr>
          <w:noProof/>
          <w:color w:val="000000"/>
        </w:rPr>
        <w:t xml:space="preserve"> 6,2%*0,75</w:t>
      </w:r>
      <w:r w:rsidR="004E3167">
        <w:rPr>
          <w:noProof/>
          <w:color w:val="000000"/>
        </w:rPr>
        <w:t>=</w:t>
      </w:r>
      <w:r w:rsidR="00166665">
        <w:rPr>
          <w:b/>
          <w:noProof/>
          <w:color w:val="000000"/>
        </w:rPr>
        <w:t>4,6</w:t>
      </w:r>
      <w:r w:rsidR="00F90268" w:rsidRPr="006340DE">
        <w:rPr>
          <w:b/>
          <w:noProof/>
          <w:color w:val="000000"/>
        </w:rPr>
        <w:t>%</w:t>
      </w:r>
      <w:r w:rsidR="00F90268" w:rsidRPr="0092343D">
        <w:rPr>
          <w:noProof/>
          <w:color w:val="000000"/>
        </w:rPr>
        <w:t>;</w:t>
      </w:r>
      <w:r w:rsidR="00166665">
        <w:rPr>
          <w:noProof/>
          <w:color w:val="000000"/>
        </w:rPr>
        <w:t xml:space="preserve"> 6,5%*0,75</w:t>
      </w:r>
      <w:r w:rsidR="00F90268">
        <w:rPr>
          <w:noProof/>
          <w:color w:val="000000"/>
        </w:rPr>
        <w:t>=</w:t>
      </w:r>
      <w:r w:rsidR="00166665">
        <w:rPr>
          <w:b/>
          <w:noProof/>
          <w:color w:val="000000"/>
        </w:rPr>
        <w:t>4,9</w:t>
      </w:r>
      <w:r w:rsidR="00F90268" w:rsidRPr="006340DE">
        <w:rPr>
          <w:b/>
          <w:noProof/>
          <w:color w:val="000000"/>
        </w:rPr>
        <w:t>%</w:t>
      </w:r>
      <w:r w:rsidR="00F90268" w:rsidRPr="006340DE">
        <w:rPr>
          <w:noProof/>
          <w:color w:val="000000"/>
        </w:rPr>
        <w:t>;</w:t>
      </w:r>
      <w:r w:rsidR="00166665">
        <w:rPr>
          <w:noProof/>
          <w:color w:val="000000"/>
        </w:rPr>
        <w:t xml:space="preserve"> 7%*0,75</w:t>
      </w:r>
      <w:r w:rsidR="00F90268">
        <w:rPr>
          <w:noProof/>
          <w:color w:val="000000"/>
        </w:rPr>
        <w:t>=</w:t>
      </w:r>
      <w:r w:rsidR="00166665">
        <w:rPr>
          <w:b/>
          <w:noProof/>
          <w:color w:val="000000"/>
        </w:rPr>
        <w:t>5,3</w:t>
      </w:r>
      <w:r w:rsidR="00F90268" w:rsidRPr="006340DE">
        <w:rPr>
          <w:b/>
          <w:noProof/>
          <w:color w:val="000000"/>
        </w:rPr>
        <w:t>%</w:t>
      </w:r>
      <w:r w:rsidR="004E0884">
        <w:rPr>
          <w:b/>
          <w:noProof/>
          <w:color w:val="000000"/>
        </w:rPr>
        <w:t xml:space="preserve"> </w:t>
      </w:r>
      <w:r w:rsidR="004E0884">
        <w:rPr>
          <w:noProof/>
          <w:color w:val="000000"/>
        </w:rPr>
        <w:t>соответственно.</w:t>
      </w:r>
    </w:p>
    <w:p w:rsidR="00241DC6" w:rsidRPr="0038153D" w:rsidRDefault="00201503" w:rsidP="0038153D">
      <w:pPr>
        <w:pStyle w:val="af1"/>
        <w:shd w:val="clear" w:color="auto" w:fill="FFFFFF"/>
        <w:spacing w:before="0" w:beforeAutospacing="0" w:after="0" w:afterAutospacing="0"/>
        <w:ind w:firstLine="851"/>
        <w:jc w:val="both"/>
        <w:rPr>
          <w:noProof/>
          <w:color w:val="000000"/>
        </w:rPr>
      </w:pPr>
      <w:r>
        <w:rPr>
          <w:noProof/>
          <w:color w:val="000000"/>
        </w:rPr>
        <w:t>Величина</w:t>
      </w:r>
      <w:r w:rsidR="000F73EF">
        <w:rPr>
          <w:noProof/>
          <w:color w:val="000000"/>
        </w:rPr>
        <w:t xml:space="preserve"> темпа роста </w:t>
      </w:r>
      <w:r w:rsidR="000F73EF">
        <w:rPr>
          <w:rFonts w:ascii="Calibri" w:hAnsi="Calibri" w:cs="Calibri"/>
          <w:noProof/>
          <w:color w:val="000000"/>
        </w:rPr>
        <w:t>Δ</w:t>
      </w:r>
      <w:r w:rsidR="000F73EF">
        <w:rPr>
          <w:noProof/>
          <w:color w:val="000000"/>
        </w:rPr>
        <w:t>ВРПм/ВРПм =</w:t>
      </w:r>
      <w:r>
        <w:rPr>
          <w:b/>
          <w:noProof/>
          <w:color w:val="000000"/>
        </w:rPr>
        <w:t>4,5</w:t>
      </w:r>
      <w:r w:rsidR="000F73EF" w:rsidRPr="000F73EF">
        <w:rPr>
          <w:b/>
          <w:noProof/>
          <w:color w:val="000000"/>
        </w:rPr>
        <w:t>%</w:t>
      </w:r>
      <w:r w:rsidR="000F73EF">
        <w:rPr>
          <w:noProof/>
          <w:color w:val="000000"/>
        </w:rPr>
        <w:t xml:space="preserve"> в 2013 году оказалось </w:t>
      </w:r>
      <w:r>
        <w:rPr>
          <w:noProof/>
          <w:color w:val="000000"/>
        </w:rPr>
        <w:t>почти в два раза больше</w:t>
      </w:r>
      <w:r w:rsidR="000A704B">
        <w:rPr>
          <w:noProof/>
          <w:color w:val="000000"/>
        </w:rPr>
        <w:t xml:space="preserve"> величины</w:t>
      </w:r>
      <w:r w:rsidR="000F73EF">
        <w:rPr>
          <w:noProof/>
          <w:color w:val="000000"/>
        </w:rPr>
        <w:t xml:space="preserve"> </w:t>
      </w:r>
      <w:r w:rsidR="000A704B">
        <w:rPr>
          <w:b/>
          <w:noProof/>
          <w:color w:val="000000"/>
        </w:rPr>
        <w:t>2,4</w:t>
      </w:r>
      <w:r w:rsidR="000F73EF" w:rsidRPr="000F73EF">
        <w:rPr>
          <w:b/>
          <w:noProof/>
          <w:color w:val="000000"/>
        </w:rPr>
        <w:t>%,</w:t>
      </w:r>
      <w:r w:rsidR="000F73EF">
        <w:rPr>
          <w:noProof/>
          <w:color w:val="000000"/>
        </w:rPr>
        <w:t xml:space="preserve"> полученным в</w:t>
      </w:r>
      <w:r w:rsidR="008F2BFE">
        <w:rPr>
          <w:noProof/>
          <w:color w:val="000000"/>
        </w:rPr>
        <w:t xml:space="preserve"> разделе 9.1.3. </w:t>
      </w:r>
      <w:r w:rsidR="009C6E6C">
        <w:rPr>
          <w:noProof/>
          <w:color w:val="000000"/>
        </w:rPr>
        <w:t xml:space="preserve">по данным </w:t>
      </w:r>
      <w:r w:rsidR="008F2BFE">
        <w:rPr>
          <w:noProof/>
          <w:color w:val="000000"/>
        </w:rPr>
        <w:t>темпа роста электропотребления в Московском регионе</w:t>
      </w:r>
      <w:r w:rsidR="009C6E6C">
        <w:rPr>
          <w:noProof/>
          <w:color w:val="000000"/>
        </w:rPr>
        <w:t xml:space="preserve"> в 2013 году(за 1</w:t>
      </w:r>
      <w:r>
        <w:rPr>
          <w:noProof/>
          <w:color w:val="000000"/>
        </w:rPr>
        <w:t>1 месяцев) при значении</w:t>
      </w:r>
      <w:r w:rsidR="009C6E6C">
        <w:rPr>
          <w:noProof/>
          <w:color w:val="000000"/>
        </w:rPr>
        <w:t xml:space="preserve"> коэффициента эластичн</w:t>
      </w:r>
      <w:r w:rsidR="00E30647">
        <w:rPr>
          <w:noProof/>
          <w:color w:val="000000"/>
        </w:rPr>
        <w:t>ости электропотребления</w:t>
      </w:r>
      <w:r w:rsidR="006109FC">
        <w:rPr>
          <w:noProof/>
          <w:color w:val="000000"/>
        </w:rPr>
        <w:t xml:space="preserve"> Эмр к ВРПмр Кэлмр=0,51</w:t>
      </w:r>
      <w:r w:rsidR="00E30647">
        <w:rPr>
          <w:noProof/>
          <w:color w:val="000000"/>
        </w:rPr>
        <w:t>.</w:t>
      </w:r>
      <w:r w:rsidR="006109FC">
        <w:rPr>
          <w:noProof/>
          <w:color w:val="000000"/>
        </w:rPr>
        <w:t>(см.</w:t>
      </w:r>
      <w:r w:rsidR="0038153D">
        <w:rPr>
          <w:noProof/>
          <w:color w:val="000000"/>
        </w:rPr>
        <w:t xml:space="preserve"> </w:t>
      </w:r>
      <w:r w:rsidR="006109FC">
        <w:rPr>
          <w:noProof/>
          <w:color w:val="000000"/>
        </w:rPr>
        <w:t xml:space="preserve">рис. </w:t>
      </w:r>
      <w:r w:rsidR="0038153D">
        <w:rPr>
          <w:noProof/>
          <w:color w:val="000000"/>
        </w:rPr>
        <w:t>60</w:t>
      </w:r>
      <w:r w:rsidR="006109FC">
        <w:rPr>
          <w:noProof/>
          <w:color w:val="000000"/>
        </w:rPr>
        <w:t>)</w:t>
      </w:r>
      <w:r w:rsidR="0038153D">
        <w:rPr>
          <w:noProof/>
          <w:color w:val="000000"/>
        </w:rPr>
        <w:t>.</w:t>
      </w:r>
    </w:p>
    <w:p w:rsidR="00E46676" w:rsidRDefault="00201503" w:rsidP="00E46676">
      <w:pPr>
        <w:pStyle w:val="af1"/>
        <w:shd w:val="clear" w:color="auto" w:fill="FFFFFF"/>
        <w:spacing w:before="0" w:beforeAutospacing="0" w:after="0" w:afterAutospacing="0"/>
        <w:rPr>
          <w:color w:val="000000"/>
        </w:rPr>
      </w:pPr>
      <w:r w:rsidRPr="00201503">
        <w:rPr>
          <w:color w:val="000000"/>
        </w:rPr>
        <w:t xml:space="preserve">Это значит, </w:t>
      </w:r>
      <w:r w:rsidR="009A4F20">
        <w:rPr>
          <w:color w:val="000000"/>
        </w:rPr>
        <w:t xml:space="preserve">что в Докладе в период 2013-2016 гг. </w:t>
      </w:r>
      <w:r>
        <w:rPr>
          <w:color w:val="000000"/>
        </w:rPr>
        <w:t>прогноз темпа роста ИОКм в Москве</w:t>
      </w:r>
      <w:r w:rsidR="009A4F20">
        <w:rPr>
          <w:color w:val="000000"/>
        </w:rPr>
        <w:t xml:space="preserve"> в постоянных ценах завышен почти в два раза.</w:t>
      </w:r>
    </w:p>
    <w:p w:rsidR="00201503" w:rsidRPr="00201503" w:rsidRDefault="00201503" w:rsidP="00E46676">
      <w:pPr>
        <w:pStyle w:val="af1"/>
        <w:shd w:val="clear" w:color="auto" w:fill="FFFFFF"/>
        <w:spacing w:before="0" w:beforeAutospacing="0" w:after="0" w:afterAutospacing="0"/>
        <w:rPr>
          <w:color w:val="000000"/>
        </w:rPr>
      </w:pPr>
    </w:p>
    <w:p w:rsidR="007B42B4" w:rsidRDefault="00443B14" w:rsidP="0038153D">
      <w:pPr>
        <w:pStyle w:val="af1"/>
        <w:shd w:val="clear" w:color="auto" w:fill="FFFFFF"/>
        <w:spacing w:before="0" w:beforeAutospacing="0" w:after="0" w:afterAutospacing="0"/>
        <w:ind w:firstLine="851"/>
        <w:rPr>
          <w:b/>
          <w:color w:val="000000"/>
        </w:rPr>
      </w:pPr>
      <w:r>
        <w:rPr>
          <w:b/>
          <w:color w:val="000000"/>
        </w:rPr>
        <w:t>9.2.4</w:t>
      </w:r>
      <w:r w:rsidR="00D44782">
        <w:rPr>
          <w:b/>
          <w:color w:val="000000"/>
        </w:rPr>
        <w:t>.</w:t>
      </w:r>
      <w:r w:rsidR="00763212">
        <w:rPr>
          <w:b/>
          <w:color w:val="000000"/>
        </w:rPr>
        <w:t>Связь между</w:t>
      </w:r>
      <w:r w:rsidR="007B42B4">
        <w:rPr>
          <w:b/>
          <w:color w:val="000000"/>
        </w:rPr>
        <w:t xml:space="preserve"> темпа</w:t>
      </w:r>
      <w:r w:rsidR="00763212">
        <w:rPr>
          <w:b/>
          <w:color w:val="000000"/>
        </w:rPr>
        <w:t>ми</w:t>
      </w:r>
      <w:r w:rsidR="007B42B4">
        <w:rPr>
          <w:b/>
          <w:color w:val="000000"/>
        </w:rPr>
        <w:t xml:space="preserve"> изменения  ИОКмо </w:t>
      </w:r>
      <w:r w:rsidR="00763212">
        <w:rPr>
          <w:b/>
          <w:color w:val="000000"/>
        </w:rPr>
        <w:t xml:space="preserve">и </w:t>
      </w:r>
      <w:r w:rsidR="007B42B4">
        <w:rPr>
          <w:b/>
          <w:color w:val="000000"/>
        </w:rPr>
        <w:t xml:space="preserve">ВРПмо </w:t>
      </w:r>
      <w:r w:rsidR="007B42B4" w:rsidRPr="00EE283D">
        <w:rPr>
          <w:b/>
          <w:color w:val="000000"/>
        </w:rPr>
        <w:t>в Моск</w:t>
      </w:r>
      <w:r w:rsidR="007B42B4">
        <w:rPr>
          <w:b/>
          <w:color w:val="000000"/>
        </w:rPr>
        <w:t>овской области.</w:t>
      </w:r>
    </w:p>
    <w:p w:rsidR="0038153D" w:rsidRDefault="0038153D" w:rsidP="0038153D">
      <w:pPr>
        <w:pStyle w:val="af1"/>
        <w:shd w:val="clear" w:color="auto" w:fill="FFFFFF"/>
        <w:spacing w:before="0" w:beforeAutospacing="0" w:after="0" w:afterAutospacing="0"/>
        <w:ind w:firstLine="851"/>
        <w:jc w:val="both"/>
        <w:rPr>
          <w:color w:val="000000"/>
        </w:rPr>
      </w:pPr>
    </w:p>
    <w:p w:rsidR="00443B14" w:rsidRPr="00E97367" w:rsidRDefault="00E46676" w:rsidP="0038153D">
      <w:pPr>
        <w:pStyle w:val="af1"/>
        <w:shd w:val="clear" w:color="auto" w:fill="FFFFFF"/>
        <w:spacing w:before="0" w:beforeAutospacing="0" w:after="0" w:afterAutospacing="0"/>
        <w:ind w:firstLine="851"/>
        <w:jc w:val="both"/>
        <w:rPr>
          <w:color w:val="000000"/>
        </w:rPr>
      </w:pPr>
      <w:r>
        <w:rPr>
          <w:color w:val="000000"/>
        </w:rPr>
        <w:t>Ранее на рис. 51</w:t>
      </w:r>
      <w:r w:rsidR="00443B14" w:rsidRPr="00E97367">
        <w:rPr>
          <w:color w:val="000000"/>
        </w:rPr>
        <w:t xml:space="preserve"> была показана динамика ИОКм</w:t>
      </w:r>
      <w:r w:rsidR="00194415">
        <w:rPr>
          <w:color w:val="000000"/>
        </w:rPr>
        <w:t>о</w:t>
      </w:r>
      <w:r w:rsidR="00443B14" w:rsidRPr="00E97367">
        <w:rPr>
          <w:color w:val="000000"/>
        </w:rPr>
        <w:t>, ВРПм</w:t>
      </w:r>
      <w:r w:rsidR="00194415">
        <w:rPr>
          <w:color w:val="000000"/>
        </w:rPr>
        <w:t>о</w:t>
      </w:r>
      <w:r w:rsidR="00443B14" w:rsidRPr="00E97367">
        <w:rPr>
          <w:color w:val="000000"/>
        </w:rPr>
        <w:t xml:space="preserve"> в Мо</w:t>
      </w:r>
      <w:r w:rsidR="00F52BF2">
        <w:rPr>
          <w:color w:val="000000"/>
        </w:rPr>
        <w:t>сковской области в период 1997</w:t>
      </w:r>
      <w:r w:rsidR="00443B14" w:rsidRPr="00E97367">
        <w:rPr>
          <w:color w:val="000000"/>
        </w:rPr>
        <w:t>-2012гг., в ценах 1996 года и отнесенные к 1996г. Видно, что в период 1996</w:t>
      </w:r>
      <w:r w:rsidR="00194415">
        <w:rPr>
          <w:color w:val="000000"/>
        </w:rPr>
        <w:t>-2008 гг. ИОКмо увеличился на 352</w:t>
      </w:r>
      <w:r w:rsidR="00443B14" w:rsidRPr="00E97367">
        <w:rPr>
          <w:color w:val="000000"/>
        </w:rPr>
        <w:t xml:space="preserve">%, </w:t>
      </w:r>
      <w:r w:rsidR="00443B14">
        <w:rPr>
          <w:color w:val="000000"/>
        </w:rPr>
        <w:t>при этом</w:t>
      </w:r>
      <w:r w:rsidR="00443B14" w:rsidRPr="00E97367">
        <w:rPr>
          <w:color w:val="000000"/>
        </w:rPr>
        <w:t xml:space="preserve"> ВРПм</w:t>
      </w:r>
      <w:r w:rsidR="00194415">
        <w:rPr>
          <w:color w:val="000000"/>
        </w:rPr>
        <w:t>о на 135</w:t>
      </w:r>
      <w:r w:rsidR="00443B14" w:rsidRPr="00E97367">
        <w:rPr>
          <w:color w:val="000000"/>
        </w:rPr>
        <w:t>%. Отсюда</w:t>
      </w:r>
      <w:r w:rsidR="00443B14">
        <w:rPr>
          <w:color w:val="000000"/>
        </w:rPr>
        <w:t xml:space="preserve"> следует, что</w:t>
      </w:r>
      <w:r w:rsidR="00443B14" w:rsidRPr="00E97367">
        <w:rPr>
          <w:color w:val="000000"/>
        </w:rPr>
        <w:t xml:space="preserve"> в этот период среднегодовой коэффициент эластичности ВРПм</w:t>
      </w:r>
      <w:r w:rsidR="00194415">
        <w:rPr>
          <w:color w:val="000000"/>
        </w:rPr>
        <w:t>о</w:t>
      </w:r>
      <w:r w:rsidR="00443B14" w:rsidRPr="00E97367">
        <w:rPr>
          <w:color w:val="000000"/>
        </w:rPr>
        <w:t xml:space="preserve"> к ИОКм</w:t>
      </w:r>
      <w:r w:rsidR="00194415">
        <w:rPr>
          <w:color w:val="000000"/>
        </w:rPr>
        <w:t>о</w:t>
      </w:r>
      <w:r w:rsidR="00443B14" w:rsidRPr="00E97367">
        <w:rPr>
          <w:color w:val="000000"/>
        </w:rPr>
        <w:t xml:space="preserve"> </w:t>
      </w:r>
      <w:r w:rsidR="00443B14">
        <w:rPr>
          <w:color w:val="000000"/>
        </w:rPr>
        <w:t xml:space="preserve">можно </w:t>
      </w:r>
      <w:r w:rsidR="00443B14" w:rsidRPr="00E97367">
        <w:rPr>
          <w:color w:val="000000"/>
        </w:rPr>
        <w:t xml:space="preserve">приближенно </w:t>
      </w:r>
      <w:r w:rsidR="00443B14">
        <w:rPr>
          <w:color w:val="000000"/>
        </w:rPr>
        <w:t xml:space="preserve">оценить </w:t>
      </w:r>
      <w:r w:rsidR="00194415">
        <w:rPr>
          <w:color w:val="000000"/>
        </w:rPr>
        <w:t xml:space="preserve">  Кврпм=135%/352</w:t>
      </w:r>
      <w:r w:rsidR="00443B14" w:rsidRPr="00E97367">
        <w:rPr>
          <w:color w:val="000000"/>
        </w:rPr>
        <w:t>%=</w:t>
      </w:r>
      <w:r w:rsidR="00194415">
        <w:rPr>
          <w:b/>
          <w:color w:val="000000"/>
        </w:rPr>
        <w:t>0,38</w:t>
      </w:r>
      <w:r w:rsidR="00443B14" w:rsidRPr="00C11505">
        <w:rPr>
          <w:b/>
          <w:color w:val="000000"/>
        </w:rPr>
        <w:t>.</w:t>
      </w:r>
    </w:p>
    <w:p w:rsidR="00443B14" w:rsidRDefault="00443B14" w:rsidP="0038153D">
      <w:pPr>
        <w:pStyle w:val="af1"/>
        <w:shd w:val="clear" w:color="auto" w:fill="FFFFFF"/>
        <w:spacing w:before="0" w:beforeAutospacing="0" w:after="0" w:afterAutospacing="0"/>
        <w:ind w:firstLine="851"/>
        <w:jc w:val="both"/>
        <w:rPr>
          <w:color w:val="000000"/>
        </w:rPr>
      </w:pPr>
      <w:r>
        <w:rPr>
          <w:b/>
          <w:color w:val="000000"/>
        </w:rPr>
        <w:t xml:space="preserve"> </w:t>
      </w:r>
      <w:r>
        <w:rPr>
          <w:color w:val="000000"/>
        </w:rPr>
        <w:t>В</w:t>
      </w:r>
      <w:r w:rsidR="00CE2550">
        <w:rPr>
          <w:color w:val="000000"/>
        </w:rPr>
        <w:t xml:space="preserve"> 2009-2011</w:t>
      </w:r>
      <w:r w:rsidRPr="00A81F9F">
        <w:rPr>
          <w:color w:val="000000"/>
        </w:rPr>
        <w:t xml:space="preserve"> гг. произошло катастрофическое падение ИОК</w:t>
      </w:r>
      <w:r>
        <w:rPr>
          <w:color w:val="000000"/>
        </w:rPr>
        <w:t>м</w:t>
      </w:r>
      <w:r w:rsidR="00CE2550">
        <w:rPr>
          <w:color w:val="000000"/>
        </w:rPr>
        <w:t>о</w:t>
      </w:r>
      <w:r w:rsidRPr="00A81F9F">
        <w:rPr>
          <w:color w:val="000000"/>
        </w:rPr>
        <w:t xml:space="preserve"> </w:t>
      </w:r>
      <w:r w:rsidR="00CE2550">
        <w:rPr>
          <w:color w:val="000000"/>
        </w:rPr>
        <w:t>(на 42</w:t>
      </w:r>
      <w:r w:rsidRPr="00A81F9F">
        <w:rPr>
          <w:color w:val="000000"/>
        </w:rPr>
        <w:t>%</w:t>
      </w:r>
      <w:r>
        <w:rPr>
          <w:color w:val="000000"/>
        </w:rPr>
        <w:t xml:space="preserve">) по отношению к уровню 2008г., а сами  они </w:t>
      </w:r>
      <w:r w:rsidRPr="00A81F9F">
        <w:rPr>
          <w:color w:val="000000"/>
        </w:rPr>
        <w:t xml:space="preserve"> </w:t>
      </w:r>
      <w:r>
        <w:rPr>
          <w:color w:val="000000"/>
        </w:rPr>
        <w:t xml:space="preserve">снизились до уровня 2004 г. </w:t>
      </w:r>
      <w:r w:rsidRPr="00B42F55">
        <w:rPr>
          <w:color w:val="000000"/>
          <w:u w:val="single"/>
        </w:rPr>
        <w:t>Для справки:</w:t>
      </w:r>
      <w:r w:rsidRPr="00A81F9F">
        <w:rPr>
          <w:color w:val="000000"/>
        </w:rPr>
        <w:t xml:space="preserve"> в </w:t>
      </w:r>
      <w:smartTag w:uri="urn:schemas-microsoft-com:office:smarttags" w:element="metricconverter">
        <w:smartTagPr>
          <w:attr w:name="ProductID" w:val="2009 г"/>
        </w:smartTagPr>
        <w:r w:rsidRPr="00A81F9F">
          <w:rPr>
            <w:color w:val="000000"/>
          </w:rPr>
          <w:t>2009 г</w:t>
        </w:r>
      </w:smartTag>
      <w:r>
        <w:rPr>
          <w:color w:val="000000"/>
        </w:rPr>
        <w:t xml:space="preserve">. </w:t>
      </w:r>
      <w:r w:rsidRPr="00A81F9F">
        <w:rPr>
          <w:color w:val="000000"/>
        </w:rPr>
        <w:t>в</w:t>
      </w:r>
      <w:r>
        <w:rPr>
          <w:color w:val="000000"/>
        </w:rPr>
        <w:t xml:space="preserve"> </w:t>
      </w:r>
      <w:r w:rsidRPr="00A81F9F">
        <w:rPr>
          <w:color w:val="000000"/>
        </w:rPr>
        <w:t xml:space="preserve">России </w:t>
      </w:r>
      <w:r>
        <w:rPr>
          <w:color w:val="000000"/>
        </w:rPr>
        <w:t xml:space="preserve">в </w:t>
      </w:r>
      <w:r w:rsidRPr="00A81F9F">
        <w:rPr>
          <w:color w:val="000000"/>
        </w:rPr>
        <w:t xml:space="preserve">целом ИОК снизился на 15,7%, а в </w:t>
      </w:r>
      <w:smartTag w:uri="urn:schemas-microsoft-com:office:smarttags" w:element="metricconverter">
        <w:smartTagPr>
          <w:attr w:name="ProductID" w:val="2010 г"/>
        </w:smartTagPr>
        <w:r w:rsidRPr="00A81F9F">
          <w:rPr>
            <w:color w:val="000000"/>
          </w:rPr>
          <w:t>2010 г</w:t>
        </w:r>
      </w:smartTag>
      <w:r w:rsidRPr="00A81F9F">
        <w:rPr>
          <w:color w:val="000000"/>
        </w:rPr>
        <w:t>. по</w:t>
      </w:r>
      <w:r>
        <w:rPr>
          <w:color w:val="000000"/>
        </w:rPr>
        <w:t xml:space="preserve">днялся на 6%. </w:t>
      </w:r>
    </w:p>
    <w:p w:rsidR="00443B14" w:rsidRPr="00E97367" w:rsidRDefault="00990D9B" w:rsidP="0038153D">
      <w:pPr>
        <w:pStyle w:val="af1"/>
        <w:shd w:val="clear" w:color="auto" w:fill="FFFFFF"/>
        <w:spacing w:before="0" w:beforeAutospacing="0" w:after="0" w:afterAutospacing="0"/>
        <w:ind w:firstLine="851"/>
        <w:rPr>
          <w:color w:val="000000"/>
        </w:rPr>
      </w:pPr>
      <w:r>
        <w:rPr>
          <w:color w:val="000000"/>
        </w:rPr>
        <w:t>На рис.68</w:t>
      </w:r>
      <w:r w:rsidR="00442DE1">
        <w:rPr>
          <w:color w:val="000000"/>
        </w:rPr>
        <w:t xml:space="preserve"> показаны</w:t>
      </w:r>
      <w:r w:rsidR="00443B14">
        <w:rPr>
          <w:color w:val="000000"/>
        </w:rPr>
        <w:t xml:space="preserve"> </w:t>
      </w:r>
      <w:r w:rsidR="00442DE1">
        <w:rPr>
          <w:color w:val="000000"/>
        </w:rPr>
        <w:t>ежегодные значения темпов</w:t>
      </w:r>
      <w:r w:rsidR="00443B14">
        <w:rPr>
          <w:color w:val="000000"/>
        </w:rPr>
        <w:t xml:space="preserve"> изменения ИОКм</w:t>
      </w:r>
      <w:r w:rsidR="00CE2550">
        <w:rPr>
          <w:color w:val="000000"/>
        </w:rPr>
        <w:t>о</w:t>
      </w:r>
      <w:r w:rsidR="00443B14">
        <w:rPr>
          <w:color w:val="000000"/>
        </w:rPr>
        <w:t xml:space="preserve"> и ВРПм</w:t>
      </w:r>
      <w:r w:rsidR="00CE2550">
        <w:rPr>
          <w:color w:val="000000"/>
        </w:rPr>
        <w:t>о</w:t>
      </w:r>
      <w:r w:rsidR="00443B14">
        <w:rPr>
          <w:color w:val="000000"/>
        </w:rPr>
        <w:t xml:space="preserve"> в Моск</w:t>
      </w:r>
      <w:r w:rsidR="00CE2550">
        <w:rPr>
          <w:color w:val="000000"/>
        </w:rPr>
        <w:t>овской области</w:t>
      </w:r>
      <w:r w:rsidR="00443B14">
        <w:rPr>
          <w:color w:val="000000"/>
        </w:rPr>
        <w:t xml:space="preserve"> в период 1997-2012гг.</w:t>
      </w:r>
      <w:r w:rsidR="00442DE1">
        <w:rPr>
          <w:color w:val="000000"/>
        </w:rPr>
        <w:t>, а также</w:t>
      </w:r>
      <w:r w:rsidR="00CE2550">
        <w:rPr>
          <w:color w:val="000000"/>
        </w:rPr>
        <w:t xml:space="preserve"> </w:t>
      </w:r>
      <w:r w:rsidR="00442DE1">
        <w:rPr>
          <w:color w:val="000000"/>
        </w:rPr>
        <w:t xml:space="preserve">их </w:t>
      </w:r>
      <w:r w:rsidR="00CE2550">
        <w:rPr>
          <w:color w:val="000000"/>
        </w:rPr>
        <w:t>прогноз</w:t>
      </w:r>
      <w:r>
        <w:rPr>
          <w:color w:val="000000"/>
        </w:rPr>
        <w:t xml:space="preserve">ные значения </w:t>
      </w:r>
      <w:r w:rsidR="00443B14" w:rsidRPr="00382930">
        <w:rPr>
          <w:noProof/>
        </w:rPr>
        <w:t xml:space="preserve"> </w:t>
      </w:r>
      <w:r w:rsidR="00CE2550">
        <w:rPr>
          <w:noProof/>
        </w:rPr>
        <w:t>до 2015 года по данным Министерства экономики МО,октябрь 2013 год.(</w:t>
      </w:r>
      <w:r w:rsidR="00CE2550">
        <w:rPr>
          <w:noProof/>
          <w:lang w:val="en-US"/>
        </w:rPr>
        <w:t>me</w:t>
      </w:r>
      <w:r w:rsidR="00CE2550" w:rsidRPr="00CE2550">
        <w:rPr>
          <w:noProof/>
        </w:rPr>
        <w:t>.</w:t>
      </w:r>
      <w:r w:rsidR="00CE2550">
        <w:rPr>
          <w:noProof/>
          <w:lang w:val="en-US"/>
        </w:rPr>
        <w:t>mosreg</w:t>
      </w:r>
      <w:r w:rsidR="00CE2550" w:rsidRPr="00CE2550">
        <w:rPr>
          <w:noProof/>
        </w:rPr>
        <w:t>.</w:t>
      </w:r>
      <w:r w:rsidR="00CE2550">
        <w:rPr>
          <w:noProof/>
          <w:lang w:val="en-US"/>
        </w:rPr>
        <w:t>ru</w:t>
      </w:r>
      <w:r w:rsidR="00CE2550" w:rsidRPr="00CE2550">
        <w:rPr>
          <w:noProof/>
        </w:rPr>
        <w:t>)</w:t>
      </w:r>
      <w:r w:rsidR="00442DE1">
        <w:rPr>
          <w:noProof/>
        </w:rPr>
        <w:t>.</w:t>
      </w:r>
      <w:r w:rsidR="00443B14">
        <w:rPr>
          <w:noProof/>
          <w:color w:val="000000"/>
        </w:rPr>
        <w:br/>
      </w:r>
      <w:r w:rsidR="00443B14" w:rsidRPr="0025260C">
        <w:rPr>
          <w:color w:val="000000"/>
        </w:rPr>
        <w:br/>
      </w:r>
    </w:p>
    <w:p w:rsidR="00443B14" w:rsidRDefault="00443B14" w:rsidP="00443B14">
      <w:pPr>
        <w:pStyle w:val="af1"/>
        <w:shd w:val="clear" w:color="auto" w:fill="FFFFFF"/>
        <w:spacing w:before="0" w:beforeAutospacing="0" w:after="0" w:afterAutospacing="0"/>
        <w:ind w:firstLine="720"/>
        <w:jc w:val="both"/>
        <w:rPr>
          <w:noProof/>
          <w:color w:val="000000"/>
        </w:rPr>
      </w:pPr>
    </w:p>
    <w:p w:rsidR="00443B14" w:rsidRDefault="0010635E" w:rsidP="00C07F97">
      <w:pPr>
        <w:pStyle w:val="af1"/>
        <w:shd w:val="clear" w:color="auto" w:fill="FFFFFF"/>
        <w:spacing w:before="0" w:beforeAutospacing="0" w:after="0" w:afterAutospacing="0"/>
        <w:jc w:val="both"/>
        <w:rPr>
          <w:noProof/>
          <w:color w:val="000000"/>
        </w:rPr>
      </w:pPr>
      <w:r w:rsidRPr="0010635E">
        <w:rPr>
          <w:noProof/>
          <w:color w:val="000000"/>
        </w:rPr>
        <w:drawing>
          <wp:inline distT="0" distB="0" distL="0" distR="0">
            <wp:extent cx="6105525" cy="4755743"/>
            <wp:effectExtent l="19050" t="0" r="9525" b="6757"/>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F3152" w:rsidRDefault="00EF3152" w:rsidP="00443B14">
      <w:pPr>
        <w:pStyle w:val="af1"/>
        <w:shd w:val="clear" w:color="auto" w:fill="FFFFFF"/>
        <w:jc w:val="both"/>
        <w:rPr>
          <w:noProof/>
          <w:color w:val="000000"/>
        </w:rPr>
      </w:pPr>
    </w:p>
    <w:p w:rsidR="00443B14" w:rsidRPr="00A81F9F" w:rsidRDefault="00990D9B" w:rsidP="0038153D">
      <w:pPr>
        <w:pStyle w:val="af1"/>
        <w:shd w:val="clear" w:color="auto" w:fill="FFFFFF"/>
        <w:ind w:firstLine="851"/>
        <w:jc w:val="both"/>
        <w:rPr>
          <w:color w:val="000000"/>
        </w:rPr>
      </w:pPr>
      <w:r>
        <w:rPr>
          <w:noProof/>
          <w:color w:val="000000"/>
        </w:rPr>
        <w:t>Рис.</w:t>
      </w:r>
      <w:r w:rsidR="0038153D">
        <w:rPr>
          <w:noProof/>
          <w:color w:val="000000"/>
        </w:rPr>
        <w:t xml:space="preserve"> </w:t>
      </w:r>
      <w:r>
        <w:rPr>
          <w:noProof/>
          <w:color w:val="000000"/>
        </w:rPr>
        <w:t>6</w:t>
      </w:r>
      <w:r w:rsidR="0038153D">
        <w:rPr>
          <w:noProof/>
          <w:color w:val="000000"/>
        </w:rPr>
        <w:t>9.</w:t>
      </w:r>
      <w:r w:rsidR="00443B14">
        <w:rPr>
          <w:noProof/>
          <w:color w:val="000000"/>
        </w:rPr>
        <w:t xml:space="preserve"> </w:t>
      </w:r>
      <w:r w:rsidR="002E4564">
        <w:rPr>
          <w:noProof/>
          <w:color w:val="000000"/>
        </w:rPr>
        <w:t>Ежегодные темпы</w:t>
      </w:r>
      <w:r w:rsidR="00443B14">
        <w:rPr>
          <w:noProof/>
          <w:color w:val="000000"/>
        </w:rPr>
        <w:t xml:space="preserve"> изменения ИОКм</w:t>
      </w:r>
      <w:r w:rsidR="002E4564">
        <w:rPr>
          <w:noProof/>
          <w:color w:val="000000"/>
        </w:rPr>
        <w:t>о</w:t>
      </w:r>
      <w:r w:rsidR="00443B14">
        <w:rPr>
          <w:noProof/>
          <w:color w:val="000000"/>
        </w:rPr>
        <w:t xml:space="preserve"> и ВРПм</w:t>
      </w:r>
      <w:r w:rsidR="002E4564">
        <w:rPr>
          <w:noProof/>
          <w:color w:val="000000"/>
        </w:rPr>
        <w:t>о</w:t>
      </w:r>
      <w:r w:rsidR="00443B14">
        <w:rPr>
          <w:noProof/>
          <w:color w:val="000000"/>
        </w:rPr>
        <w:t xml:space="preserve"> в Моск</w:t>
      </w:r>
      <w:r w:rsidR="002E4564">
        <w:rPr>
          <w:noProof/>
          <w:color w:val="000000"/>
        </w:rPr>
        <w:t>овской области</w:t>
      </w:r>
      <w:r w:rsidR="00443B14">
        <w:rPr>
          <w:noProof/>
          <w:color w:val="000000"/>
        </w:rPr>
        <w:t xml:space="preserve"> в период 1996-2012 гг.</w:t>
      </w:r>
      <w:r w:rsidR="002E4564">
        <w:rPr>
          <w:noProof/>
          <w:color w:val="000000"/>
        </w:rPr>
        <w:t xml:space="preserve"> и прогноз до 2015 года по данным Министерства экономики МО.</w:t>
      </w:r>
    </w:p>
    <w:p w:rsidR="00443B14" w:rsidRPr="00A81F9F" w:rsidRDefault="00443B14" w:rsidP="00C757E5">
      <w:pPr>
        <w:pStyle w:val="af1"/>
        <w:shd w:val="clear" w:color="auto" w:fill="FFFFFF"/>
        <w:spacing w:before="0" w:beforeAutospacing="0" w:after="0" w:afterAutospacing="0"/>
        <w:jc w:val="both"/>
        <w:rPr>
          <w:color w:val="000000"/>
        </w:rPr>
      </w:pPr>
      <w:r>
        <w:rPr>
          <w:color w:val="000000"/>
        </w:rPr>
        <w:t xml:space="preserve">           В</w:t>
      </w:r>
      <w:r w:rsidRPr="00A81F9F">
        <w:rPr>
          <w:color w:val="000000"/>
        </w:rPr>
        <w:t>и</w:t>
      </w:r>
      <w:r>
        <w:rPr>
          <w:color w:val="000000"/>
        </w:rPr>
        <w:t>дно, что в период</w:t>
      </w:r>
      <w:r w:rsidR="00504850">
        <w:rPr>
          <w:color w:val="000000"/>
        </w:rPr>
        <w:t>ах</w:t>
      </w:r>
      <w:r>
        <w:rPr>
          <w:color w:val="000000"/>
        </w:rPr>
        <w:t xml:space="preserve"> роста ИОК</w:t>
      </w:r>
      <w:r w:rsidR="002E4564">
        <w:rPr>
          <w:color w:val="000000"/>
        </w:rPr>
        <w:t>мо 1998-2000 гг., 2002-2004</w:t>
      </w:r>
      <w:r w:rsidRPr="00A81F9F">
        <w:rPr>
          <w:color w:val="000000"/>
        </w:rPr>
        <w:t xml:space="preserve"> гг.</w:t>
      </w:r>
      <w:r w:rsidR="002E4564">
        <w:rPr>
          <w:color w:val="000000"/>
        </w:rPr>
        <w:t xml:space="preserve"> и 2006-2008 гг.</w:t>
      </w:r>
      <w:r w:rsidRPr="00A81F9F">
        <w:rPr>
          <w:color w:val="000000"/>
        </w:rPr>
        <w:t xml:space="preserve"> среднегодовой темп роста ИОК</w:t>
      </w:r>
      <w:r>
        <w:rPr>
          <w:color w:val="000000"/>
        </w:rPr>
        <w:t>м</w:t>
      </w:r>
      <w:r w:rsidR="002E4564">
        <w:rPr>
          <w:color w:val="000000"/>
        </w:rPr>
        <w:t>о</w:t>
      </w:r>
      <w:r w:rsidRPr="00A81F9F">
        <w:rPr>
          <w:color w:val="000000"/>
        </w:rPr>
        <w:t xml:space="preserve"> в Моск</w:t>
      </w:r>
      <w:r w:rsidR="002E4564">
        <w:rPr>
          <w:color w:val="000000"/>
        </w:rPr>
        <w:t>овской области</w:t>
      </w:r>
      <w:r w:rsidRPr="00A81F9F">
        <w:rPr>
          <w:color w:val="000000"/>
        </w:rPr>
        <w:t xml:space="preserve"> равнялся </w:t>
      </w:r>
      <w:r w:rsidR="00E81878">
        <w:rPr>
          <w:b/>
          <w:bCs/>
          <w:color w:val="000000"/>
        </w:rPr>
        <w:t>21</w:t>
      </w:r>
      <w:r w:rsidR="00504850">
        <w:rPr>
          <w:b/>
          <w:bCs/>
          <w:color w:val="000000"/>
        </w:rPr>
        <w:t>,7</w:t>
      </w:r>
      <w:r w:rsidRPr="00A81F9F">
        <w:rPr>
          <w:b/>
          <w:bCs/>
          <w:color w:val="000000"/>
        </w:rPr>
        <w:t xml:space="preserve">%, </w:t>
      </w:r>
      <w:r w:rsidRPr="00A81F9F">
        <w:rPr>
          <w:color w:val="000000"/>
        </w:rPr>
        <w:t>при этом среднегодовой темп роста ВРП</w:t>
      </w:r>
      <w:r>
        <w:rPr>
          <w:color w:val="000000"/>
        </w:rPr>
        <w:t>м</w:t>
      </w:r>
      <w:r w:rsidR="00504850">
        <w:rPr>
          <w:color w:val="000000"/>
        </w:rPr>
        <w:t>о</w:t>
      </w:r>
      <w:r w:rsidRPr="00A81F9F">
        <w:rPr>
          <w:color w:val="000000"/>
        </w:rPr>
        <w:t xml:space="preserve"> составил  </w:t>
      </w:r>
      <w:r w:rsidR="00504850">
        <w:rPr>
          <w:b/>
          <w:bCs/>
          <w:color w:val="000000"/>
        </w:rPr>
        <w:t>7,5</w:t>
      </w:r>
      <w:r w:rsidRPr="00A81F9F">
        <w:rPr>
          <w:b/>
          <w:bCs/>
          <w:color w:val="000000"/>
        </w:rPr>
        <w:t>%</w:t>
      </w:r>
      <w:r w:rsidRPr="00A81F9F">
        <w:rPr>
          <w:color w:val="000000"/>
        </w:rPr>
        <w:t xml:space="preserve">. </w:t>
      </w:r>
      <w:r>
        <w:rPr>
          <w:color w:val="000000"/>
        </w:rPr>
        <w:t>Тогда</w:t>
      </w:r>
      <w:r w:rsidRPr="00A81F9F">
        <w:rPr>
          <w:color w:val="000000"/>
        </w:rPr>
        <w:t xml:space="preserve"> среднегодовой коэффициент эластичности </w:t>
      </w:r>
      <w:r>
        <w:rPr>
          <w:color w:val="000000"/>
        </w:rPr>
        <w:t>ВРПм</w:t>
      </w:r>
      <w:r w:rsidR="00504850">
        <w:rPr>
          <w:color w:val="000000"/>
        </w:rPr>
        <w:t>о</w:t>
      </w:r>
      <w:r>
        <w:rPr>
          <w:color w:val="000000"/>
        </w:rPr>
        <w:t xml:space="preserve"> к ИОКм</w:t>
      </w:r>
      <w:r w:rsidR="00504850">
        <w:rPr>
          <w:color w:val="000000"/>
        </w:rPr>
        <w:t>о</w:t>
      </w:r>
      <w:r>
        <w:rPr>
          <w:color w:val="000000"/>
        </w:rPr>
        <w:t xml:space="preserve"> будет равен </w:t>
      </w:r>
      <w:r w:rsidR="00504850">
        <w:rPr>
          <w:color w:val="000000"/>
        </w:rPr>
        <w:t>7,5</w:t>
      </w:r>
      <w:r>
        <w:rPr>
          <w:color w:val="000000"/>
        </w:rPr>
        <w:t>%/</w:t>
      </w:r>
      <w:r w:rsidR="00E81878">
        <w:rPr>
          <w:color w:val="000000"/>
        </w:rPr>
        <w:t>21</w:t>
      </w:r>
      <w:r w:rsidR="00504850">
        <w:rPr>
          <w:color w:val="000000"/>
        </w:rPr>
        <w:t>,7</w:t>
      </w:r>
      <w:r w:rsidRPr="00A81F9F">
        <w:rPr>
          <w:color w:val="000000"/>
        </w:rPr>
        <w:t>%=</w:t>
      </w:r>
      <w:r w:rsidRPr="009062A7">
        <w:rPr>
          <w:b/>
          <w:color w:val="000000"/>
        </w:rPr>
        <w:t>0</w:t>
      </w:r>
      <w:r w:rsidR="00504850">
        <w:rPr>
          <w:b/>
          <w:color w:val="000000"/>
        </w:rPr>
        <w:t>,3</w:t>
      </w:r>
      <w:r w:rsidR="00E81878">
        <w:rPr>
          <w:b/>
          <w:color w:val="000000"/>
        </w:rPr>
        <w:t>5</w:t>
      </w:r>
      <w:r w:rsidRPr="00A81F9F">
        <w:rPr>
          <w:color w:val="000000"/>
        </w:rPr>
        <w:t>.</w:t>
      </w:r>
      <w:r>
        <w:rPr>
          <w:color w:val="000000"/>
        </w:rPr>
        <w:t xml:space="preserve"> </w:t>
      </w:r>
      <w:r w:rsidR="00C8280A">
        <w:rPr>
          <w:color w:val="000000"/>
        </w:rPr>
        <w:t>Если учесть 2012 год, то среднегодовой темп роста ИОКмо=19,6%, а ВРПмо=7,1%. Соответственно, среднегодовой оэффициент эластичности=</w:t>
      </w:r>
      <w:r w:rsidR="00C8280A" w:rsidRPr="00C8280A">
        <w:rPr>
          <w:b/>
          <w:color w:val="000000"/>
        </w:rPr>
        <w:t>0,36</w:t>
      </w:r>
      <w:r w:rsidR="00C8280A">
        <w:rPr>
          <w:color w:val="000000"/>
        </w:rPr>
        <w:t xml:space="preserve">. </w:t>
      </w:r>
      <w:r>
        <w:rPr>
          <w:color w:val="000000"/>
        </w:rPr>
        <w:t xml:space="preserve">Что достаточно близко к приближенному значению </w:t>
      </w:r>
      <w:r w:rsidRPr="00504850">
        <w:rPr>
          <w:b/>
          <w:color w:val="000000"/>
        </w:rPr>
        <w:t>0,</w:t>
      </w:r>
      <w:r w:rsidR="00504850" w:rsidRPr="00504850">
        <w:rPr>
          <w:b/>
          <w:color w:val="000000"/>
        </w:rPr>
        <w:t>38</w:t>
      </w:r>
      <w:r>
        <w:rPr>
          <w:color w:val="000000"/>
        </w:rPr>
        <w:t>, полученному выше. З</w:t>
      </w:r>
      <w:r w:rsidRPr="00A81F9F">
        <w:rPr>
          <w:color w:val="000000"/>
        </w:rPr>
        <w:t>начение среднего</w:t>
      </w:r>
      <w:r>
        <w:rPr>
          <w:color w:val="000000"/>
        </w:rPr>
        <w:t>дового</w:t>
      </w:r>
      <w:r w:rsidRPr="00A81F9F">
        <w:rPr>
          <w:color w:val="000000"/>
        </w:rPr>
        <w:t xml:space="preserve"> коэффициента эластичности можно получить</w:t>
      </w:r>
      <w:r>
        <w:rPr>
          <w:color w:val="000000"/>
        </w:rPr>
        <w:t xml:space="preserve"> иным способом</w:t>
      </w:r>
      <w:r w:rsidRPr="00A81F9F">
        <w:rPr>
          <w:color w:val="000000"/>
        </w:rPr>
        <w:t xml:space="preserve">, </w:t>
      </w:r>
      <w:r>
        <w:rPr>
          <w:color w:val="000000"/>
        </w:rPr>
        <w:t>как среднеарифметическую велич</w:t>
      </w:r>
      <w:r w:rsidR="00504850">
        <w:rPr>
          <w:color w:val="000000"/>
        </w:rPr>
        <w:t>ину его ежегодных значений в тех же периодах</w:t>
      </w:r>
      <w:r>
        <w:rPr>
          <w:color w:val="000000"/>
        </w:rPr>
        <w:t xml:space="preserve"> роста ИОК</w:t>
      </w:r>
      <w:r w:rsidR="00504850">
        <w:rPr>
          <w:color w:val="000000"/>
        </w:rPr>
        <w:t>мо</w:t>
      </w:r>
      <w:r>
        <w:rPr>
          <w:color w:val="000000"/>
        </w:rPr>
        <w:t xml:space="preserve">. </w:t>
      </w:r>
    </w:p>
    <w:p w:rsidR="00443B14" w:rsidRDefault="00C87CE5" w:rsidP="00C757E5">
      <w:pPr>
        <w:pStyle w:val="af1"/>
        <w:shd w:val="clear" w:color="auto" w:fill="FFFFFF"/>
        <w:spacing w:before="0" w:beforeAutospacing="0" w:after="0" w:afterAutospacing="0"/>
        <w:ind w:firstLine="851"/>
        <w:rPr>
          <w:color w:val="000000"/>
        </w:rPr>
      </w:pPr>
      <w:r>
        <w:rPr>
          <w:color w:val="000000"/>
        </w:rPr>
        <w:t>На рис.</w:t>
      </w:r>
      <w:r w:rsidR="00C757E5">
        <w:rPr>
          <w:color w:val="000000"/>
        </w:rPr>
        <w:t>70</w:t>
      </w:r>
      <w:r w:rsidR="00443B14" w:rsidRPr="00A81F9F">
        <w:rPr>
          <w:color w:val="000000"/>
        </w:rPr>
        <w:t xml:space="preserve"> приведены </w:t>
      </w:r>
      <w:r w:rsidR="00504850">
        <w:rPr>
          <w:color w:val="000000"/>
        </w:rPr>
        <w:t xml:space="preserve">ежегодные </w:t>
      </w:r>
      <w:r w:rsidR="00443B14" w:rsidRPr="00A81F9F">
        <w:rPr>
          <w:color w:val="000000"/>
        </w:rPr>
        <w:t>значения коэффициента эластичности ВРП</w:t>
      </w:r>
      <w:r w:rsidR="00443B14">
        <w:rPr>
          <w:color w:val="000000"/>
        </w:rPr>
        <w:t>м</w:t>
      </w:r>
      <w:r w:rsidR="00504850">
        <w:rPr>
          <w:color w:val="000000"/>
        </w:rPr>
        <w:t>о</w:t>
      </w:r>
      <w:r w:rsidR="00443B14" w:rsidRPr="00A81F9F">
        <w:rPr>
          <w:color w:val="000000"/>
        </w:rPr>
        <w:t xml:space="preserve"> к ИОК</w:t>
      </w:r>
      <w:r w:rsidR="00443B14">
        <w:rPr>
          <w:color w:val="000000"/>
        </w:rPr>
        <w:t>м</w:t>
      </w:r>
      <w:r w:rsidR="00504850">
        <w:rPr>
          <w:color w:val="000000"/>
        </w:rPr>
        <w:t>о</w:t>
      </w:r>
      <w:r w:rsidR="00443B14">
        <w:rPr>
          <w:color w:val="000000"/>
        </w:rPr>
        <w:t xml:space="preserve"> Мос</w:t>
      </w:r>
      <w:r w:rsidR="00504850">
        <w:rPr>
          <w:color w:val="000000"/>
        </w:rPr>
        <w:t xml:space="preserve">ковской области </w:t>
      </w:r>
      <w:r w:rsidR="00443B14">
        <w:rPr>
          <w:color w:val="000000"/>
        </w:rPr>
        <w:t xml:space="preserve"> (Кврпм</w:t>
      </w:r>
      <w:r w:rsidR="00504850">
        <w:rPr>
          <w:color w:val="000000"/>
        </w:rPr>
        <w:t>о</w:t>
      </w:r>
      <w:r w:rsidR="00443B14">
        <w:rPr>
          <w:color w:val="000000"/>
        </w:rPr>
        <w:t>) в период 1996-2012</w:t>
      </w:r>
      <w:r w:rsidR="00443B14" w:rsidRPr="00A81F9F">
        <w:rPr>
          <w:color w:val="000000"/>
        </w:rPr>
        <w:t xml:space="preserve"> гг. </w:t>
      </w:r>
      <w:r w:rsidR="0012766E">
        <w:rPr>
          <w:color w:val="000000"/>
        </w:rPr>
        <w:t xml:space="preserve"> и прогноз до 2015 года</w:t>
      </w:r>
      <w:r w:rsidR="00F016B0">
        <w:rPr>
          <w:color w:val="000000"/>
        </w:rPr>
        <w:t xml:space="preserve">, рассчитанный </w:t>
      </w:r>
      <w:r w:rsidR="0012766E">
        <w:rPr>
          <w:color w:val="000000"/>
        </w:rPr>
        <w:t xml:space="preserve"> по д</w:t>
      </w:r>
      <w:r w:rsidR="00F016B0">
        <w:rPr>
          <w:color w:val="000000"/>
        </w:rPr>
        <w:t>анным Министерства экономики МО, (октябрь 2013 год).</w:t>
      </w:r>
    </w:p>
    <w:p w:rsidR="004D255C" w:rsidRDefault="00443B14" w:rsidP="00443B14">
      <w:pPr>
        <w:pStyle w:val="af1"/>
        <w:shd w:val="clear" w:color="auto" w:fill="FFFFFF"/>
        <w:spacing w:before="0" w:beforeAutospacing="0" w:after="0" w:afterAutospacing="0"/>
        <w:ind w:firstLine="720"/>
        <w:rPr>
          <w:noProof/>
          <w:color w:val="000000"/>
        </w:rPr>
      </w:pPr>
      <w:r>
        <w:rPr>
          <w:color w:val="000000"/>
        </w:rPr>
        <w:br/>
      </w:r>
      <w:r w:rsidR="00DE3545" w:rsidRPr="00DE3545">
        <w:rPr>
          <w:noProof/>
          <w:color w:val="000000"/>
        </w:rPr>
        <w:drawing>
          <wp:inline distT="0" distB="0" distL="0" distR="0">
            <wp:extent cx="6105525" cy="3817450"/>
            <wp:effectExtent l="19050" t="0" r="9525" b="0"/>
            <wp:docPr id="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757E5" w:rsidRDefault="00C757E5" w:rsidP="00C757E5">
      <w:pPr>
        <w:pStyle w:val="af1"/>
        <w:shd w:val="clear" w:color="auto" w:fill="FFFFFF"/>
        <w:spacing w:before="0" w:beforeAutospacing="0" w:after="0" w:afterAutospacing="0"/>
        <w:ind w:firstLine="709"/>
        <w:rPr>
          <w:noProof/>
          <w:color w:val="000000"/>
        </w:rPr>
      </w:pPr>
    </w:p>
    <w:p w:rsidR="004D255C" w:rsidRDefault="00C87CE5" w:rsidP="00C757E5">
      <w:pPr>
        <w:pStyle w:val="af1"/>
        <w:shd w:val="clear" w:color="auto" w:fill="FFFFFF"/>
        <w:spacing w:before="0" w:beforeAutospacing="0" w:after="0" w:afterAutospacing="0"/>
        <w:ind w:firstLine="709"/>
        <w:rPr>
          <w:noProof/>
          <w:color w:val="000000"/>
        </w:rPr>
      </w:pPr>
      <w:r>
        <w:rPr>
          <w:noProof/>
          <w:color w:val="000000"/>
        </w:rPr>
        <w:t>Рис.</w:t>
      </w:r>
      <w:r w:rsidR="00C757E5">
        <w:rPr>
          <w:noProof/>
          <w:color w:val="000000"/>
        </w:rPr>
        <w:t xml:space="preserve"> 70</w:t>
      </w:r>
      <w:r w:rsidR="00443B14">
        <w:rPr>
          <w:noProof/>
          <w:color w:val="000000"/>
        </w:rPr>
        <w:t xml:space="preserve">. </w:t>
      </w:r>
      <w:r w:rsidR="004226EF">
        <w:rPr>
          <w:noProof/>
          <w:color w:val="000000"/>
        </w:rPr>
        <w:t>Ежегодные</w:t>
      </w:r>
      <w:r w:rsidR="00443B14">
        <w:rPr>
          <w:noProof/>
          <w:color w:val="000000"/>
        </w:rPr>
        <w:t xml:space="preserve"> </w:t>
      </w:r>
      <w:r>
        <w:rPr>
          <w:noProof/>
          <w:color w:val="000000"/>
        </w:rPr>
        <w:t xml:space="preserve">значения </w:t>
      </w:r>
      <w:r w:rsidR="00443B14">
        <w:rPr>
          <w:noProof/>
          <w:color w:val="000000"/>
        </w:rPr>
        <w:t>коэффициент</w:t>
      </w:r>
      <w:r>
        <w:rPr>
          <w:noProof/>
          <w:color w:val="000000"/>
        </w:rPr>
        <w:t>ов</w:t>
      </w:r>
      <w:r w:rsidR="00443B14">
        <w:rPr>
          <w:noProof/>
          <w:color w:val="000000"/>
        </w:rPr>
        <w:t xml:space="preserve"> эластичности ВРПм</w:t>
      </w:r>
      <w:r w:rsidR="00F016B0">
        <w:rPr>
          <w:noProof/>
          <w:color w:val="000000"/>
        </w:rPr>
        <w:t>о</w:t>
      </w:r>
      <w:r w:rsidR="00443B14">
        <w:rPr>
          <w:noProof/>
          <w:color w:val="000000"/>
        </w:rPr>
        <w:t xml:space="preserve"> к ИОКм</w:t>
      </w:r>
      <w:r w:rsidR="00F016B0">
        <w:rPr>
          <w:noProof/>
          <w:color w:val="000000"/>
        </w:rPr>
        <w:t>о</w:t>
      </w:r>
      <w:r w:rsidR="00443B14">
        <w:rPr>
          <w:noProof/>
          <w:color w:val="000000"/>
        </w:rPr>
        <w:t xml:space="preserve"> (Кврпм</w:t>
      </w:r>
      <w:r w:rsidR="00F016B0">
        <w:rPr>
          <w:noProof/>
          <w:color w:val="000000"/>
        </w:rPr>
        <w:t>о</w:t>
      </w:r>
      <w:r w:rsidR="00443B14">
        <w:rPr>
          <w:noProof/>
          <w:color w:val="000000"/>
        </w:rPr>
        <w:t>) в Моск</w:t>
      </w:r>
      <w:r w:rsidR="00F016B0">
        <w:rPr>
          <w:noProof/>
          <w:color w:val="000000"/>
        </w:rPr>
        <w:t>овской области</w:t>
      </w:r>
      <w:r w:rsidR="00443B14">
        <w:rPr>
          <w:noProof/>
          <w:color w:val="000000"/>
        </w:rPr>
        <w:t xml:space="preserve"> в период 1997-2012 гг.</w:t>
      </w:r>
      <w:r w:rsidR="00F016B0">
        <w:rPr>
          <w:noProof/>
          <w:color w:val="000000"/>
        </w:rPr>
        <w:t xml:space="preserve"> и прогноз до 2015 года, рассчитанный по данным Министерства экономики МО.</w:t>
      </w:r>
      <w:r w:rsidR="00122108">
        <w:rPr>
          <w:noProof/>
          <w:color w:val="000000"/>
        </w:rPr>
        <w:br/>
      </w:r>
    </w:p>
    <w:p w:rsidR="00C757E5" w:rsidRDefault="00122108" w:rsidP="00C757E5">
      <w:pPr>
        <w:pStyle w:val="af1"/>
        <w:shd w:val="clear" w:color="auto" w:fill="FFFFFF"/>
        <w:spacing w:before="0" w:beforeAutospacing="0" w:after="0" w:afterAutospacing="0"/>
        <w:ind w:firstLine="720"/>
        <w:jc w:val="both"/>
        <w:rPr>
          <w:color w:val="000000"/>
        </w:rPr>
      </w:pPr>
      <w:r>
        <w:rPr>
          <w:color w:val="000000"/>
        </w:rPr>
        <w:t>Видно</w:t>
      </w:r>
      <w:r w:rsidRPr="00A81F9F">
        <w:rPr>
          <w:color w:val="000000"/>
        </w:rPr>
        <w:t xml:space="preserve">, </w:t>
      </w:r>
      <w:r>
        <w:rPr>
          <w:color w:val="000000"/>
        </w:rPr>
        <w:t>что в период роста ИОКмо (1998-2000гг.,2002-2004 гг.,2006-2008 гг.) значения ежегодного коэффициента эластичности Кврпмо существенно отлича</w:t>
      </w:r>
      <w:r w:rsidR="00656C90">
        <w:rPr>
          <w:color w:val="000000"/>
        </w:rPr>
        <w:t>лись друг от друга в 2000 и 2008</w:t>
      </w:r>
      <w:r>
        <w:rPr>
          <w:color w:val="000000"/>
        </w:rPr>
        <w:t xml:space="preserve"> гг. Для этих значений необходимо  </w:t>
      </w:r>
      <w:r w:rsidR="00656C90">
        <w:rPr>
          <w:color w:val="000000"/>
        </w:rPr>
        <w:t>провести локальное осреднение на период 1998-2000 гг. и 2006-2008 гг.</w:t>
      </w:r>
      <w:r>
        <w:rPr>
          <w:color w:val="000000"/>
        </w:rPr>
        <w:t>При этом в первом периоде оказалось среднегодовое</w:t>
      </w:r>
      <w:r w:rsidR="00656C90">
        <w:rPr>
          <w:color w:val="000000"/>
        </w:rPr>
        <w:t xml:space="preserve"> значение Кврпмо=0,14</w:t>
      </w:r>
      <w:r>
        <w:rPr>
          <w:color w:val="000000"/>
        </w:rPr>
        <w:t>, а во втором периоде Кврпм</w:t>
      </w:r>
      <w:r w:rsidR="00656C90">
        <w:rPr>
          <w:color w:val="000000"/>
        </w:rPr>
        <w:t>о=0,47</w:t>
      </w:r>
      <w:r>
        <w:rPr>
          <w:color w:val="000000"/>
        </w:rPr>
        <w:t>.</w:t>
      </w:r>
    </w:p>
    <w:p w:rsidR="002A0399" w:rsidRDefault="002A0399" w:rsidP="00122108">
      <w:pPr>
        <w:pStyle w:val="af1"/>
        <w:shd w:val="clear" w:color="auto" w:fill="FFFFFF"/>
        <w:spacing w:before="0" w:beforeAutospacing="0" w:after="0" w:afterAutospacing="0"/>
        <w:ind w:firstLine="720"/>
        <w:jc w:val="both"/>
        <w:rPr>
          <w:color w:val="000000"/>
        </w:rPr>
      </w:pPr>
      <w:r>
        <w:rPr>
          <w:color w:val="000000"/>
        </w:rPr>
        <w:t>На рис.</w:t>
      </w:r>
      <w:r w:rsidR="00C757E5">
        <w:rPr>
          <w:color w:val="000000"/>
        </w:rPr>
        <w:t xml:space="preserve"> 71</w:t>
      </w:r>
      <w:r>
        <w:rPr>
          <w:color w:val="000000"/>
        </w:rPr>
        <w:t xml:space="preserve"> показаны ежегодные коэффициенты эластичности ВРПмо к ИОКмо с учетом такого локального осреднения.</w:t>
      </w:r>
    </w:p>
    <w:p w:rsidR="00C757E5" w:rsidRDefault="00C757E5" w:rsidP="00122108">
      <w:pPr>
        <w:pStyle w:val="af1"/>
        <w:shd w:val="clear" w:color="auto" w:fill="FFFFFF"/>
        <w:spacing w:before="0" w:beforeAutospacing="0" w:after="0" w:afterAutospacing="0"/>
        <w:ind w:firstLine="720"/>
        <w:jc w:val="both"/>
        <w:rPr>
          <w:color w:val="000000"/>
        </w:rPr>
      </w:pPr>
    </w:p>
    <w:p w:rsidR="002A0399" w:rsidRDefault="00796A53" w:rsidP="00154A21">
      <w:pPr>
        <w:pStyle w:val="af1"/>
        <w:shd w:val="clear" w:color="auto" w:fill="FFFFFF"/>
        <w:spacing w:before="0" w:beforeAutospacing="0" w:after="0" w:afterAutospacing="0"/>
        <w:jc w:val="both"/>
        <w:rPr>
          <w:color w:val="000000"/>
        </w:rPr>
      </w:pPr>
      <w:r w:rsidRPr="00796A53">
        <w:rPr>
          <w:noProof/>
          <w:color w:val="000000"/>
        </w:rPr>
        <w:drawing>
          <wp:inline distT="0" distB="0" distL="0" distR="0">
            <wp:extent cx="6105525" cy="2810470"/>
            <wp:effectExtent l="19050" t="0" r="9525" b="8930"/>
            <wp:docPr id="3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C757E5" w:rsidRDefault="00C757E5" w:rsidP="00826D5B">
      <w:pPr>
        <w:pStyle w:val="af1"/>
        <w:shd w:val="clear" w:color="auto" w:fill="FFFFFF"/>
        <w:spacing w:before="0" w:beforeAutospacing="0" w:after="0" w:afterAutospacing="0"/>
        <w:rPr>
          <w:noProof/>
          <w:color w:val="000000"/>
        </w:rPr>
      </w:pPr>
    </w:p>
    <w:p w:rsidR="003920FE" w:rsidRDefault="00826D5B" w:rsidP="00C757E5">
      <w:pPr>
        <w:pStyle w:val="af1"/>
        <w:shd w:val="clear" w:color="auto" w:fill="FFFFFF"/>
        <w:spacing w:before="0" w:beforeAutospacing="0" w:after="0" w:afterAutospacing="0"/>
        <w:ind w:firstLine="851"/>
        <w:rPr>
          <w:color w:val="000000"/>
        </w:rPr>
      </w:pPr>
      <w:r>
        <w:rPr>
          <w:noProof/>
          <w:color w:val="000000"/>
        </w:rPr>
        <w:t>Рис.7</w:t>
      </w:r>
      <w:r w:rsidR="00C757E5">
        <w:rPr>
          <w:noProof/>
          <w:color w:val="000000"/>
        </w:rPr>
        <w:t>1</w:t>
      </w:r>
      <w:r>
        <w:rPr>
          <w:noProof/>
          <w:color w:val="000000"/>
        </w:rPr>
        <w:t>. Ежегодные значения коэффициентов эластичности ВРПмо к ИОКмо (Кврпмо) в Московской области в период 1997-2012 гг. с учетом локального осреднения и их прогнозные значения до 2015 года, рассчитанный по данным Министерства экономики МО.</w:t>
      </w:r>
      <w:r>
        <w:rPr>
          <w:noProof/>
          <w:color w:val="000000"/>
        </w:rPr>
        <w:br/>
      </w:r>
    </w:p>
    <w:p w:rsidR="00122108" w:rsidRDefault="003920FE" w:rsidP="00C757E5">
      <w:pPr>
        <w:pStyle w:val="af1"/>
        <w:shd w:val="clear" w:color="auto" w:fill="FFFFFF"/>
        <w:spacing w:before="0" w:beforeAutospacing="0" w:after="0" w:afterAutospacing="0"/>
        <w:jc w:val="both"/>
        <w:rPr>
          <w:color w:val="000000"/>
        </w:rPr>
      </w:pPr>
      <w:r>
        <w:rPr>
          <w:color w:val="000000"/>
        </w:rPr>
        <w:t xml:space="preserve">            Видно, что </w:t>
      </w:r>
      <w:r w:rsidR="00122108">
        <w:rPr>
          <w:color w:val="000000"/>
        </w:rPr>
        <w:t xml:space="preserve"> в период</w:t>
      </w:r>
      <w:r w:rsidR="00656C90">
        <w:rPr>
          <w:color w:val="000000"/>
        </w:rPr>
        <w:t xml:space="preserve"> роста ИОКмо</w:t>
      </w:r>
      <w:r w:rsidR="00122108" w:rsidRPr="00A87796">
        <w:rPr>
          <w:color w:val="000000"/>
        </w:rPr>
        <w:t xml:space="preserve"> </w:t>
      </w:r>
      <w:r w:rsidR="00122108">
        <w:rPr>
          <w:color w:val="000000"/>
        </w:rPr>
        <w:t>среднегодовое значение Кврпм</w:t>
      </w:r>
      <w:r w:rsidR="00BC4C37">
        <w:rPr>
          <w:color w:val="000000"/>
        </w:rPr>
        <w:t>о</w:t>
      </w:r>
      <w:r w:rsidR="00122108">
        <w:rPr>
          <w:color w:val="000000"/>
        </w:rPr>
        <w:t>=</w:t>
      </w:r>
      <w:r w:rsidR="00BC4C37">
        <w:rPr>
          <w:b/>
          <w:color w:val="000000"/>
        </w:rPr>
        <w:t>0,34</w:t>
      </w:r>
      <w:r w:rsidR="00122108" w:rsidRPr="00A87796">
        <w:rPr>
          <w:b/>
          <w:color w:val="000000"/>
        </w:rPr>
        <w:t>,</w:t>
      </w:r>
      <w:r w:rsidR="00122108">
        <w:rPr>
          <w:color w:val="000000"/>
        </w:rPr>
        <w:t xml:space="preserve"> чт</w:t>
      </w:r>
      <w:r w:rsidR="00BC4C37">
        <w:rPr>
          <w:color w:val="000000"/>
        </w:rPr>
        <w:t xml:space="preserve">о близко к значению </w:t>
      </w:r>
      <w:r w:rsidR="00BC4C37" w:rsidRPr="00BC4C37">
        <w:rPr>
          <w:b/>
          <w:color w:val="000000"/>
        </w:rPr>
        <w:t>0,3</w:t>
      </w:r>
      <w:r w:rsidR="008E4A52">
        <w:rPr>
          <w:b/>
          <w:color w:val="000000"/>
        </w:rPr>
        <w:t>5</w:t>
      </w:r>
      <w:r w:rsidR="00122108">
        <w:rPr>
          <w:color w:val="000000"/>
        </w:rPr>
        <w:t xml:space="preserve">,полученному выше другим способом. </w:t>
      </w:r>
    </w:p>
    <w:p w:rsidR="00C757E5" w:rsidRDefault="00CF4723" w:rsidP="00C757E5">
      <w:pPr>
        <w:pStyle w:val="af1"/>
        <w:shd w:val="clear" w:color="auto" w:fill="FFFFFF"/>
        <w:spacing w:before="0" w:beforeAutospacing="0" w:after="0" w:afterAutospacing="0"/>
        <w:ind w:firstLine="720"/>
        <w:jc w:val="both"/>
        <w:rPr>
          <w:noProof/>
          <w:color w:val="000000"/>
        </w:rPr>
      </w:pPr>
      <w:r>
        <w:rPr>
          <w:noProof/>
          <w:color w:val="000000"/>
        </w:rPr>
        <w:t>В материалах  Министерства экономики</w:t>
      </w:r>
      <w:r w:rsidR="008D31D6">
        <w:rPr>
          <w:noProof/>
          <w:color w:val="000000"/>
        </w:rPr>
        <w:t xml:space="preserve"> МО(октябрь 2013 год, </w:t>
      </w:r>
      <w:r w:rsidR="00301CE3">
        <w:rPr>
          <w:noProof/>
          <w:color w:val="000000"/>
        </w:rPr>
        <w:t>п</w:t>
      </w:r>
      <w:r w:rsidR="008D31D6">
        <w:rPr>
          <w:noProof/>
          <w:color w:val="000000"/>
          <w:lang w:val="en-US"/>
        </w:rPr>
        <w:t>me</w:t>
      </w:r>
      <w:r w:rsidR="008D31D6" w:rsidRPr="00B839B3">
        <w:rPr>
          <w:noProof/>
          <w:color w:val="000000"/>
        </w:rPr>
        <w:t>.</w:t>
      </w:r>
      <w:r w:rsidR="008D31D6">
        <w:rPr>
          <w:noProof/>
          <w:color w:val="000000"/>
          <w:lang w:val="en-US"/>
        </w:rPr>
        <w:t>mosreg</w:t>
      </w:r>
      <w:r w:rsidR="008D31D6" w:rsidRPr="00B839B3">
        <w:rPr>
          <w:noProof/>
          <w:color w:val="000000"/>
        </w:rPr>
        <w:t>.</w:t>
      </w:r>
      <w:r w:rsidR="008D31D6">
        <w:rPr>
          <w:noProof/>
          <w:color w:val="000000"/>
          <w:lang w:val="en-US"/>
        </w:rPr>
        <w:t>ru</w:t>
      </w:r>
      <w:r w:rsidR="008D31D6" w:rsidRPr="00B839B3">
        <w:rPr>
          <w:noProof/>
          <w:color w:val="000000"/>
        </w:rPr>
        <w:t>)</w:t>
      </w:r>
      <w:r w:rsidR="008D31D6">
        <w:rPr>
          <w:noProof/>
          <w:color w:val="000000"/>
        </w:rPr>
        <w:t xml:space="preserve"> </w:t>
      </w:r>
      <w:r>
        <w:rPr>
          <w:noProof/>
          <w:color w:val="000000"/>
        </w:rPr>
        <w:t xml:space="preserve"> </w:t>
      </w:r>
      <w:r w:rsidR="00C029EA">
        <w:rPr>
          <w:noProof/>
          <w:color w:val="000000"/>
        </w:rPr>
        <w:t>на период 2013-2015 гг. приняты следующие прогнозные значения ИОКмо 3,4%;3,8%;4,4%, а соответвествующие темпы роста ВРПмо 6,8%;6,9%;7%.</w:t>
      </w:r>
      <w:r w:rsidR="008D31D6">
        <w:rPr>
          <w:noProof/>
          <w:color w:val="000000"/>
        </w:rPr>
        <w:t xml:space="preserve"> Тогда е</w:t>
      </w:r>
      <w:r w:rsidR="00BC4C37">
        <w:rPr>
          <w:noProof/>
          <w:color w:val="000000"/>
        </w:rPr>
        <w:t>жегодные</w:t>
      </w:r>
      <w:r w:rsidR="008D31D6">
        <w:rPr>
          <w:noProof/>
          <w:color w:val="000000"/>
        </w:rPr>
        <w:t xml:space="preserve"> прогнозные значения Кврпмо</w:t>
      </w:r>
      <w:r w:rsidR="00301CE3">
        <w:rPr>
          <w:noProof/>
          <w:color w:val="000000"/>
        </w:rPr>
        <w:t xml:space="preserve"> будут</w:t>
      </w:r>
      <w:r w:rsidR="00B839B3">
        <w:rPr>
          <w:noProof/>
          <w:color w:val="000000"/>
        </w:rPr>
        <w:t xml:space="preserve"> </w:t>
      </w:r>
      <w:r w:rsidR="00301CE3">
        <w:rPr>
          <w:noProof/>
          <w:color w:val="000000"/>
        </w:rPr>
        <w:t>находи</w:t>
      </w:r>
      <w:r w:rsidR="00B839B3">
        <w:rPr>
          <w:noProof/>
          <w:color w:val="000000"/>
        </w:rPr>
        <w:t>т</w:t>
      </w:r>
      <w:r w:rsidR="00301CE3">
        <w:rPr>
          <w:noProof/>
          <w:color w:val="000000"/>
        </w:rPr>
        <w:t>ь</w:t>
      </w:r>
      <w:r w:rsidR="00B839B3">
        <w:rPr>
          <w:noProof/>
          <w:color w:val="000000"/>
        </w:rPr>
        <w:t>ся в диа</w:t>
      </w:r>
      <w:r w:rsidR="00301CE3">
        <w:rPr>
          <w:noProof/>
          <w:color w:val="000000"/>
        </w:rPr>
        <w:t>п</w:t>
      </w:r>
      <w:r w:rsidR="00B839B3">
        <w:rPr>
          <w:noProof/>
          <w:color w:val="000000"/>
        </w:rPr>
        <w:t xml:space="preserve">азоне 1,59-2,0, что </w:t>
      </w:r>
      <w:r w:rsidR="00DC28DC">
        <w:rPr>
          <w:noProof/>
          <w:color w:val="000000"/>
        </w:rPr>
        <w:t xml:space="preserve">в 4,7-5,9 раз больше, чем среднегодовое значение Кврпмо=0,34, полученным в предыдущие периоды роста ИОКмо. Отсюда следует, что </w:t>
      </w:r>
      <w:r w:rsidR="00377CE4">
        <w:rPr>
          <w:noProof/>
          <w:color w:val="000000"/>
        </w:rPr>
        <w:t xml:space="preserve">такие значения Кврпмо экономически </w:t>
      </w:r>
      <w:r w:rsidR="00377CE4" w:rsidRPr="0023702F">
        <w:rPr>
          <w:b/>
          <w:noProof/>
          <w:color w:val="000000"/>
        </w:rPr>
        <w:t>невозможны</w:t>
      </w:r>
      <w:r w:rsidR="00377CE4">
        <w:rPr>
          <w:noProof/>
          <w:color w:val="000000"/>
        </w:rPr>
        <w:t>.</w:t>
      </w:r>
      <w:r w:rsidR="001C3FF2">
        <w:rPr>
          <w:noProof/>
          <w:color w:val="000000"/>
        </w:rPr>
        <w:t xml:space="preserve"> Реально п</w:t>
      </w:r>
      <w:r w:rsidR="00EA25CC">
        <w:rPr>
          <w:noProof/>
          <w:color w:val="000000"/>
        </w:rPr>
        <w:t>о</w:t>
      </w:r>
      <w:r w:rsidR="001C3FF2">
        <w:rPr>
          <w:noProof/>
          <w:color w:val="000000"/>
        </w:rPr>
        <w:t xml:space="preserve"> заданны</w:t>
      </w:r>
      <w:r w:rsidR="00EA25CC">
        <w:rPr>
          <w:noProof/>
          <w:color w:val="000000"/>
        </w:rPr>
        <w:t>м</w:t>
      </w:r>
      <w:r w:rsidR="001C3FF2">
        <w:rPr>
          <w:noProof/>
          <w:color w:val="000000"/>
        </w:rPr>
        <w:t xml:space="preserve"> </w:t>
      </w:r>
      <w:r w:rsidR="002A0399">
        <w:rPr>
          <w:noProof/>
          <w:color w:val="000000"/>
        </w:rPr>
        <w:t>прогнозны</w:t>
      </w:r>
      <w:r w:rsidR="00EA25CC">
        <w:rPr>
          <w:noProof/>
          <w:color w:val="000000"/>
        </w:rPr>
        <w:t>м</w:t>
      </w:r>
      <w:r w:rsidR="002A0399">
        <w:rPr>
          <w:noProof/>
          <w:color w:val="000000"/>
        </w:rPr>
        <w:t xml:space="preserve"> </w:t>
      </w:r>
      <w:r w:rsidR="001C3FF2">
        <w:rPr>
          <w:noProof/>
          <w:color w:val="000000"/>
        </w:rPr>
        <w:t>значения</w:t>
      </w:r>
      <w:r w:rsidR="00301CE3">
        <w:rPr>
          <w:noProof/>
          <w:color w:val="000000"/>
        </w:rPr>
        <w:t xml:space="preserve">м </w:t>
      </w:r>
      <w:r w:rsidR="00EA25CC">
        <w:rPr>
          <w:noProof/>
          <w:color w:val="000000"/>
        </w:rPr>
        <w:t>для</w:t>
      </w:r>
      <w:r w:rsidR="0076528B">
        <w:rPr>
          <w:noProof/>
          <w:color w:val="000000"/>
        </w:rPr>
        <w:t xml:space="preserve"> темпов роста</w:t>
      </w:r>
      <w:r w:rsidR="001C3FF2">
        <w:rPr>
          <w:noProof/>
          <w:color w:val="000000"/>
        </w:rPr>
        <w:t xml:space="preserve"> ИОКмо </w:t>
      </w:r>
      <w:r w:rsidR="003562AA">
        <w:rPr>
          <w:noProof/>
          <w:color w:val="000000"/>
        </w:rPr>
        <w:t>темпы роста ВРПмо будут равняться 3,4%*0,34=</w:t>
      </w:r>
      <w:r w:rsidR="003562AA" w:rsidRPr="003562AA">
        <w:rPr>
          <w:b/>
          <w:noProof/>
          <w:color w:val="000000"/>
        </w:rPr>
        <w:t>1,2%;</w:t>
      </w:r>
      <w:r w:rsidR="003562AA">
        <w:rPr>
          <w:noProof/>
          <w:color w:val="000000"/>
        </w:rPr>
        <w:t xml:space="preserve"> 3,8%*0,34=</w:t>
      </w:r>
      <w:r w:rsidR="003562AA" w:rsidRPr="003562AA">
        <w:rPr>
          <w:b/>
          <w:noProof/>
          <w:color w:val="000000"/>
        </w:rPr>
        <w:t>1,3%</w:t>
      </w:r>
      <w:r w:rsidR="003562AA">
        <w:rPr>
          <w:noProof/>
          <w:color w:val="000000"/>
        </w:rPr>
        <w:t xml:space="preserve"> и 4,4%*0,34=</w:t>
      </w:r>
      <w:r w:rsidR="003562AA" w:rsidRPr="003562AA">
        <w:rPr>
          <w:b/>
          <w:noProof/>
          <w:color w:val="000000"/>
        </w:rPr>
        <w:t>1,5%</w:t>
      </w:r>
      <w:r w:rsidR="00EA25CC">
        <w:rPr>
          <w:b/>
          <w:noProof/>
          <w:color w:val="000000"/>
        </w:rPr>
        <w:t>,</w:t>
      </w:r>
      <w:r w:rsidR="003562AA">
        <w:rPr>
          <w:noProof/>
          <w:color w:val="000000"/>
        </w:rPr>
        <w:t xml:space="preserve"> соответственно.</w:t>
      </w:r>
    </w:p>
    <w:p w:rsidR="00C757E5" w:rsidRDefault="00685913" w:rsidP="00C757E5">
      <w:pPr>
        <w:pStyle w:val="af1"/>
        <w:shd w:val="clear" w:color="auto" w:fill="FFFFFF"/>
        <w:spacing w:before="0" w:beforeAutospacing="0" w:after="0" w:afterAutospacing="0"/>
        <w:ind w:firstLine="720"/>
        <w:jc w:val="both"/>
        <w:rPr>
          <w:color w:val="000000"/>
        </w:rPr>
      </w:pPr>
      <w:r>
        <w:rPr>
          <w:color w:val="000000"/>
        </w:rPr>
        <w:t>Наоборот, при заданных прогнозных значениях темпов роста ВРПмо в 2013-2015 гг.:</w:t>
      </w:r>
      <w:r w:rsidR="00794CFE">
        <w:rPr>
          <w:color w:val="000000"/>
        </w:rPr>
        <w:t>6,8%;</w:t>
      </w:r>
      <w:r>
        <w:rPr>
          <w:color w:val="000000"/>
        </w:rPr>
        <w:t>6,9%</w:t>
      </w:r>
      <w:r w:rsidR="00794CFE">
        <w:rPr>
          <w:color w:val="000000"/>
        </w:rPr>
        <w:t xml:space="preserve"> и</w:t>
      </w:r>
      <w:r>
        <w:rPr>
          <w:color w:val="000000"/>
        </w:rPr>
        <w:t xml:space="preserve"> 7% соответственно темпы роста ИОКмо должны равняться: 6.8%/0,34=20%; 6.9%/0,34=20,3; 7%/0,34=20,6%.</w:t>
      </w:r>
      <w:r w:rsidR="00794CFE">
        <w:rPr>
          <w:color w:val="000000"/>
        </w:rPr>
        <w:t xml:space="preserve"> В настоящее время достижение таких значений темпов роста ИОКмо в Московской области </w:t>
      </w:r>
      <w:r w:rsidR="00794CFE" w:rsidRPr="00794CFE">
        <w:rPr>
          <w:b/>
          <w:color w:val="000000"/>
        </w:rPr>
        <w:t>абсолютно</w:t>
      </w:r>
      <w:r w:rsidR="00794CFE">
        <w:rPr>
          <w:color w:val="000000"/>
        </w:rPr>
        <w:t xml:space="preserve"> невозможно.</w:t>
      </w:r>
    </w:p>
    <w:p w:rsidR="00477D6E" w:rsidRDefault="00477D6E" w:rsidP="00C757E5">
      <w:pPr>
        <w:pStyle w:val="af1"/>
        <w:shd w:val="clear" w:color="auto" w:fill="FFFFFF"/>
        <w:spacing w:before="0" w:beforeAutospacing="0" w:after="0" w:afterAutospacing="0"/>
        <w:ind w:firstLine="720"/>
        <w:jc w:val="both"/>
        <w:rPr>
          <w:noProof/>
          <w:color w:val="000000"/>
        </w:rPr>
      </w:pPr>
    </w:p>
    <w:p w:rsidR="00590D4F" w:rsidRDefault="00590D4F" w:rsidP="00590D4F">
      <w:pPr>
        <w:pStyle w:val="af1"/>
        <w:shd w:val="clear" w:color="auto" w:fill="FFFFFF"/>
        <w:spacing w:before="0" w:beforeAutospacing="0" w:after="0" w:afterAutospacing="0"/>
        <w:ind w:firstLine="720"/>
        <w:jc w:val="center"/>
        <w:rPr>
          <w:b/>
          <w:color w:val="000000"/>
        </w:rPr>
      </w:pPr>
      <w:r>
        <w:rPr>
          <w:b/>
          <w:color w:val="000000"/>
        </w:rPr>
        <w:t xml:space="preserve">9.2.5.Связь между темпами изменения  ИОКмр и ВРПмр </w:t>
      </w:r>
      <w:r w:rsidRPr="00EE283D">
        <w:rPr>
          <w:b/>
          <w:color w:val="000000"/>
        </w:rPr>
        <w:t>в Моск</w:t>
      </w:r>
      <w:r>
        <w:rPr>
          <w:b/>
          <w:color w:val="000000"/>
        </w:rPr>
        <w:t>овско</w:t>
      </w:r>
      <w:r w:rsidR="006D13BB">
        <w:rPr>
          <w:b/>
          <w:color w:val="000000"/>
        </w:rPr>
        <w:t>м</w:t>
      </w:r>
      <w:r>
        <w:rPr>
          <w:b/>
          <w:color w:val="000000"/>
        </w:rPr>
        <w:t xml:space="preserve"> регионе.</w:t>
      </w:r>
    </w:p>
    <w:p w:rsidR="00CA0EBC" w:rsidRDefault="00CA0EBC" w:rsidP="00CA0EBC">
      <w:pPr>
        <w:pStyle w:val="af1"/>
        <w:shd w:val="clear" w:color="auto" w:fill="FFFFFF"/>
        <w:ind w:firstLine="720"/>
        <w:jc w:val="both"/>
        <w:rPr>
          <w:color w:val="000000"/>
        </w:rPr>
      </w:pPr>
      <w:r w:rsidRPr="00A81F9F">
        <w:rPr>
          <w:color w:val="000000"/>
        </w:rPr>
        <w:t xml:space="preserve">Для разработки обоснованного прогноза электропотребления в Московском регионе на период до 2020 – 2022гг., требуется определить </w:t>
      </w:r>
      <w:r>
        <w:rPr>
          <w:color w:val="000000"/>
        </w:rPr>
        <w:t>среднегодовой</w:t>
      </w:r>
      <w:r w:rsidRPr="00A81F9F">
        <w:rPr>
          <w:color w:val="000000"/>
        </w:rPr>
        <w:t xml:space="preserve"> коэффициент эластичности ВРП</w:t>
      </w:r>
      <w:r>
        <w:rPr>
          <w:color w:val="000000"/>
        </w:rPr>
        <w:t>м</w:t>
      </w:r>
      <w:r w:rsidRPr="00A81F9F">
        <w:rPr>
          <w:color w:val="000000"/>
        </w:rPr>
        <w:t xml:space="preserve">р </w:t>
      </w:r>
      <w:r>
        <w:rPr>
          <w:color w:val="000000"/>
        </w:rPr>
        <w:t>к</w:t>
      </w:r>
      <w:r w:rsidRPr="00A81F9F">
        <w:rPr>
          <w:color w:val="000000"/>
        </w:rPr>
        <w:t xml:space="preserve"> ИОК</w:t>
      </w:r>
      <w:r>
        <w:rPr>
          <w:color w:val="000000"/>
        </w:rPr>
        <w:t>м</w:t>
      </w:r>
      <w:r w:rsidRPr="00A81F9F">
        <w:rPr>
          <w:color w:val="000000"/>
        </w:rPr>
        <w:t>р в предшествующем десятилетии. Для этого необходимо вычислить темп изменения ИОК</w:t>
      </w:r>
      <w:r>
        <w:rPr>
          <w:color w:val="000000"/>
        </w:rPr>
        <w:t>мр во</w:t>
      </w:r>
      <w:r w:rsidRPr="00A81F9F">
        <w:rPr>
          <w:color w:val="000000"/>
        </w:rPr>
        <w:t xml:space="preserve"> все</w:t>
      </w:r>
      <w:r>
        <w:rPr>
          <w:color w:val="000000"/>
        </w:rPr>
        <w:t>м Московском</w:t>
      </w:r>
      <w:r w:rsidRPr="00A81F9F">
        <w:rPr>
          <w:color w:val="000000"/>
        </w:rPr>
        <w:t xml:space="preserve"> регион</w:t>
      </w:r>
      <w:r>
        <w:rPr>
          <w:color w:val="000000"/>
        </w:rPr>
        <w:t>е.</w:t>
      </w:r>
      <w:r w:rsidRPr="00A81F9F">
        <w:rPr>
          <w:color w:val="000000"/>
        </w:rPr>
        <w:t xml:space="preserve"> </w:t>
      </w:r>
    </w:p>
    <w:p w:rsidR="006D754A" w:rsidRDefault="00CA0EBC" w:rsidP="006D754A">
      <w:pPr>
        <w:pStyle w:val="af1"/>
        <w:shd w:val="clear" w:color="auto" w:fill="FFFFFF"/>
        <w:spacing w:before="0" w:beforeAutospacing="0" w:after="0" w:afterAutospacing="0"/>
        <w:ind w:firstLine="720"/>
        <w:jc w:val="both"/>
        <w:rPr>
          <w:color w:val="000000"/>
        </w:rPr>
      </w:pPr>
      <w:r>
        <w:rPr>
          <w:color w:val="000000"/>
        </w:rPr>
        <w:t>Инвестиции в основной капитал в Московском регионе (ИОКмр)</w:t>
      </w:r>
      <w:r w:rsidR="006D754A">
        <w:rPr>
          <w:color w:val="000000"/>
        </w:rPr>
        <w:t xml:space="preserve"> равняется сумме  </w:t>
      </w:r>
      <w:r>
        <w:rPr>
          <w:color w:val="000000"/>
        </w:rPr>
        <w:t>ИОКм и ИОКмо</w:t>
      </w:r>
      <w:r w:rsidR="006D754A">
        <w:rPr>
          <w:color w:val="000000"/>
        </w:rPr>
        <w:t xml:space="preserve"> Москвы и Московской области:</w:t>
      </w:r>
    </w:p>
    <w:p w:rsidR="00CA0EBC" w:rsidRDefault="00CA0EBC" w:rsidP="00CA0EBC">
      <w:pPr>
        <w:pStyle w:val="af1"/>
        <w:shd w:val="clear" w:color="auto" w:fill="FFFFFF"/>
        <w:spacing w:before="0" w:beforeAutospacing="0" w:after="0" w:afterAutospacing="0"/>
        <w:ind w:firstLine="720"/>
        <w:jc w:val="center"/>
        <w:rPr>
          <w:color w:val="000000"/>
        </w:rPr>
      </w:pPr>
    </w:p>
    <w:p w:rsidR="006D754A" w:rsidRDefault="006D754A" w:rsidP="006D754A">
      <w:pPr>
        <w:pStyle w:val="af1"/>
        <w:shd w:val="clear" w:color="auto" w:fill="FFFFFF"/>
        <w:spacing w:before="0" w:beforeAutospacing="0" w:after="0" w:afterAutospacing="0"/>
        <w:ind w:firstLine="720"/>
        <w:jc w:val="both"/>
        <w:rPr>
          <w:color w:val="000000"/>
        </w:rPr>
      </w:pPr>
    </w:p>
    <w:p w:rsidR="006D754A" w:rsidRDefault="00CA0EBC" w:rsidP="006D754A">
      <w:pPr>
        <w:pStyle w:val="af1"/>
        <w:shd w:val="clear" w:color="auto" w:fill="FFFFFF"/>
        <w:spacing w:before="0" w:beforeAutospacing="0" w:after="0" w:afterAutospacing="0"/>
        <w:ind w:firstLine="720"/>
        <w:jc w:val="right"/>
        <w:rPr>
          <w:color w:val="000000"/>
        </w:rPr>
      </w:pPr>
      <w:r>
        <w:rPr>
          <w:color w:val="000000"/>
        </w:rPr>
        <w:t>ИОК</w:t>
      </w:r>
      <w:r w:rsidR="006D754A">
        <w:rPr>
          <w:color w:val="000000"/>
        </w:rPr>
        <w:t xml:space="preserve">мр = </w:t>
      </w:r>
      <w:r>
        <w:rPr>
          <w:color w:val="000000"/>
        </w:rPr>
        <w:t>ИОК</w:t>
      </w:r>
      <w:r w:rsidR="006D754A">
        <w:rPr>
          <w:color w:val="000000"/>
        </w:rPr>
        <w:t xml:space="preserve">м + </w:t>
      </w:r>
      <w:r>
        <w:rPr>
          <w:color w:val="000000"/>
        </w:rPr>
        <w:t>ИОК</w:t>
      </w:r>
      <w:r w:rsidR="006D754A">
        <w:rPr>
          <w:color w:val="000000"/>
        </w:rPr>
        <w:t>мо ,                                               (1),</w:t>
      </w:r>
    </w:p>
    <w:p w:rsidR="006D754A" w:rsidRDefault="006D754A" w:rsidP="006D754A">
      <w:pPr>
        <w:pStyle w:val="af1"/>
        <w:shd w:val="clear" w:color="auto" w:fill="FFFFFF"/>
        <w:spacing w:before="0" w:beforeAutospacing="0" w:after="0" w:afterAutospacing="0"/>
        <w:ind w:firstLine="720"/>
        <w:jc w:val="center"/>
        <w:rPr>
          <w:color w:val="000000"/>
        </w:rPr>
      </w:pPr>
    </w:p>
    <w:p w:rsidR="006D754A" w:rsidRDefault="006D754A" w:rsidP="006D754A">
      <w:pPr>
        <w:pStyle w:val="af1"/>
        <w:shd w:val="clear" w:color="auto" w:fill="FFFFFF"/>
        <w:spacing w:before="0" w:beforeAutospacing="0" w:after="0" w:afterAutospacing="0"/>
        <w:ind w:firstLine="720"/>
        <w:jc w:val="both"/>
        <w:rPr>
          <w:color w:val="000000"/>
        </w:rPr>
      </w:pPr>
    </w:p>
    <w:p w:rsidR="006D754A" w:rsidRDefault="006D754A" w:rsidP="006D754A">
      <w:pPr>
        <w:pStyle w:val="af1"/>
        <w:shd w:val="clear" w:color="auto" w:fill="FFFFFF"/>
        <w:spacing w:before="0" w:beforeAutospacing="0" w:after="0" w:afterAutospacing="0"/>
        <w:ind w:firstLine="720"/>
        <w:rPr>
          <w:color w:val="000000"/>
        </w:rPr>
      </w:pPr>
      <w:r>
        <w:rPr>
          <w:color w:val="000000"/>
        </w:rPr>
        <w:t>По определению коэффициент эластичности  ВРПмр</w:t>
      </w:r>
      <w:r w:rsidR="00501545">
        <w:rPr>
          <w:color w:val="000000"/>
        </w:rPr>
        <w:t xml:space="preserve"> к ИОКмр</w:t>
      </w:r>
      <w:r>
        <w:rPr>
          <w:color w:val="000000"/>
        </w:rPr>
        <w:t xml:space="preserve"> представляет собой отношение ежегодных темпов изменения ВРПмр</w:t>
      </w:r>
      <w:r w:rsidR="00501545">
        <w:rPr>
          <w:color w:val="000000"/>
        </w:rPr>
        <w:t xml:space="preserve"> к ИОКмр</w:t>
      </w:r>
      <w:r>
        <w:rPr>
          <w:color w:val="000000"/>
        </w:rPr>
        <w:t xml:space="preserve"> в Московском регионе:</w:t>
      </w:r>
    </w:p>
    <w:p w:rsidR="006D754A" w:rsidRPr="00501545" w:rsidRDefault="006D754A" w:rsidP="00501545">
      <w:pPr>
        <w:jc w:val="center"/>
      </w:pPr>
      <w:r>
        <w:rPr>
          <w:color w:val="000000"/>
        </w:rPr>
        <w:br/>
      </w:r>
      <w:r>
        <w:t xml:space="preserve">                                          </w:t>
      </w:r>
      <w:r w:rsidRPr="00AE5AC9">
        <w:rPr>
          <w:rFonts w:ascii="Cambria Math" w:hAnsi="Cambria Math"/>
        </w:rPr>
        <w:br/>
      </w:r>
      <w:r w:rsidR="004A0C9F" w:rsidRPr="00521B0B">
        <w:t xml:space="preserve">                                                             </w:t>
      </w:r>
      <m:oMath>
        <m:r>
          <m:rPr>
            <m:sty m:val="p"/>
          </m:rPr>
          <m:t>Кврпмр</m:t>
        </m:r>
        <m:r>
          <w:rPr>
            <w:rFonts w:ascii="Cambria Math"/>
          </w:rPr>
          <m:t>=</m:t>
        </m:r>
        <m:f>
          <m:fPr>
            <m:ctrlPr>
              <w:rPr>
                <w:rFonts w:ascii="Cambria Math" w:hAnsi="Cambria Math"/>
                <w:lang w:eastAsia="en-US"/>
              </w:rPr>
            </m:ctrlPr>
          </m:fPr>
          <m:num>
            <m:r>
              <m:rPr>
                <m:sty m:val="p"/>
              </m:rPr>
              <m:t>ΔВРПмр</m:t>
            </m:r>
          </m:num>
          <m:den>
            <m:r>
              <m:rPr>
                <m:sty m:val="p"/>
              </m:rPr>
              <m:t>ВРПмр</m:t>
            </m:r>
          </m:den>
        </m:f>
        <m:r>
          <m:rPr>
            <m:sty m:val="p"/>
          </m:rPr>
          <w:rPr>
            <w:rFonts w:ascii="Cambria Math"/>
          </w:rPr>
          <m:t>/</m:t>
        </m:r>
        <m:f>
          <m:fPr>
            <m:ctrlPr>
              <w:rPr>
                <w:rFonts w:ascii="Cambria Math" w:hAnsi="Cambria Math"/>
                <w:lang w:eastAsia="en-US"/>
              </w:rPr>
            </m:ctrlPr>
          </m:fPr>
          <m:num>
            <m:r>
              <m:rPr>
                <m:sty m:val="p"/>
              </m:rPr>
              <m:t>ΔИОКмр</m:t>
            </m:r>
          </m:num>
          <m:den>
            <m:r>
              <m:rPr>
                <m:sty m:val="p"/>
              </m:rPr>
              <m:t>ИОКмр</m:t>
            </m:r>
          </m:den>
        </m:f>
      </m:oMath>
      <w:r w:rsidR="004A0C9F">
        <w:t xml:space="preserve">                                         </w:t>
      </w:r>
      <w:r>
        <w:t>(</w:t>
      </w:r>
      <w:r w:rsidR="007B5F0C">
        <w:t>2</w:t>
      </w:r>
      <w:r>
        <w:t>)</w:t>
      </w:r>
    </w:p>
    <w:p w:rsidR="006D754A" w:rsidRDefault="006D754A" w:rsidP="006D754A">
      <w:pPr>
        <w:pStyle w:val="af1"/>
        <w:shd w:val="clear" w:color="auto" w:fill="FFFFFF"/>
        <w:spacing w:before="0" w:beforeAutospacing="0" w:after="0" w:afterAutospacing="0"/>
        <w:ind w:firstLine="720"/>
        <w:jc w:val="center"/>
        <w:rPr>
          <w:color w:val="000000"/>
        </w:rPr>
      </w:pPr>
      <w:r>
        <w:rPr>
          <w:rFonts w:ascii="Calibri" w:hAnsi="Calibri" w:cs="Calibri"/>
          <w:color w:val="000000"/>
        </w:rPr>
        <w:t xml:space="preserve"> </w:t>
      </w:r>
    </w:p>
    <w:p w:rsidR="006D754A" w:rsidRDefault="006D754A" w:rsidP="006D754A">
      <w:pPr>
        <w:pStyle w:val="af1"/>
        <w:shd w:val="clear" w:color="auto" w:fill="FFFFFF"/>
        <w:spacing w:before="0" w:beforeAutospacing="0" w:after="0" w:afterAutospacing="0"/>
        <w:ind w:firstLine="720"/>
        <w:jc w:val="center"/>
        <w:rPr>
          <w:color w:val="000000"/>
        </w:rPr>
      </w:pPr>
    </w:p>
    <w:p w:rsidR="006D754A" w:rsidRDefault="006D754A" w:rsidP="006D754A">
      <w:pPr>
        <w:pStyle w:val="af1"/>
        <w:shd w:val="clear" w:color="auto" w:fill="FFFFFF"/>
        <w:spacing w:before="0" w:beforeAutospacing="0" w:after="0" w:afterAutospacing="0"/>
        <w:ind w:firstLine="720"/>
        <w:jc w:val="both"/>
        <w:rPr>
          <w:color w:val="000000"/>
        </w:rPr>
      </w:pPr>
      <w:r>
        <w:rPr>
          <w:color w:val="000000"/>
        </w:rPr>
        <w:t xml:space="preserve">где </w:t>
      </w:r>
      <w:r w:rsidR="00A603C4">
        <w:rPr>
          <w:rFonts w:ascii="Calibri" w:hAnsi="Calibri" w:cs="Calibri"/>
          <w:color w:val="000000"/>
        </w:rPr>
        <w:t>Δ</w:t>
      </w:r>
      <w:r w:rsidR="00A603C4">
        <w:rPr>
          <w:color w:val="000000"/>
        </w:rPr>
        <w:t>ВРПмр</w:t>
      </w:r>
      <w:r w:rsidR="00A603C4">
        <w:rPr>
          <w:rFonts w:ascii="Calibri" w:hAnsi="Calibri" w:cs="Calibri"/>
          <w:color w:val="000000"/>
        </w:rPr>
        <w:t xml:space="preserve"> и </w:t>
      </w:r>
      <w:r>
        <w:rPr>
          <w:rFonts w:ascii="Calibri" w:hAnsi="Calibri" w:cs="Calibri"/>
          <w:color w:val="000000"/>
        </w:rPr>
        <w:t>Δ</w:t>
      </w:r>
      <w:r w:rsidR="00A603C4">
        <w:rPr>
          <w:color w:val="000000"/>
        </w:rPr>
        <w:t>ИОК</w:t>
      </w:r>
      <w:r>
        <w:rPr>
          <w:color w:val="000000"/>
        </w:rPr>
        <w:t>м</w:t>
      </w:r>
      <w:r w:rsidR="00A603C4">
        <w:rPr>
          <w:color w:val="000000"/>
        </w:rPr>
        <w:t xml:space="preserve">р </w:t>
      </w:r>
      <w:r>
        <w:rPr>
          <w:color w:val="000000"/>
        </w:rPr>
        <w:t xml:space="preserve"> – соответственно изменения</w:t>
      </w:r>
      <w:r w:rsidR="00A603C4">
        <w:rPr>
          <w:color w:val="000000"/>
        </w:rPr>
        <w:t xml:space="preserve"> объемов</w:t>
      </w:r>
      <w:r>
        <w:rPr>
          <w:color w:val="000000"/>
        </w:rPr>
        <w:t xml:space="preserve"> </w:t>
      </w:r>
      <w:r w:rsidR="00A603C4">
        <w:rPr>
          <w:color w:val="000000"/>
        </w:rPr>
        <w:t xml:space="preserve">ВРПмр </w:t>
      </w:r>
      <w:r>
        <w:rPr>
          <w:color w:val="000000"/>
        </w:rPr>
        <w:t xml:space="preserve">и </w:t>
      </w:r>
      <w:r w:rsidR="00A603C4">
        <w:rPr>
          <w:color w:val="000000"/>
        </w:rPr>
        <w:t>ИОК</w:t>
      </w:r>
      <w:r>
        <w:rPr>
          <w:color w:val="000000"/>
        </w:rPr>
        <w:t xml:space="preserve">мр в год в Московском регионе, </w:t>
      </w:r>
      <w:r w:rsidR="00FF582A">
        <w:rPr>
          <w:color w:val="000000"/>
        </w:rPr>
        <w:t xml:space="preserve">ВРПмр и </w:t>
      </w:r>
      <w:r w:rsidR="00A603C4">
        <w:rPr>
          <w:color w:val="000000"/>
        </w:rPr>
        <w:t>ИОК</w:t>
      </w:r>
      <w:r>
        <w:rPr>
          <w:color w:val="000000"/>
        </w:rPr>
        <w:t>м</w:t>
      </w:r>
      <w:r w:rsidR="00FF582A">
        <w:rPr>
          <w:color w:val="000000"/>
        </w:rPr>
        <w:t xml:space="preserve">р </w:t>
      </w:r>
      <w:r>
        <w:rPr>
          <w:color w:val="000000"/>
        </w:rPr>
        <w:t xml:space="preserve"> - соответственно </w:t>
      </w:r>
      <w:r w:rsidR="00FF582A">
        <w:rPr>
          <w:color w:val="000000"/>
        </w:rPr>
        <w:t xml:space="preserve">ежегодные </w:t>
      </w:r>
      <w:r>
        <w:rPr>
          <w:color w:val="000000"/>
        </w:rPr>
        <w:t>объем</w:t>
      </w:r>
      <w:r w:rsidR="00FF582A">
        <w:rPr>
          <w:color w:val="000000"/>
        </w:rPr>
        <w:t>ы ВРПмр</w:t>
      </w:r>
      <w:r>
        <w:rPr>
          <w:color w:val="000000"/>
        </w:rPr>
        <w:t xml:space="preserve"> и </w:t>
      </w:r>
      <w:r w:rsidR="00FF582A">
        <w:rPr>
          <w:color w:val="000000"/>
        </w:rPr>
        <w:t>ИОК</w:t>
      </w:r>
      <w:r>
        <w:rPr>
          <w:color w:val="000000"/>
        </w:rPr>
        <w:t>мр в Московском регионе в предшествующий год.</w:t>
      </w:r>
    </w:p>
    <w:p w:rsidR="006D754A" w:rsidRDefault="006D754A" w:rsidP="006D754A">
      <w:pPr>
        <w:pStyle w:val="af1"/>
        <w:shd w:val="clear" w:color="auto" w:fill="FFFFFF"/>
        <w:spacing w:before="0" w:beforeAutospacing="0" w:after="0" w:afterAutospacing="0"/>
        <w:ind w:firstLine="720"/>
        <w:jc w:val="both"/>
        <w:rPr>
          <w:color w:val="000000"/>
        </w:rPr>
      </w:pPr>
    </w:p>
    <w:p w:rsidR="006D754A" w:rsidRDefault="006D754A" w:rsidP="006D754A">
      <w:pPr>
        <w:pStyle w:val="af1"/>
        <w:shd w:val="clear" w:color="auto" w:fill="FFFFFF"/>
        <w:spacing w:before="0" w:beforeAutospacing="0" w:after="0" w:afterAutospacing="0"/>
        <w:ind w:firstLine="720"/>
        <w:jc w:val="both"/>
        <w:rPr>
          <w:color w:val="000000"/>
        </w:rPr>
      </w:pPr>
      <w:r>
        <w:rPr>
          <w:color w:val="000000"/>
        </w:rPr>
        <w:t xml:space="preserve">Отношение </w:t>
      </w:r>
      <w:r w:rsidRPr="00A81F9F">
        <w:rPr>
          <w:color w:val="000000"/>
        </w:rPr>
        <w:t>∆</w:t>
      </w:r>
      <w:r w:rsidR="00FF582A">
        <w:rPr>
          <w:color w:val="000000"/>
        </w:rPr>
        <w:t>ИОКмр</w:t>
      </w:r>
      <w:r>
        <w:rPr>
          <w:color w:val="000000"/>
        </w:rPr>
        <w:t>/</w:t>
      </w:r>
      <w:r w:rsidR="00FF582A">
        <w:rPr>
          <w:color w:val="000000"/>
        </w:rPr>
        <w:t>ИОКм</w:t>
      </w:r>
      <w:r>
        <w:rPr>
          <w:color w:val="000000"/>
        </w:rPr>
        <w:t xml:space="preserve">р представляет собой ежегодный темп изменения </w:t>
      </w:r>
      <w:r w:rsidR="00695D12">
        <w:rPr>
          <w:color w:val="000000"/>
        </w:rPr>
        <w:t>ИОК</w:t>
      </w:r>
      <w:r>
        <w:rPr>
          <w:color w:val="000000"/>
        </w:rPr>
        <w:t>мр в Московском регионе. Он</w:t>
      </w:r>
      <w:r w:rsidRPr="00A81F9F">
        <w:rPr>
          <w:color w:val="000000"/>
        </w:rPr>
        <w:t xml:space="preserve"> определяется </w:t>
      </w:r>
      <w:r>
        <w:rPr>
          <w:color w:val="000000"/>
        </w:rPr>
        <w:t xml:space="preserve">ежегодными </w:t>
      </w:r>
      <w:r w:rsidRPr="00A81F9F">
        <w:rPr>
          <w:color w:val="000000"/>
        </w:rPr>
        <w:t>темпами изменения</w:t>
      </w:r>
      <w:r>
        <w:rPr>
          <w:color w:val="000000"/>
        </w:rPr>
        <w:t xml:space="preserve"> ∆</w:t>
      </w:r>
      <w:r w:rsidR="00695D12">
        <w:rPr>
          <w:color w:val="000000"/>
        </w:rPr>
        <w:t>ИОК</w:t>
      </w:r>
      <w:r>
        <w:rPr>
          <w:color w:val="000000"/>
        </w:rPr>
        <w:t>м/</w:t>
      </w:r>
      <w:r w:rsidR="00695D12">
        <w:rPr>
          <w:color w:val="000000"/>
        </w:rPr>
        <w:t>ИОК</w:t>
      </w:r>
      <w:r>
        <w:rPr>
          <w:color w:val="000000"/>
        </w:rPr>
        <w:t xml:space="preserve">м; </w:t>
      </w:r>
      <w:r w:rsidRPr="00A81F9F">
        <w:rPr>
          <w:color w:val="000000"/>
        </w:rPr>
        <w:t>∆</w:t>
      </w:r>
      <w:r w:rsidR="00695D12">
        <w:rPr>
          <w:color w:val="000000"/>
        </w:rPr>
        <w:t>ИОК</w:t>
      </w:r>
      <w:r w:rsidRPr="00A81F9F">
        <w:rPr>
          <w:color w:val="000000"/>
        </w:rPr>
        <w:t>мо</w:t>
      </w:r>
      <w:r>
        <w:rPr>
          <w:color w:val="000000"/>
        </w:rPr>
        <w:t>/</w:t>
      </w:r>
      <w:r w:rsidR="00695D12">
        <w:rPr>
          <w:color w:val="000000"/>
        </w:rPr>
        <w:t>ИОК</w:t>
      </w:r>
      <w:r>
        <w:rPr>
          <w:color w:val="000000"/>
        </w:rPr>
        <w:t>мо в Москве и Московской области</w:t>
      </w:r>
      <w:r w:rsidRPr="00A81F9F">
        <w:rPr>
          <w:color w:val="000000"/>
        </w:rPr>
        <w:t xml:space="preserve"> с учетом их долей в общем </w:t>
      </w:r>
      <w:r w:rsidR="00695D12">
        <w:rPr>
          <w:color w:val="000000"/>
        </w:rPr>
        <w:t>ИОК</w:t>
      </w:r>
      <w:r>
        <w:rPr>
          <w:color w:val="000000"/>
        </w:rPr>
        <w:t>мр</w:t>
      </w:r>
      <w:r w:rsidRPr="00A81F9F">
        <w:rPr>
          <w:color w:val="000000"/>
        </w:rPr>
        <w:t xml:space="preserve"> </w:t>
      </w:r>
      <w:r>
        <w:rPr>
          <w:color w:val="000000"/>
        </w:rPr>
        <w:t xml:space="preserve">Московского региона, по формуле </w:t>
      </w:r>
      <w:r w:rsidRPr="00A81F9F">
        <w:rPr>
          <w:color w:val="000000"/>
        </w:rPr>
        <w:t>:</w:t>
      </w:r>
    </w:p>
    <w:p w:rsidR="006D754A" w:rsidRPr="00A81F9F" w:rsidRDefault="006D754A" w:rsidP="006D754A">
      <w:pPr>
        <w:pStyle w:val="af1"/>
        <w:shd w:val="clear" w:color="auto" w:fill="FFFFFF"/>
        <w:spacing w:before="0" w:beforeAutospacing="0" w:after="0" w:afterAutospacing="0"/>
        <w:ind w:firstLine="720"/>
        <w:jc w:val="both"/>
        <w:rPr>
          <w:color w:val="000000"/>
        </w:rPr>
      </w:pPr>
    </w:p>
    <w:p w:rsidR="00DB4D46" w:rsidRDefault="006D754A" w:rsidP="00DB4D46">
      <w:r>
        <w:t xml:space="preserve">                                  </w:t>
      </w:r>
      <w:r w:rsidR="00DB4D46" w:rsidRPr="005F3114">
        <w:rPr>
          <w:rFonts w:ascii="Cambria Math" w:hAnsi="Cambria Math"/>
        </w:rPr>
        <w:br/>
      </w:r>
      <w:r w:rsidR="00DB4D46" w:rsidRPr="00521B0B">
        <w:rPr>
          <w:sz w:val="28"/>
          <w:szCs w:val="28"/>
        </w:rPr>
        <w:t xml:space="preserve">                                 </w:t>
      </w:r>
      <w:r w:rsidR="00E84DC8" w:rsidRPr="00521B0B">
        <w:rPr>
          <w:sz w:val="28"/>
          <w:szCs w:val="28"/>
        </w:rPr>
        <w:t xml:space="preserve">         </w:t>
      </w:r>
      <w:r w:rsidR="00DB4D46" w:rsidRPr="00521B0B">
        <w:rPr>
          <w:sz w:val="28"/>
          <w:szCs w:val="28"/>
        </w:rPr>
        <w:t xml:space="preserve">   </w:t>
      </w:r>
      <m:oMath>
        <m:f>
          <m:fPr>
            <m:ctrlPr>
              <w:rPr>
                <w:rFonts w:ascii="Cambria Math" w:hAnsi="Cambria Math"/>
                <w:i/>
                <w:sz w:val="28"/>
                <w:szCs w:val="28"/>
              </w:rPr>
            </m:ctrlPr>
          </m:fPr>
          <m:num>
            <m:r>
              <w:rPr>
                <w:rFonts w:ascii="Cambria Math" w:hAnsi="Cambria Math"/>
                <w:sz w:val="28"/>
                <w:szCs w:val="28"/>
              </w:rPr>
              <m:t>△ИОКмр</m:t>
            </m:r>
          </m:num>
          <m:den>
            <m:r>
              <w:rPr>
                <w:rFonts w:ascii="Cambria Math" w:hAnsi="Cambria Math"/>
                <w:sz w:val="28"/>
                <w:szCs w:val="28"/>
              </w:rPr>
              <m:t>ИОКмр</m:t>
            </m:r>
          </m:den>
        </m:f>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1-β</m:t>
            </m:r>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△ИОКм</m:t>
            </m:r>
          </m:num>
          <m:den>
            <m:r>
              <w:rPr>
                <w:rFonts w:ascii="Cambria Math" w:hAnsi="Cambria Math"/>
                <w:sz w:val="28"/>
                <w:szCs w:val="28"/>
              </w:rPr>
              <m:t>ИОКм</m:t>
            </m:r>
          </m:den>
        </m:f>
        <m:r>
          <w:rPr>
            <w:rFonts w:ascii="Cambria Math" w:hAnsi="Cambria Math"/>
            <w:sz w:val="28"/>
            <w:szCs w:val="28"/>
          </w:rPr>
          <m:t>+β*</m:t>
        </m:r>
        <m:f>
          <m:fPr>
            <m:ctrlPr>
              <w:rPr>
                <w:rFonts w:ascii="Cambria Math" w:hAnsi="Cambria Math"/>
                <w:i/>
                <w:sz w:val="28"/>
                <w:szCs w:val="28"/>
              </w:rPr>
            </m:ctrlPr>
          </m:fPr>
          <m:num>
            <m:r>
              <w:rPr>
                <w:rFonts w:ascii="Cambria Math" w:hAnsi="Cambria Math"/>
                <w:sz w:val="28"/>
                <w:szCs w:val="28"/>
              </w:rPr>
              <m:t>△ИОКмо</m:t>
            </m:r>
          </m:num>
          <m:den>
            <m:r>
              <w:rPr>
                <w:rFonts w:ascii="Cambria Math" w:hAnsi="Cambria Math"/>
                <w:sz w:val="28"/>
                <w:szCs w:val="28"/>
              </w:rPr>
              <m:t>ИОКмо</m:t>
            </m:r>
          </m:den>
        </m:f>
      </m:oMath>
      <w:r w:rsidR="00DB4D46">
        <w:t xml:space="preserve">                    </w:t>
      </w:r>
      <w:r w:rsidR="00E84DC8">
        <w:t xml:space="preserve">      </w:t>
      </w:r>
      <w:r w:rsidR="00521B0B">
        <w:t xml:space="preserve"> (3</w:t>
      </w:r>
      <w:r w:rsidR="00DB4D46">
        <w:t>)</w:t>
      </w:r>
    </w:p>
    <w:p w:rsidR="006D754A" w:rsidRDefault="006D754A" w:rsidP="006D754A">
      <w:pPr>
        <w:jc w:val="center"/>
      </w:pPr>
      <w:r w:rsidRPr="002C394C">
        <w:rPr>
          <w:color w:val="FF0000"/>
        </w:rPr>
        <w:t xml:space="preserve"> </w:t>
      </w:r>
    </w:p>
    <w:p w:rsidR="006D754A" w:rsidRDefault="006D754A" w:rsidP="006D754A"/>
    <w:p w:rsidR="006D754A" w:rsidRPr="00A81F9F" w:rsidRDefault="006D754A" w:rsidP="006D754A">
      <w:pPr>
        <w:pStyle w:val="af1"/>
        <w:shd w:val="clear" w:color="auto" w:fill="FFFFFF"/>
        <w:spacing w:before="0" w:beforeAutospacing="0" w:after="0" w:afterAutospacing="0"/>
        <w:ind w:firstLine="720"/>
        <w:jc w:val="center"/>
        <w:rPr>
          <w:color w:val="000000"/>
        </w:rPr>
      </w:pPr>
    </w:p>
    <w:p w:rsidR="006076FD" w:rsidRDefault="00695D12" w:rsidP="00025F23">
      <w:pPr>
        <w:pStyle w:val="af1"/>
        <w:shd w:val="clear" w:color="auto" w:fill="FFFFFF"/>
        <w:spacing w:before="0" w:beforeAutospacing="0" w:after="0" w:afterAutospacing="0"/>
        <w:ind w:firstLine="720"/>
        <w:jc w:val="both"/>
        <w:rPr>
          <w:color w:val="000000"/>
        </w:rPr>
      </w:pPr>
      <w:r>
        <w:rPr>
          <w:color w:val="000000"/>
        </w:rPr>
        <w:t xml:space="preserve">где </w:t>
      </w:r>
      <w:r>
        <w:rPr>
          <w:rFonts w:ascii="Calibri" w:hAnsi="Calibri" w:cs="Calibri"/>
          <w:color w:val="000000"/>
        </w:rPr>
        <w:t>β</w:t>
      </w:r>
      <w:r w:rsidR="006D754A" w:rsidRPr="00A81F9F">
        <w:rPr>
          <w:color w:val="000000"/>
        </w:rPr>
        <w:t xml:space="preserve"> </w:t>
      </w:r>
      <w:r w:rsidR="006D754A">
        <w:rPr>
          <w:color w:val="000000"/>
        </w:rPr>
        <w:t xml:space="preserve">= </w:t>
      </w:r>
      <w:r w:rsidR="002C394C">
        <w:rPr>
          <w:color w:val="000000"/>
        </w:rPr>
        <w:t>ИОК</w:t>
      </w:r>
      <w:r w:rsidR="006D754A" w:rsidRPr="00A81F9F">
        <w:rPr>
          <w:color w:val="000000"/>
        </w:rPr>
        <w:t>мо</w:t>
      </w:r>
      <w:r w:rsidR="006D754A">
        <w:rPr>
          <w:color w:val="000000"/>
        </w:rPr>
        <w:t>/</w:t>
      </w:r>
      <w:r w:rsidR="002C394C">
        <w:rPr>
          <w:color w:val="000000"/>
        </w:rPr>
        <w:t>ИОК</w:t>
      </w:r>
      <w:r w:rsidR="006D754A">
        <w:rPr>
          <w:color w:val="000000"/>
        </w:rPr>
        <w:t xml:space="preserve">мр, т.е. доля </w:t>
      </w:r>
      <w:r w:rsidR="002C394C">
        <w:rPr>
          <w:color w:val="000000"/>
        </w:rPr>
        <w:t>ИОК</w:t>
      </w:r>
      <w:r w:rsidR="006D754A">
        <w:rPr>
          <w:color w:val="000000"/>
        </w:rPr>
        <w:t xml:space="preserve">мо </w:t>
      </w:r>
      <w:r w:rsidR="006D754A" w:rsidRPr="00A81F9F">
        <w:rPr>
          <w:color w:val="000000"/>
        </w:rPr>
        <w:t xml:space="preserve"> в </w:t>
      </w:r>
      <w:r w:rsidR="002C394C">
        <w:rPr>
          <w:color w:val="000000"/>
        </w:rPr>
        <w:t>ИОК</w:t>
      </w:r>
      <w:r w:rsidR="006D754A">
        <w:rPr>
          <w:color w:val="000000"/>
        </w:rPr>
        <w:t>мр Московского региона в предшествующий год</w:t>
      </w:r>
      <w:r w:rsidR="006D754A" w:rsidRPr="00A81F9F">
        <w:rPr>
          <w:color w:val="000000"/>
        </w:rPr>
        <w:t xml:space="preserve">.  </w:t>
      </w:r>
      <w:r w:rsidR="00C943C8">
        <w:rPr>
          <w:color w:val="000000"/>
        </w:rPr>
        <w:t xml:space="preserve">Значения </w:t>
      </w:r>
      <w:r w:rsidR="00C943C8">
        <w:rPr>
          <w:rFonts w:ascii="Calibri" w:hAnsi="Calibri" w:cs="Calibri"/>
          <w:color w:val="000000"/>
        </w:rPr>
        <w:t>β</w:t>
      </w:r>
      <w:r w:rsidR="00592958">
        <w:rPr>
          <w:rFonts w:ascii="Calibri" w:hAnsi="Calibri" w:cs="Calibri"/>
          <w:color w:val="000000"/>
        </w:rPr>
        <w:t xml:space="preserve"> </w:t>
      </w:r>
      <w:r w:rsidR="00592958" w:rsidRPr="00592958">
        <w:rPr>
          <w:color w:val="000000"/>
        </w:rPr>
        <w:t>по годам</w:t>
      </w:r>
      <w:r w:rsidR="00592958">
        <w:rPr>
          <w:color w:val="000000"/>
        </w:rPr>
        <w:t xml:space="preserve"> можно получить, если пере</w:t>
      </w:r>
      <w:r w:rsidR="00C943C8">
        <w:rPr>
          <w:color w:val="000000"/>
        </w:rPr>
        <w:t>считать ИОКм</w:t>
      </w:r>
      <w:r w:rsidR="00592958">
        <w:rPr>
          <w:color w:val="000000"/>
        </w:rPr>
        <w:t xml:space="preserve"> и ИОКмо</w:t>
      </w:r>
      <w:r w:rsidR="00C943C8">
        <w:rPr>
          <w:color w:val="000000"/>
        </w:rPr>
        <w:t xml:space="preserve"> в постоянных ценах 1995 года</w:t>
      </w:r>
      <w:r w:rsidR="00592958">
        <w:rPr>
          <w:color w:val="000000"/>
        </w:rPr>
        <w:t xml:space="preserve"> по их темпам изменения в пост</w:t>
      </w:r>
      <w:r w:rsidR="009159F4">
        <w:rPr>
          <w:color w:val="000000"/>
        </w:rPr>
        <w:t>оянных ценах(данные Росстата), а</w:t>
      </w:r>
      <w:r w:rsidR="00592958">
        <w:rPr>
          <w:color w:val="000000"/>
        </w:rPr>
        <w:t xml:space="preserve"> </w:t>
      </w:r>
      <w:r w:rsidR="009159F4">
        <w:rPr>
          <w:color w:val="000000"/>
        </w:rPr>
        <w:t xml:space="preserve">их сумма будет представлять ежегодную величину ИОКмр в ценах 1995 года. Тогда отношение ИОКмо к ИОКмр и есть величина </w:t>
      </w:r>
      <w:r w:rsidR="009159F4">
        <w:rPr>
          <w:rFonts w:ascii="Calibri" w:hAnsi="Calibri" w:cs="Calibri"/>
          <w:color w:val="000000"/>
        </w:rPr>
        <w:t>β</w:t>
      </w:r>
      <w:r w:rsidR="00025F23">
        <w:rPr>
          <w:color w:val="000000"/>
        </w:rPr>
        <w:t>.</w:t>
      </w:r>
    </w:p>
    <w:p w:rsidR="00025F23" w:rsidRDefault="009478DB" w:rsidP="00846EDC">
      <w:pPr>
        <w:pStyle w:val="af1"/>
        <w:shd w:val="clear" w:color="auto" w:fill="FFFFFF"/>
        <w:spacing w:before="0" w:beforeAutospacing="0" w:after="0" w:afterAutospacing="0"/>
        <w:ind w:firstLine="720"/>
        <w:jc w:val="both"/>
        <w:rPr>
          <w:color w:val="000000"/>
        </w:rPr>
      </w:pPr>
      <w:r w:rsidRPr="00A81F9F">
        <w:rPr>
          <w:color w:val="000000"/>
        </w:rPr>
        <w:t>На рис.</w:t>
      </w:r>
      <w:r w:rsidR="00025F23">
        <w:rPr>
          <w:color w:val="000000"/>
        </w:rPr>
        <w:t xml:space="preserve"> </w:t>
      </w:r>
      <w:r w:rsidR="006076FD">
        <w:rPr>
          <w:color w:val="000000"/>
        </w:rPr>
        <w:t>7</w:t>
      </w:r>
      <w:r w:rsidR="00025F23">
        <w:rPr>
          <w:color w:val="000000"/>
        </w:rPr>
        <w:t>2</w:t>
      </w:r>
      <w:r w:rsidR="006076FD">
        <w:rPr>
          <w:color w:val="000000"/>
        </w:rPr>
        <w:t xml:space="preserve"> представлены ежегодные значения</w:t>
      </w:r>
      <w:r w:rsidR="00F12F7E">
        <w:rPr>
          <w:color w:val="000000"/>
        </w:rPr>
        <w:t xml:space="preserve"> ß по годам  в период 1996-2012</w:t>
      </w:r>
      <w:r w:rsidRPr="00A81F9F">
        <w:rPr>
          <w:color w:val="000000"/>
        </w:rPr>
        <w:t xml:space="preserve"> гг.</w:t>
      </w:r>
    </w:p>
    <w:p w:rsidR="00025F23" w:rsidRDefault="00025F23" w:rsidP="00846EDC">
      <w:pPr>
        <w:pStyle w:val="af1"/>
        <w:shd w:val="clear" w:color="auto" w:fill="FFFFFF"/>
        <w:spacing w:before="0" w:beforeAutospacing="0" w:after="0" w:afterAutospacing="0"/>
        <w:ind w:firstLine="720"/>
        <w:jc w:val="both"/>
        <w:rPr>
          <w:color w:val="000000"/>
        </w:rPr>
      </w:pPr>
    </w:p>
    <w:p w:rsidR="00025F23" w:rsidRDefault="00025F23" w:rsidP="00846EDC">
      <w:pPr>
        <w:pStyle w:val="af1"/>
        <w:shd w:val="clear" w:color="auto" w:fill="FFFFFF"/>
        <w:spacing w:before="0" w:beforeAutospacing="0" w:after="0" w:afterAutospacing="0"/>
        <w:ind w:firstLine="720"/>
        <w:jc w:val="both"/>
        <w:rPr>
          <w:color w:val="000000"/>
        </w:rPr>
      </w:pPr>
    </w:p>
    <w:p w:rsidR="009478DB" w:rsidRDefault="009478DB" w:rsidP="00846EDC">
      <w:pPr>
        <w:pStyle w:val="af1"/>
        <w:shd w:val="clear" w:color="auto" w:fill="FFFFFF"/>
        <w:spacing w:before="0" w:beforeAutospacing="0" w:after="0" w:afterAutospacing="0"/>
        <w:ind w:firstLine="720"/>
        <w:jc w:val="both"/>
        <w:rPr>
          <w:color w:val="000000"/>
        </w:rPr>
      </w:pPr>
      <w:r w:rsidRPr="00A81F9F">
        <w:rPr>
          <w:color w:val="000000"/>
        </w:rPr>
        <w:t xml:space="preserve"> </w:t>
      </w:r>
    </w:p>
    <w:p w:rsidR="00025F23" w:rsidRPr="00A81F9F" w:rsidRDefault="00025F23" w:rsidP="00846EDC">
      <w:pPr>
        <w:pStyle w:val="af1"/>
        <w:shd w:val="clear" w:color="auto" w:fill="FFFFFF"/>
        <w:spacing w:before="0" w:beforeAutospacing="0" w:after="0" w:afterAutospacing="0"/>
        <w:ind w:firstLine="720"/>
        <w:jc w:val="both"/>
        <w:rPr>
          <w:color w:val="000000"/>
        </w:rPr>
      </w:pPr>
    </w:p>
    <w:p w:rsidR="009478DB" w:rsidRPr="00A81F9F" w:rsidRDefault="007C1ADE" w:rsidP="00025F23">
      <w:pPr>
        <w:pStyle w:val="af1"/>
        <w:shd w:val="clear" w:color="auto" w:fill="FFFFFF"/>
        <w:spacing w:before="0" w:beforeAutospacing="0" w:after="0" w:afterAutospacing="0"/>
        <w:jc w:val="both"/>
        <w:rPr>
          <w:color w:val="000000"/>
        </w:rPr>
      </w:pPr>
      <w:r>
        <w:rPr>
          <w:noProof/>
          <w:color w:val="000000"/>
        </w:rPr>
        <w:drawing>
          <wp:inline distT="0" distB="0" distL="0" distR="0">
            <wp:extent cx="6089068" cy="3861128"/>
            <wp:effectExtent l="12060" t="6022" r="4397" b="0"/>
            <wp:docPr id="8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478DB" w:rsidRPr="00A81F9F" w:rsidRDefault="009478DB" w:rsidP="0063374C">
      <w:pPr>
        <w:pStyle w:val="af1"/>
        <w:shd w:val="clear" w:color="auto" w:fill="FFFFFF"/>
        <w:spacing w:before="0" w:beforeAutospacing="0" w:after="0" w:afterAutospacing="0"/>
        <w:ind w:firstLine="720"/>
        <w:jc w:val="both"/>
        <w:rPr>
          <w:color w:val="000000"/>
        </w:rPr>
      </w:pPr>
    </w:p>
    <w:p w:rsidR="009478DB" w:rsidRPr="00A81F9F" w:rsidRDefault="009478DB" w:rsidP="00AF3ED0">
      <w:pPr>
        <w:pStyle w:val="af1"/>
        <w:shd w:val="clear" w:color="auto" w:fill="FFFFFF"/>
        <w:spacing w:before="0" w:beforeAutospacing="0" w:after="0" w:afterAutospacing="0"/>
        <w:ind w:firstLine="720"/>
        <w:jc w:val="both"/>
        <w:rPr>
          <w:color w:val="000000"/>
        </w:rPr>
      </w:pPr>
      <w:r w:rsidRPr="00A81F9F">
        <w:rPr>
          <w:color w:val="000000"/>
        </w:rPr>
        <w:t xml:space="preserve">Рис. </w:t>
      </w:r>
      <w:r w:rsidR="006076FD">
        <w:rPr>
          <w:color w:val="000000"/>
        </w:rPr>
        <w:t>7</w:t>
      </w:r>
      <w:r w:rsidR="00025F23">
        <w:rPr>
          <w:color w:val="000000"/>
        </w:rPr>
        <w:t>2</w:t>
      </w:r>
      <w:r w:rsidR="007F4983">
        <w:rPr>
          <w:color w:val="000000"/>
        </w:rPr>
        <w:t>.</w:t>
      </w:r>
      <w:r w:rsidRPr="00A81F9F">
        <w:rPr>
          <w:color w:val="000000"/>
        </w:rPr>
        <w:t xml:space="preserve"> Доля ИОК</w:t>
      </w:r>
      <w:r w:rsidR="0054654F">
        <w:rPr>
          <w:color w:val="000000"/>
        </w:rPr>
        <w:t>мо</w:t>
      </w:r>
      <w:r w:rsidRPr="00A81F9F">
        <w:rPr>
          <w:color w:val="000000"/>
        </w:rPr>
        <w:t xml:space="preserve"> Московской области в общем ИОК</w:t>
      </w:r>
      <w:r w:rsidR="0054654F">
        <w:rPr>
          <w:color w:val="000000"/>
        </w:rPr>
        <w:t>мр</w:t>
      </w:r>
      <w:r w:rsidRPr="00A81F9F">
        <w:rPr>
          <w:color w:val="000000"/>
        </w:rPr>
        <w:t xml:space="preserve"> М</w:t>
      </w:r>
      <w:r w:rsidR="00C943C8">
        <w:rPr>
          <w:color w:val="000000"/>
        </w:rPr>
        <w:t>осковского региона в период 1996-2012</w:t>
      </w:r>
      <w:r w:rsidRPr="00A81F9F">
        <w:rPr>
          <w:color w:val="000000"/>
        </w:rPr>
        <w:t xml:space="preserve"> гг</w:t>
      </w:r>
      <w:r w:rsidR="0054654F">
        <w:rPr>
          <w:color w:val="000000"/>
        </w:rPr>
        <w:t>.</w:t>
      </w:r>
    </w:p>
    <w:p w:rsidR="009478DB" w:rsidRPr="00A81F9F" w:rsidRDefault="009478DB" w:rsidP="0063374C">
      <w:pPr>
        <w:pStyle w:val="af1"/>
        <w:shd w:val="clear" w:color="auto" w:fill="FFFFFF"/>
        <w:spacing w:before="0" w:beforeAutospacing="0" w:after="0" w:afterAutospacing="0"/>
        <w:jc w:val="both"/>
        <w:rPr>
          <w:color w:val="000000"/>
        </w:rPr>
      </w:pPr>
    </w:p>
    <w:p w:rsidR="00025F23" w:rsidRDefault="0054654F" w:rsidP="00025F23">
      <w:pPr>
        <w:pStyle w:val="af1"/>
        <w:shd w:val="clear" w:color="auto" w:fill="FFFFFF"/>
        <w:spacing w:before="0" w:beforeAutospacing="0" w:after="0" w:afterAutospacing="0"/>
        <w:ind w:firstLine="720"/>
        <w:jc w:val="both"/>
        <w:rPr>
          <w:color w:val="000000"/>
        </w:rPr>
      </w:pPr>
      <w:r>
        <w:rPr>
          <w:color w:val="000000"/>
        </w:rPr>
        <w:t>В</w:t>
      </w:r>
      <w:r w:rsidR="009478DB" w:rsidRPr="00A81F9F">
        <w:rPr>
          <w:color w:val="000000"/>
        </w:rPr>
        <w:t xml:space="preserve">идно, что в период </w:t>
      </w:r>
      <w:r>
        <w:rPr>
          <w:color w:val="000000"/>
        </w:rPr>
        <w:t>1996</w:t>
      </w:r>
      <w:r w:rsidR="009478DB" w:rsidRPr="00A81F9F">
        <w:rPr>
          <w:color w:val="000000"/>
        </w:rPr>
        <w:t>-20</w:t>
      </w:r>
      <w:r>
        <w:rPr>
          <w:color w:val="000000"/>
        </w:rPr>
        <w:t>12</w:t>
      </w:r>
      <w:r w:rsidR="00123990">
        <w:rPr>
          <w:color w:val="000000"/>
        </w:rPr>
        <w:t xml:space="preserve"> гг. величина ß</w:t>
      </w:r>
      <w:r w:rsidR="009478DB" w:rsidRPr="00A81F9F">
        <w:rPr>
          <w:color w:val="000000"/>
        </w:rPr>
        <w:t xml:space="preserve"> </w:t>
      </w:r>
      <w:r w:rsidR="00123990">
        <w:rPr>
          <w:color w:val="000000"/>
        </w:rPr>
        <w:t>и</w:t>
      </w:r>
      <w:r>
        <w:rPr>
          <w:color w:val="000000"/>
        </w:rPr>
        <w:t xml:space="preserve">зменялась в диапазоне </w:t>
      </w:r>
      <w:r w:rsidR="009478DB" w:rsidRPr="00A81F9F">
        <w:rPr>
          <w:color w:val="000000"/>
        </w:rPr>
        <w:t xml:space="preserve"> с 0,2</w:t>
      </w:r>
      <w:r>
        <w:rPr>
          <w:color w:val="000000"/>
        </w:rPr>
        <w:t>03</w:t>
      </w:r>
      <w:r w:rsidR="009478DB" w:rsidRPr="00A81F9F">
        <w:rPr>
          <w:color w:val="000000"/>
        </w:rPr>
        <w:t xml:space="preserve"> до 0,3</w:t>
      </w:r>
      <w:r w:rsidR="00C01F9A">
        <w:rPr>
          <w:color w:val="000000"/>
        </w:rPr>
        <w:t>24</w:t>
      </w:r>
      <w:r w:rsidR="009478DB" w:rsidRPr="00A81F9F">
        <w:rPr>
          <w:b/>
          <w:bCs/>
          <w:color w:val="000000"/>
        </w:rPr>
        <w:t xml:space="preserve">. </w:t>
      </w:r>
      <w:r w:rsidR="009478DB" w:rsidRPr="00A81F9F">
        <w:rPr>
          <w:color w:val="000000"/>
        </w:rPr>
        <w:t>Для расчета</w:t>
      </w:r>
      <w:r w:rsidR="00AF20B5">
        <w:rPr>
          <w:color w:val="000000"/>
        </w:rPr>
        <w:t xml:space="preserve"> ежегодных </w:t>
      </w:r>
      <w:r w:rsidR="009478DB" w:rsidRPr="00A81F9F">
        <w:rPr>
          <w:color w:val="000000"/>
        </w:rPr>
        <w:t xml:space="preserve"> </w:t>
      </w:r>
      <w:r w:rsidR="00731C95">
        <w:rPr>
          <w:color w:val="000000"/>
        </w:rPr>
        <w:t>прогнозн</w:t>
      </w:r>
      <w:r w:rsidR="00AF20B5">
        <w:rPr>
          <w:color w:val="000000"/>
        </w:rPr>
        <w:t>ых значений</w:t>
      </w:r>
      <w:r w:rsidR="00731C95">
        <w:rPr>
          <w:color w:val="000000"/>
        </w:rPr>
        <w:t xml:space="preserve"> </w:t>
      </w:r>
      <w:r w:rsidR="003C0501">
        <w:rPr>
          <w:rFonts w:ascii="Calibri" w:hAnsi="Calibri" w:cs="Calibri"/>
          <w:color w:val="000000"/>
        </w:rPr>
        <w:t>Δ</w:t>
      </w:r>
      <w:r w:rsidR="003C0501">
        <w:rPr>
          <w:color w:val="000000"/>
        </w:rPr>
        <w:t>ИОКмр/</w:t>
      </w:r>
      <w:r w:rsidR="009478DB" w:rsidRPr="00A81F9F">
        <w:rPr>
          <w:color w:val="000000"/>
        </w:rPr>
        <w:t>ИОК</w:t>
      </w:r>
      <w:r w:rsidR="00C01F9A">
        <w:rPr>
          <w:color w:val="000000"/>
        </w:rPr>
        <w:t>м</w:t>
      </w:r>
      <w:r w:rsidR="009478DB" w:rsidRPr="00A81F9F">
        <w:rPr>
          <w:color w:val="000000"/>
        </w:rPr>
        <w:t>р</w:t>
      </w:r>
      <w:r w:rsidR="003C0501">
        <w:rPr>
          <w:color w:val="000000"/>
        </w:rPr>
        <w:t xml:space="preserve"> </w:t>
      </w:r>
      <w:r w:rsidR="009478DB" w:rsidRPr="00A81F9F">
        <w:rPr>
          <w:color w:val="000000"/>
        </w:rPr>
        <w:t xml:space="preserve">в период 2012-2020 гг. </w:t>
      </w:r>
      <w:r w:rsidR="00A958D0">
        <w:rPr>
          <w:color w:val="000000"/>
        </w:rPr>
        <w:t>по</w:t>
      </w:r>
      <w:r w:rsidR="00521B0B">
        <w:rPr>
          <w:color w:val="000000"/>
        </w:rPr>
        <w:t xml:space="preserve"> формуле (3</w:t>
      </w:r>
      <w:r w:rsidR="003C0501">
        <w:rPr>
          <w:color w:val="000000"/>
        </w:rPr>
        <w:t>)</w:t>
      </w:r>
      <w:r w:rsidR="00A958D0">
        <w:rPr>
          <w:color w:val="000000"/>
        </w:rPr>
        <w:t xml:space="preserve"> </w:t>
      </w:r>
      <w:r w:rsidR="00A958D0" w:rsidRPr="00A81F9F">
        <w:rPr>
          <w:color w:val="000000"/>
        </w:rPr>
        <w:t>при</w:t>
      </w:r>
      <w:r w:rsidR="00A958D0">
        <w:rPr>
          <w:color w:val="000000"/>
        </w:rPr>
        <w:t>мем</w:t>
      </w:r>
      <w:r w:rsidR="003C0501">
        <w:rPr>
          <w:color w:val="000000"/>
        </w:rPr>
        <w:t xml:space="preserve"> </w:t>
      </w:r>
      <w:r w:rsidR="003C0501" w:rsidRPr="00A81F9F">
        <w:rPr>
          <w:color w:val="000000"/>
        </w:rPr>
        <w:t>ß=0,</w:t>
      </w:r>
      <w:r w:rsidR="003C0501">
        <w:rPr>
          <w:color w:val="000000"/>
        </w:rPr>
        <w:t xml:space="preserve">268 </w:t>
      </w:r>
      <w:r w:rsidR="00A958D0">
        <w:rPr>
          <w:color w:val="000000"/>
        </w:rPr>
        <w:t>-</w:t>
      </w:r>
      <w:r w:rsidR="0008524B">
        <w:rPr>
          <w:color w:val="000000"/>
        </w:rPr>
        <w:t xml:space="preserve"> среднеарифметическое значение </w:t>
      </w:r>
      <w:r w:rsidR="009478DB" w:rsidRPr="00A81F9F">
        <w:rPr>
          <w:color w:val="000000"/>
        </w:rPr>
        <w:t xml:space="preserve"> </w:t>
      </w:r>
      <w:r w:rsidR="0008524B">
        <w:rPr>
          <w:color w:val="000000"/>
        </w:rPr>
        <w:t>в предшествующий период</w:t>
      </w:r>
      <w:r w:rsidR="009478DB" w:rsidRPr="00A81F9F">
        <w:rPr>
          <w:color w:val="000000"/>
        </w:rPr>
        <w:t xml:space="preserve">. </w:t>
      </w:r>
    </w:p>
    <w:p w:rsidR="00A958D0" w:rsidRDefault="00A958D0" w:rsidP="00025F23">
      <w:pPr>
        <w:pStyle w:val="af1"/>
        <w:shd w:val="clear" w:color="auto" w:fill="FFFFFF"/>
        <w:spacing w:before="0" w:beforeAutospacing="0" w:after="0" w:afterAutospacing="0"/>
        <w:ind w:firstLine="720"/>
        <w:jc w:val="both"/>
        <w:rPr>
          <w:color w:val="000000"/>
        </w:rPr>
      </w:pPr>
      <w:r>
        <w:rPr>
          <w:color w:val="000000"/>
        </w:rPr>
        <w:t>На рис. 7</w:t>
      </w:r>
      <w:r w:rsidR="00025F23">
        <w:rPr>
          <w:color w:val="000000"/>
        </w:rPr>
        <w:t>3</w:t>
      </w:r>
      <w:r w:rsidR="009478DB" w:rsidRPr="00A81F9F">
        <w:rPr>
          <w:color w:val="000000"/>
        </w:rPr>
        <w:t xml:space="preserve"> показана динамика ИОК</w:t>
      </w:r>
      <w:r>
        <w:rPr>
          <w:color w:val="000000"/>
        </w:rPr>
        <w:t>м</w:t>
      </w:r>
      <w:r w:rsidR="009478DB" w:rsidRPr="00A81F9F">
        <w:rPr>
          <w:color w:val="000000"/>
        </w:rPr>
        <w:t>р и ВРП</w:t>
      </w:r>
      <w:r>
        <w:rPr>
          <w:color w:val="000000"/>
        </w:rPr>
        <w:t>м</w:t>
      </w:r>
      <w:r w:rsidR="009478DB" w:rsidRPr="00A81F9F">
        <w:rPr>
          <w:color w:val="000000"/>
        </w:rPr>
        <w:t>р</w:t>
      </w:r>
      <w:r w:rsidR="00B9225D">
        <w:rPr>
          <w:color w:val="000000"/>
        </w:rPr>
        <w:t xml:space="preserve"> в постоянных ценах 1997 года</w:t>
      </w:r>
      <w:r w:rsidR="009478DB" w:rsidRPr="00A81F9F">
        <w:rPr>
          <w:color w:val="000000"/>
        </w:rPr>
        <w:t xml:space="preserve"> в Моско</w:t>
      </w:r>
      <w:r>
        <w:rPr>
          <w:color w:val="000000"/>
        </w:rPr>
        <w:t>вском регионе в период 1997-2012</w:t>
      </w:r>
      <w:r w:rsidR="009478DB" w:rsidRPr="00A81F9F">
        <w:rPr>
          <w:color w:val="000000"/>
        </w:rPr>
        <w:t xml:space="preserve"> гг., отнесенные к </w:t>
      </w:r>
      <w:r w:rsidR="00B9225D">
        <w:rPr>
          <w:color w:val="000000"/>
        </w:rPr>
        <w:t xml:space="preserve">их значениям в </w:t>
      </w:r>
      <w:smartTag w:uri="urn:schemas-microsoft-com:office:smarttags" w:element="metricconverter">
        <w:smartTagPr>
          <w:attr w:name="ProductID" w:val="1998 г"/>
        </w:smartTagPr>
        <w:r w:rsidR="009478DB" w:rsidRPr="00A81F9F">
          <w:rPr>
            <w:color w:val="000000"/>
          </w:rPr>
          <w:t>1998 г</w:t>
        </w:r>
      </w:smartTag>
      <w:r w:rsidR="009478DB" w:rsidRPr="00A81F9F">
        <w:rPr>
          <w:color w:val="000000"/>
        </w:rPr>
        <w:t>.</w:t>
      </w:r>
    </w:p>
    <w:p w:rsidR="00805D05" w:rsidRDefault="00805D05" w:rsidP="00025F23">
      <w:pPr>
        <w:pStyle w:val="af1"/>
        <w:shd w:val="clear" w:color="auto" w:fill="FFFFFF"/>
        <w:spacing w:before="0" w:beforeAutospacing="0" w:after="0" w:afterAutospacing="0"/>
        <w:ind w:firstLine="720"/>
        <w:jc w:val="both"/>
        <w:rPr>
          <w:color w:val="000000"/>
        </w:rPr>
      </w:pPr>
    </w:p>
    <w:p w:rsidR="00805D05" w:rsidRDefault="00805D05" w:rsidP="00025F23">
      <w:pPr>
        <w:pStyle w:val="af1"/>
        <w:shd w:val="clear" w:color="auto" w:fill="FFFFFF"/>
        <w:spacing w:before="0" w:beforeAutospacing="0" w:after="0" w:afterAutospacing="0"/>
        <w:ind w:firstLine="720"/>
        <w:jc w:val="both"/>
        <w:rPr>
          <w:color w:val="000000"/>
        </w:rPr>
      </w:pPr>
    </w:p>
    <w:p w:rsidR="00805D05" w:rsidRDefault="00805D05" w:rsidP="00025F23">
      <w:pPr>
        <w:pStyle w:val="af1"/>
        <w:shd w:val="clear" w:color="auto" w:fill="FFFFFF"/>
        <w:spacing w:before="0" w:beforeAutospacing="0" w:after="0" w:afterAutospacing="0"/>
        <w:ind w:firstLine="720"/>
        <w:jc w:val="both"/>
        <w:rPr>
          <w:color w:val="000000"/>
        </w:rPr>
      </w:pPr>
    </w:p>
    <w:p w:rsidR="00805D05" w:rsidRDefault="00805D05" w:rsidP="00025F23">
      <w:pPr>
        <w:pStyle w:val="af1"/>
        <w:shd w:val="clear" w:color="auto" w:fill="FFFFFF"/>
        <w:spacing w:before="0" w:beforeAutospacing="0" w:after="0" w:afterAutospacing="0"/>
        <w:ind w:firstLine="720"/>
        <w:jc w:val="both"/>
        <w:rPr>
          <w:color w:val="000000"/>
        </w:rPr>
      </w:pPr>
    </w:p>
    <w:p w:rsidR="00805D05" w:rsidRDefault="00805D05" w:rsidP="00025F23">
      <w:pPr>
        <w:pStyle w:val="af1"/>
        <w:shd w:val="clear" w:color="auto" w:fill="FFFFFF"/>
        <w:spacing w:before="0" w:beforeAutospacing="0" w:after="0" w:afterAutospacing="0"/>
        <w:ind w:firstLine="720"/>
        <w:jc w:val="both"/>
        <w:rPr>
          <w:color w:val="000000"/>
        </w:rPr>
      </w:pPr>
    </w:p>
    <w:p w:rsidR="009478DB" w:rsidRDefault="003D52B9" w:rsidP="00A958D0">
      <w:pPr>
        <w:pStyle w:val="af1"/>
        <w:shd w:val="clear" w:color="auto" w:fill="FFFFFF"/>
        <w:rPr>
          <w:noProof/>
          <w:color w:val="000000"/>
        </w:rPr>
      </w:pPr>
      <w:r>
        <w:rPr>
          <w:color w:val="000000"/>
        </w:rPr>
        <w:br/>
      </w:r>
      <w:r w:rsidR="00805D05" w:rsidRPr="00805D05">
        <w:rPr>
          <w:noProof/>
          <w:color w:val="000000"/>
        </w:rPr>
        <w:drawing>
          <wp:inline distT="0" distB="0" distL="0" distR="0">
            <wp:extent cx="6025811" cy="6599219"/>
            <wp:effectExtent l="19050" t="0" r="13039" b="0"/>
            <wp:docPr id="39"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25F23" w:rsidRDefault="00F241D2" w:rsidP="00025F23">
      <w:pPr>
        <w:pStyle w:val="af1"/>
        <w:shd w:val="clear" w:color="auto" w:fill="FFFFFF"/>
        <w:ind w:firstLine="720"/>
        <w:rPr>
          <w:color w:val="000000"/>
        </w:rPr>
      </w:pPr>
      <w:r>
        <w:rPr>
          <w:color w:val="000000"/>
        </w:rPr>
        <w:t>Рис. 7</w:t>
      </w:r>
      <w:r w:rsidR="00025F23">
        <w:rPr>
          <w:color w:val="000000"/>
        </w:rPr>
        <w:t>3</w:t>
      </w:r>
      <w:r w:rsidR="00731C95" w:rsidRPr="00A81F9F">
        <w:rPr>
          <w:color w:val="000000"/>
        </w:rPr>
        <w:t>. Динамика ИОК</w:t>
      </w:r>
      <w:r w:rsidR="00A0658A">
        <w:rPr>
          <w:color w:val="000000"/>
        </w:rPr>
        <w:t>м</w:t>
      </w:r>
      <w:r w:rsidR="00731C95" w:rsidRPr="00A81F9F">
        <w:rPr>
          <w:color w:val="000000"/>
        </w:rPr>
        <w:t>р и ВРП</w:t>
      </w:r>
      <w:r w:rsidR="00A0658A">
        <w:rPr>
          <w:color w:val="000000"/>
        </w:rPr>
        <w:t>м</w:t>
      </w:r>
      <w:r w:rsidR="00731C95" w:rsidRPr="00A81F9F">
        <w:rPr>
          <w:color w:val="000000"/>
        </w:rPr>
        <w:t>р</w:t>
      </w:r>
      <w:r w:rsidR="00A0658A">
        <w:rPr>
          <w:color w:val="000000"/>
        </w:rPr>
        <w:t xml:space="preserve"> в постоянных ценах</w:t>
      </w:r>
      <w:r w:rsidR="006F182A">
        <w:rPr>
          <w:color w:val="000000"/>
        </w:rPr>
        <w:t xml:space="preserve"> 1997 года</w:t>
      </w:r>
      <w:r w:rsidR="00A0658A">
        <w:rPr>
          <w:color w:val="000000"/>
        </w:rPr>
        <w:t xml:space="preserve"> </w:t>
      </w:r>
      <w:r w:rsidR="00731C95" w:rsidRPr="00A81F9F">
        <w:rPr>
          <w:color w:val="000000"/>
        </w:rPr>
        <w:t>в Московском регионе</w:t>
      </w:r>
      <w:r w:rsidR="00A0658A">
        <w:rPr>
          <w:color w:val="000000"/>
        </w:rPr>
        <w:t xml:space="preserve"> </w:t>
      </w:r>
      <w:r w:rsidR="00731C95" w:rsidRPr="00A81F9F">
        <w:rPr>
          <w:color w:val="000000"/>
        </w:rPr>
        <w:t xml:space="preserve"> в период 1997</w:t>
      </w:r>
      <w:r w:rsidR="00A0658A">
        <w:rPr>
          <w:color w:val="000000"/>
        </w:rPr>
        <w:t>-2012</w:t>
      </w:r>
      <w:r w:rsidR="00731C95" w:rsidRPr="00A0658A">
        <w:rPr>
          <w:color w:val="000000"/>
        </w:rPr>
        <w:t xml:space="preserve"> гг., отнесенные к </w:t>
      </w:r>
      <w:r w:rsidR="00A0658A">
        <w:rPr>
          <w:color w:val="000000"/>
        </w:rPr>
        <w:t xml:space="preserve">их значениям </w:t>
      </w:r>
      <w:smartTag w:uri="urn:schemas-microsoft-com:office:smarttags" w:element="metricconverter">
        <w:smartTagPr>
          <w:attr w:name="ProductID" w:val="1998 г"/>
        </w:smartTagPr>
        <w:r w:rsidR="00731C95" w:rsidRPr="00A0658A">
          <w:rPr>
            <w:color w:val="000000"/>
          </w:rPr>
          <w:t>1998</w:t>
        </w:r>
        <w:r w:rsidR="00731C95" w:rsidRPr="00A81F9F">
          <w:rPr>
            <w:color w:val="000000"/>
          </w:rPr>
          <w:t xml:space="preserve"> г</w:t>
        </w:r>
      </w:smartTag>
      <w:r w:rsidR="00731C95" w:rsidRPr="00A81F9F">
        <w:rPr>
          <w:color w:val="000000"/>
        </w:rPr>
        <w:t>.</w:t>
      </w:r>
    </w:p>
    <w:p w:rsidR="00025F23" w:rsidRDefault="006F182A" w:rsidP="00025F23">
      <w:pPr>
        <w:pStyle w:val="af1"/>
        <w:shd w:val="clear" w:color="auto" w:fill="FFFFFF"/>
        <w:spacing w:before="0" w:beforeAutospacing="0" w:after="0" w:afterAutospacing="0"/>
        <w:ind w:firstLine="720"/>
        <w:jc w:val="both"/>
        <w:rPr>
          <w:color w:val="000000"/>
        </w:rPr>
      </w:pPr>
      <w:r>
        <w:rPr>
          <w:color w:val="000000"/>
        </w:rPr>
        <w:t>В</w:t>
      </w:r>
      <w:r w:rsidR="00A0658A" w:rsidRPr="00A81F9F">
        <w:rPr>
          <w:color w:val="000000"/>
        </w:rPr>
        <w:t>идно, что в период роста ИОК</w:t>
      </w:r>
      <w:r>
        <w:rPr>
          <w:color w:val="000000"/>
        </w:rPr>
        <w:t>мр (1999-2000гг., 2002-2007</w:t>
      </w:r>
      <w:r w:rsidR="00A0658A" w:rsidRPr="00A81F9F">
        <w:rPr>
          <w:color w:val="000000"/>
        </w:rPr>
        <w:t xml:space="preserve"> гг.</w:t>
      </w:r>
      <w:r w:rsidR="008F4832">
        <w:rPr>
          <w:color w:val="000000"/>
        </w:rPr>
        <w:t>, 2012г.</w:t>
      </w:r>
      <w:r w:rsidR="00A0658A" w:rsidRPr="00A81F9F">
        <w:rPr>
          <w:color w:val="000000"/>
        </w:rPr>
        <w:t>) темп роста ИОК</w:t>
      </w:r>
      <w:r>
        <w:rPr>
          <w:color w:val="000000"/>
        </w:rPr>
        <w:t>м</w:t>
      </w:r>
      <w:r w:rsidR="00A0658A" w:rsidRPr="00A81F9F">
        <w:rPr>
          <w:color w:val="000000"/>
        </w:rPr>
        <w:t xml:space="preserve">р </w:t>
      </w:r>
      <w:r w:rsidR="008F4832">
        <w:rPr>
          <w:color w:val="000000"/>
        </w:rPr>
        <w:t xml:space="preserve">совпадает или </w:t>
      </w:r>
      <w:r w:rsidR="00A0658A" w:rsidRPr="00A81F9F">
        <w:rPr>
          <w:color w:val="000000"/>
        </w:rPr>
        <w:t>опережает темп роста ВРП</w:t>
      </w:r>
      <w:r>
        <w:rPr>
          <w:color w:val="000000"/>
        </w:rPr>
        <w:t>м</w:t>
      </w:r>
      <w:r w:rsidR="00A0658A" w:rsidRPr="00A81F9F">
        <w:rPr>
          <w:color w:val="000000"/>
        </w:rPr>
        <w:t>р. Более</w:t>
      </w:r>
      <w:r>
        <w:rPr>
          <w:color w:val="000000"/>
        </w:rPr>
        <w:t xml:space="preserve"> точное соотношение между темпами</w:t>
      </w:r>
      <w:r w:rsidR="00A0658A" w:rsidRPr="00A81F9F">
        <w:rPr>
          <w:color w:val="000000"/>
        </w:rPr>
        <w:t xml:space="preserve"> </w:t>
      </w:r>
      <w:r w:rsidR="008F4832">
        <w:rPr>
          <w:color w:val="000000"/>
        </w:rPr>
        <w:t>роста</w:t>
      </w:r>
      <w:r w:rsidR="005A2248">
        <w:rPr>
          <w:color w:val="000000"/>
        </w:rPr>
        <w:t xml:space="preserve"> </w:t>
      </w:r>
      <w:r w:rsidR="00A0658A" w:rsidRPr="00A81F9F">
        <w:rPr>
          <w:color w:val="000000"/>
        </w:rPr>
        <w:t>ИОК</w:t>
      </w:r>
      <w:r>
        <w:rPr>
          <w:color w:val="000000"/>
        </w:rPr>
        <w:t>м</w:t>
      </w:r>
      <w:r w:rsidR="00A0658A" w:rsidRPr="00A81F9F">
        <w:rPr>
          <w:color w:val="000000"/>
        </w:rPr>
        <w:t>р и ВРП</w:t>
      </w:r>
      <w:r>
        <w:rPr>
          <w:color w:val="000000"/>
        </w:rPr>
        <w:t>м</w:t>
      </w:r>
      <w:r w:rsidR="00A0658A" w:rsidRPr="00A81F9F">
        <w:rPr>
          <w:color w:val="000000"/>
        </w:rPr>
        <w:t xml:space="preserve">р можно получить, если рассмотреть ежегодные темпы </w:t>
      </w:r>
      <w:r w:rsidR="008F4832">
        <w:rPr>
          <w:color w:val="000000"/>
        </w:rPr>
        <w:t>роста</w:t>
      </w:r>
      <w:r w:rsidR="00A0658A" w:rsidRPr="00A81F9F">
        <w:rPr>
          <w:color w:val="000000"/>
        </w:rPr>
        <w:t xml:space="preserve"> ВРП</w:t>
      </w:r>
      <w:r>
        <w:rPr>
          <w:color w:val="000000"/>
        </w:rPr>
        <w:t>м</w:t>
      </w:r>
      <w:r w:rsidR="00A0658A" w:rsidRPr="00A81F9F">
        <w:rPr>
          <w:color w:val="000000"/>
        </w:rPr>
        <w:t>р и ИОК</w:t>
      </w:r>
      <w:r>
        <w:rPr>
          <w:color w:val="000000"/>
        </w:rPr>
        <w:t>м</w:t>
      </w:r>
      <w:r w:rsidR="00A0658A" w:rsidRPr="00A81F9F">
        <w:rPr>
          <w:color w:val="000000"/>
        </w:rPr>
        <w:t xml:space="preserve">р и соответствующие </w:t>
      </w:r>
      <w:r w:rsidR="005A2248">
        <w:rPr>
          <w:color w:val="000000"/>
        </w:rPr>
        <w:t xml:space="preserve">ежегодные </w:t>
      </w:r>
      <w:r w:rsidR="00A0658A" w:rsidRPr="00A81F9F">
        <w:rPr>
          <w:color w:val="000000"/>
        </w:rPr>
        <w:t>коэффициенты эластичности ВРП</w:t>
      </w:r>
      <w:r>
        <w:rPr>
          <w:color w:val="000000"/>
        </w:rPr>
        <w:t>м</w:t>
      </w:r>
      <w:r w:rsidR="00A0658A" w:rsidRPr="00A81F9F">
        <w:rPr>
          <w:color w:val="000000"/>
        </w:rPr>
        <w:t>р к ИОК</w:t>
      </w:r>
      <w:r>
        <w:rPr>
          <w:color w:val="000000"/>
        </w:rPr>
        <w:t>м</w:t>
      </w:r>
      <w:r w:rsidR="00A0658A" w:rsidRPr="00A81F9F">
        <w:rPr>
          <w:color w:val="000000"/>
        </w:rPr>
        <w:t xml:space="preserve">р, (см. рис. </w:t>
      </w:r>
      <w:r w:rsidR="00F87247">
        <w:rPr>
          <w:color w:val="000000"/>
        </w:rPr>
        <w:t>7</w:t>
      </w:r>
      <w:r w:rsidR="00025F23">
        <w:rPr>
          <w:color w:val="000000"/>
        </w:rPr>
        <w:t>5</w:t>
      </w:r>
      <w:r w:rsidR="00A0658A" w:rsidRPr="00A81F9F">
        <w:rPr>
          <w:color w:val="000000"/>
        </w:rPr>
        <w:t xml:space="preserve">). </w:t>
      </w:r>
    </w:p>
    <w:p w:rsidR="003A55D9" w:rsidRDefault="00A0658A" w:rsidP="00D81B9F">
      <w:pPr>
        <w:pStyle w:val="af1"/>
        <w:shd w:val="clear" w:color="auto" w:fill="FFFFFF"/>
        <w:spacing w:before="0" w:beforeAutospacing="0" w:after="0" w:afterAutospacing="0"/>
        <w:ind w:firstLine="720"/>
        <w:jc w:val="both"/>
        <w:rPr>
          <w:color w:val="000000"/>
        </w:rPr>
      </w:pPr>
      <w:r w:rsidRPr="00A81F9F">
        <w:rPr>
          <w:color w:val="000000"/>
        </w:rPr>
        <w:t>Следует также отметить катастрофическое падение ИОК</w:t>
      </w:r>
      <w:r w:rsidR="005A2248">
        <w:rPr>
          <w:color w:val="000000"/>
        </w:rPr>
        <w:t>мр</w:t>
      </w:r>
      <w:r w:rsidR="005F02FC">
        <w:rPr>
          <w:color w:val="000000"/>
        </w:rPr>
        <w:t xml:space="preserve"> </w:t>
      </w:r>
      <w:r w:rsidR="005F02FC" w:rsidRPr="00A81F9F">
        <w:rPr>
          <w:color w:val="000000"/>
        </w:rPr>
        <w:t xml:space="preserve">на 24,6% </w:t>
      </w:r>
      <w:r w:rsidRPr="00A81F9F">
        <w:rPr>
          <w:color w:val="000000"/>
        </w:rPr>
        <w:t xml:space="preserve"> в кризисном </w:t>
      </w:r>
      <w:smartTag w:uri="urn:schemas-microsoft-com:office:smarttags" w:element="metricconverter">
        <w:smartTagPr>
          <w:attr w:name="ProductID" w:val="2009 г"/>
        </w:smartTagPr>
        <w:r w:rsidRPr="00A81F9F">
          <w:rPr>
            <w:color w:val="000000"/>
          </w:rPr>
          <w:t>2009 г</w:t>
        </w:r>
      </w:smartTag>
      <w:r w:rsidRPr="00A81F9F">
        <w:rPr>
          <w:color w:val="000000"/>
        </w:rPr>
        <w:t xml:space="preserve">. и </w:t>
      </w:r>
      <w:r w:rsidR="005F02FC">
        <w:rPr>
          <w:color w:val="000000"/>
        </w:rPr>
        <w:t xml:space="preserve">падения на 3,4% </w:t>
      </w:r>
      <w:r w:rsidRPr="00A81F9F">
        <w:rPr>
          <w:color w:val="000000"/>
        </w:rPr>
        <w:t xml:space="preserve">в посткризисном </w:t>
      </w:r>
      <w:smartTag w:uri="urn:schemas-microsoft-com:office:smarttags" w:element="metricconverter">
        <w:smartTagPr>
          <w:attr w:name="ProductID" w:val="2010 г"/>
        </w:smartTagPr>
        <w:r w:rsidRPr="00A81F9F">
          <w:rPr>
            <w:color w:val="000000"/>
          </w:rPr>
          <w:t>2010 г</w:t>
        </w:r>
      </w:smartTag>
      <w:r w:rsidRPr="00A81F9F">
        <w:rPr>
          <w:color w:val="000000"/>
        </w:rPr>
        <w:t>., соответственно общее падение</w:t>
      </w:r>
      <w:r w:rsidR="008F4832">
        <w:rPr>
          <w:color w:val="000000"/>
        </w:rPr>
        <w:t xml:space="preserve"> за два года</w:t>
      </w:r>
      <w:r w:rsidRPr="00A81F9F">
        <w:rPr>
          <w:color w:val="000000"/>
        </w:rPr>
        <w:t xml:space="preserve"> – </w:t>
      </w:r>
      <w:r w:rsidR="005F02FC">
        <w:rPr>
          <w:color w:val="000000"/>
        </w:rPr>
        <w:t>2</w:t>
      </w:r>
      <w:r w:rsidR="009F3C80">
        <w:rPr>
          <w:color w:val="000000"/>
        </w:rPr>
        <w:t>7,2</w:t>
      </w:r>
      <w:r w:rsidRPr="00A81F9F">
        <w:rPr>
          <w:color w:val="000000"/>
        </w:rPr>
        <w:t xml:space="preserve">%, а также практически нулевой рост ИОК в </w:t>
      </w:r>
      <w:smartTag w:uri="urn:schemas-microsoft-com:office:smarttags" w:element="metricconverter">
        <w:smartTagPr>
          <w:attr w:name="ProductID" w:val="2011 г"/>
        </w:smartTagPr>
        <w:r w:rsidRPr="00A81F9F">
          <w:rPr>
            <w:color w:val="000000"/>
          </w:rPr>
          <w:t>2011 г</w:t>
        </w:r>
      </w:smartTag>
      <w:r w:rsidRPr="00A81F9F">
        <w:rPr>
          <w:color w:val="000000"/>
        </w:rPr>
        <w:t xml:space="preserve">. В результате, в 2010-2011  гг., объем инвестиций в основной капитал в Московском регионе упал до уровня в </w:t>
      </w:r>
      <w:smartTag w:uri="urn:schemas-microsoft-com:office:smarttags" w:element="metricconverter">
        <w:smartTagPr>
          <w:attr w:name="ProductID" w:val="2004 г"/>
        </w:smartTagPr>
        <w:r w:rsidRPr="00A81F9F">
          <w:rPr>
            <w:color w:val="000000"/>
          </w:rPr>
          <w:t>2004 г</w:t>
        </w:r>
      </w:smartTag>
      <w:r w:rsidRPr="00A81F9F">
        <w:rPr>
          <w:color w:val="000000"/>
        </w:rPr>
        <w:t>. (см. рис. 6</w:t>
      </w:r>
      <w:r>
        <w:rPr>
          <w:color w:val="000000"/>
        </w:rPr>
        <w:t>1</w:t>
      </w:r>
      <w:r w:rsidRPr="00A81F9F">
        <w:rPr>
          <w:color w:val="000000"/>
        </w:rPr>
        <w:t>).</w:t>
      </w:r>
    </w:p>
    <w:p w:rsidR="009F3C80" w:rsidRDefault="00F87247" w:rsidP="00D81B9F">
      <w:pPr>
        <w:pStyle w:val="af1"/>
        <w:shd w:val="clear" w:color="auto" w:fill="FFFFFF"/>
        <w:spacing w:before="0" w:beforeAutospacing="0" w:after="0" w:afterAutospacing="0"/>
        <w:ind w:firstLine="720"/>
        <w:jc w:val="both"/>
        <w:rPr>
          <w:color w:val="000000"/>
        </w:rPr>
      </w:pPr>
      <w:r>
        <w:rPr>
          <w:color w:val="000000"/>
        </w:rPr>
        <w:t>На рис. 7</w:t>
      </w:r>
      <w:r w:rsidR="00025F23">
        <w:rPr>
          <w:color w:val="000000"/>
        </w:rPr>
        <w:t>4</w:t>
      </w:r>
      <w:r w:rsidR="003A55D9">
        <w:rPr>
          <w:color w:val="000000"/>
        </w:rPr>
        <w:t xml:space="preserve"> показаны ежегодные темпы изменения ВРПмр и ИОКмр в период 1997-2012гг. </w:t>
      </w:r>
    </w:p>
    <w:p w:rsidR="006966A5" w:rsidRPr="00A81F9F" w:rsidRDefault="00BA232C" w:rsidP="00C70A5F">
      <w:pPr>
        <w:pStyle w:val="af1"/>
        <w:shd w:val="clear" w:color="auto" w:fill="FFFFFF"/>
        <w:jc w:val="both"/>
        <w:rPr>
          <w:color w:val="000000"/>
        </w:rPr>
      </w:pPr>
      <w:r w:rsidRPr="00BA232C">
        <w:rPr>
          <w:color w:val="000000"/>
        </w:rPr>
        <w:drawing>
          <wp:inline distT="0" distB="0" distL="0" distR="0">
            <wp:extent cx="6105525" cy="4046194"/>
            <wp:effectExtent l="19050" t="0" r="9525"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C61A09" w:rsidRPr="00A81F9F" w:rsidRDefault="00F87247" w:rsidP="00D81B9F">
      <w:pPr>
        <w:pStyle w:val="af1"/>
        <w:shd w:val="clear" w:color="auto" w:fill="FFFFFF"/>
        <w:spacing w:before="0" w:beforeAutospacing="0" w:after="0" w:afterAutospacing="0"/>
        <w:ind w:firstLine="851"/>
        <w:jc w:val="both"/>
        <w:rPr>
          <w:color w:val="000000"/>
        </w:rPr>
      </w:pPr>
      <w:r>
        <w:rPr>
          <w:color w:val="000000"/>
        </w:rPr>
        <w:t>Рис. 7</w:t>
      </w:r>
      <w:r w:rsidR="00D81B9F">
        <w:rPr>
          <w:color w:val="000000"/>
        </w:rPr>
        <w:t>4</w:t>
      </w:r>
      <w:r w:rsidR="00C61A09">
        <w:rPr>
          <w:color w:val="000000"/>
        </w:rPr>
        <w:t xml:space="preserve">. </w:t>
      </w:r>
      <w:r w:rsidR="003B0104" w:rsidRPr="003B0104">
        <w:rPr>
          <w:noProof/>
        </w:rPr>
        <w:pict>
          <v:shape id="_x0000_s1028" type="#_x0000_t202" style="position:absolute;left:0;text-align:left;margin-left:36pt;margin-top:423pt;width:45pt;height:27pt;z-index:251659776;mso-position-horizontal-relative:text;mso-position-vertical-relative:text" filled="f" stroked="f" strokecolor="white">
            <v:textbox style="mso-next-textbox:#_x0000_s1028">
              <w:txbxContent>
                <w:p w:rsidR="00C03B3E" w:rsidRPr="00722E9F" w:rsidRDefault="00C03B3E" w:rsidP="00C61A09">
                  <w:pPr>
                    <w:rPr>
                      <w:b/>
                      <w:bCs/>
                      <w:color w:val="FF0000"/>
                      <w:lang w:val="en-US"/>
                    </w:rPr>
                  </w:pPr>
                  <w:r w:rsidRPr="00722E9F">
                    <w:rPr>
                      <w:b/>
                      <w:bCs/>
                      <w:color w:val="FF0000"/>
                      <w:lang w:val="en-US"/>
                    </w:rPr>
                    <w:t>0</w:t>
                  </w:r>
                  <w:r w:rsidRPr="00722E9F">
                    <w:rPr>
                      <w:b/>
                      <w:bCs/>
                      <w:color w:val="FF0000"/>
                    </w:rPr>
                    <w:t>,</w:t>
                  </w:r>
                  <w:r w:rsidRPr="00722E9F">
                    <w:rPr>
                      <w:b/>
                      <w:bCs/>
                      <w:color w:val="FF0000"/>
                      <w:lang w:val="en-US"/>
                    </w:rPr>
                    <w:t>91</w:t>
                  </w:r>
                </w:p>
              </w:txbxContent>
            </v:textbox>
          </v:shape>
        </w:pict>
      </w:r>
      <w:r w:rsidR="00C61A09" w:rsidRPr="00A81F9F">
        <w:rPr>
          <w:color w:val="000000"/>
        </w:rPr>
        <w:t xml:space="preserve">Ежегодные </w:t>
      </w:r>
      <w:r w:rsidR="00CA17C8">
        <w:rPr>
          <w:color w:val="000000"/>
        </w:rPr>
        <w:t>значения темпов</w:t>
      </w:r>
      <w:r w:rsidR="00C61A09" w:rsidRPr="00A81F9F">
        <w:rPr>
          <w:color w:val="000000"/>
        </w:rPr>
        <w:t xml:space="preserve"> изменения ИОК</w:t>
      </w:r>
      <w:r w:rsidR="00C61A09">
        <w:rPr>
          <w:color w:val="000000"/>
        </w:rPr>
        <w:t>м</w:t>
      </w:r>
      <w:r w:rsidR="00C61A09" w:rsidRPr="00A81F9F">
        <w:rPr>
          <w:color w:val="000000"/>
        </w:rPr>
        <w:t>р и ВРП</w:t>
      </w:r>
      <w:r w:rsidR="00C61A09">
        <w:rPr>
          <w:color w:val="000000"/>
        </w:rPr>
        <w:t>м</w:t>
      </w:r>
      <w:r w:rsidR="00C61A09" w:rsidRPr="00A81F9F">
        <w:rPr>
          <w:color w:val="000000"/>
        </w:rPr>
        <w:t>р в Московском регионе в период 199</w:t>
      </w:r>
      <w:r w:rsidR="00C61A09">
        <w:rPr>
          <w:color w:val="000000"/>
        </w:rPr>
        <w:t>6</w:t>
      </w:r>
      <w:r w:rsidR="00C61A09" w:rsidRPr="00A81F9F">
        <w:rPr>
          <w:color w:val="000000"/>
        </w:rPr>
        <w:t>-201</w:t>
      </w:r>
      <w:r w:rsidR="00C61A09">
        <w:rPr>
          <w:color w:val="000000"/>
        </w:rPr>
        <w:t>2</w:t>
      </w:r>
      <w:r w:rsidR="00C61A09" w:rsidRPr="00A81F9F">
        <w:rPr>
          <w:color w:val="000000"/>
        </w:rPr>
        <w:t xml:space="preserve"> гг. </w:t>
      </w:r>
    </w:p>
    <w:p w:rsidR="00D81B9F" w:rsidRDefault="00D81B9F" w:rsidP="00D81B9F">
      <w:pPr>
        <w:pStyle w:val="af1"/>
        <w:shd w:val="clear" w:color="auto" w:fill="FFFFFF"/>
        <w:spacing w:before="0" w:beforeAutospacing="0" w:after="0" w:afterAutospacing="0"/>
        <w:ind w:firstLine="708"/>
        <w:jc w:val="both"/>
        <w:rPr>
          <w:color w:val="000000"/>
        </w:rPr>
      </w:pPr>
    </w:p>
    <w:p w:rsidR="00D81B9F" w:rsidRDefault="00C61A09" w:rsidP="00D81B9F">
      <w:pPr>
        <w:pStyle w:val="af1"/>
        <w:shd w:val="clear" w:color="auto" w:fill="FFFFFF"/>
        <w:spacing w:before="0" w:beforeAutospacing="0" w:after="0" w:afterAutospacing="0"/>
        <w:ind w:firstLine="708"/>
        <w:jc w:val="both"/>
        <w:rPr>
          <w:color w:val="000000"/>
        </w:rPr>
      </w:pPr>
      <w:r>
        <w:rPr>
          <w:color w:val="000000"/>
        </w:rPr>
        <w:t>В</w:t>
      </w:r>
      <w:r w:rsidR="005539B4">
        <w:rPr>
          <w:color w:val="000000"/>
        </w:rPr>
        <w:t>идно, что направления изменений</w:t>
      </w:r>
      <w:r w:rsidRPr="00A81F9F">
        <w:rPr>
          <w:color w:val="000000"/>
        </w:rPr>
        <w:t xml:space="preserve"> ИОК</w:t>
      </w:r>
      <w:r>
        <w:rPr>
          <w:color w:val="000000"/>
        </w:rPr>
        <w:t>м</w:t>
      </w:r>
      <w:r w:rsidRPr="00A81F9F">
        <w:rPr>
          <w:color w:val="000000"/>
        </w:rPr>
        <w:t>р и ВРП</w:t>
      </w:r>
      <w:r>
        <w:rPr>
          <w:color w:val="000000"/>
        </w:rPr>
        <w:t>м</w:t>
      </w:r>
      <w:r w:rsidRPr="00A81F9F">
        <w:rPr>
          <w:color w:val="000000"/>
        </w:rPr>
        <w:t>р в основном совпадают между собой. В период роста ИОК</w:t>
      </w:r>
      <w:r>
        <w:rPr>
          <w:color w:val="000000"/>
        </w:rPr>
        <w:t>мр (</w:t>
      </w:r>
      <w:r w:rsidRPr="00A81F9F">
        <w:rPr>
          <w:color w:val="000000"/>
        </w:rPr>
        <w:t>199</w:t>
      </w:r>
      <w:r w:rsidR="003549EA">
        <w:rPr>
          <w:color w:val="000000"/>
        </w:rPr>
        <w:t>7</w:t>
      </w:r>
      <w:r w:rsidRPr="00A81F9F">
        <w:rPr>
          <w:color w:val="000000"/>
        </w:rPr>
        <w:t>-2000, 2002-200</w:t>
      </w:r>
      <w:r w:rsidR="003549EA">
        <w:rPr>
          <w:color w:val="000000"/>
        </w:rPr>
        <w:t>8</w:t>
      </w:r>
      <w:r w:rsidRPr="00A81F9F">
        <w:rPr>
          <w:color w:val="000000"/>
        </w:rPr>
        <w:t>гг.</w:t>
      </w:r>
      <w:r w:rsidR="003549EA">
        <w:rPr>
          <w:color w:val="000000"/>
        </w:rPr>
        <w:t>,</w:t>
      </w:r>
      <w:r>
        <w:rPr>
          <w:color w:val="000000"/>
        </w:rPr>
        <w:t>)</w:t>
      </w:r>
      <w:r w:rsidRPr="00A81F9F">
        <w:rPr>
          <w:color w:val="000000"/>
        </w:rPr>
        <w:t xml:space="preserve"> среднегодовой темп роста ИОК</w:t>
      </w:r>
      <w:r>
        <w:rPr>
          <w:color w:val="000000"/>
        </w:rPr>
        <w:t>м</w:t>
      </w:r>
      <w:r w:rsidRPr="00A81F9F">
        <w:rPr>
          <w:color w:val="000000"/>
        </w:rPr>
        <w:t xml:space="preserve">р составлял </w:t>
      </w:r>
      <w:r w:rsidRPr="00A81F9F">
        <w:rPr>
          <w:b/>
          <w:bCs/>
          <w:color w:val="000000"/>
        </w:rPr>
        <w:t>12,</w:t>
      </w:r>
      <w:r w:rsidR="003A55D9">
        <w:rPr>
          <w:b/>
          <w:bCs/>
          <w:color w:val="000000"/>
        </w:rPr>
        <w:t>4</w:t>
      </w:r>
      <w:r w:rsidRPr="00A81F9F">
        <w:rPr>
          <w:b/>
          <w:bCs/>
          <w:color w:val="000000"/>
        </w:rPr>
        <w:t>%,</w:t>
      </w:r>
      <w:r w:rsidRPr="00A81F9F">
        <w:rPr>
          <w:color w:val="000000"/>
        </w:rPr>
        <w:t xml:space="preserve"> при этом рост ВРП</w:t>
      </w:r>
      <w:r w:rsidR="003A55D9">
        <w:rPr>
          <w:color w:val="000000"/>
        </w:rPr>
        <w:t>м</w:t>
      </w:r>
      <w:r w:rsidRPr="00A81F9F">
        <w:rPr>
          <w:color w:val="000000"/>
        </w:rPr>
        <w:t xml:space="preserve">р – </w:t>
      </w:r>
      <w:r w:rsidR="003A55D9">
        <w:rPr>
          <w:b/>
          <w:bCs/>
          <w:color w:val="000000"/>
        </w:rPr>
        <w:t>8,4</w:t>
      </w:r>
      <w:r w:rsidRPr="00A81F9F">
        <w:rPr>
          <w:b/>
          <w:bCs/>
          <w:color w:val="000000"/>
        </w:rPr>
        <w:t>%</w:t>
      </w:r>
      <w:r w:rsidR="006D5E17">
        <w:rPr>
          <w:b/>
          <w:bCs/>
          <w:color w:val="000000"/>
        </w:rPr>
        <w:t xml:space="preserve"> </w:t>
      </w:r>
      <w:r w:rsidR="006D5E17" w:rsidRPr="006D5E17">
        <w:rPr>
          <w:bCs/>
          <w:color w:val="000000"/>
        </w:rPr>
        <w:t>(а не 9,3% - среднегодовой рост ВРПмр в период роста ВРПмр, рис. 58)</w:t>
      </w:r>
      <w:r w:rsidRPr="006D5E17">
        <w:rPr>
          <w:bCs/>
          <w:color w:val="000000"/>
        </w:rPr>
        <w:t>.</w:t>
      </w:r>
      <w:r w:rsidRPr="00A81F9F">
        <w:rPr>
          <w:color w:val="000000"/>
        </w:rPr>
        <w:t xml:space="preserve"> </w:t>
      </w:r>
      <w:r w:rsidR="009D6008">
        <w:rPr>
          <w:color w:val="000000"/>
        </w:rPr>
        <w:t>Тогда в этот период среднегодовой коэффииент эластичности ВРПмр к ИОКмр Кврпмр= 8,4%/12,4%</w:t>
      </w:r>
      <w:r w:rsidR="004A55DC">
        <w:rPr>
          <w:color w:val="000000"/>
        </w:rPr>
        <w:t>=</w:t>
      </w:r>
      <w:r w:rsidR="004A55DC" w:rsidRPr="001A7D2F">
        <w:rPr>
          <w:b/>
          <w:color w:val="000000"/>
        </w:rPr>
        <w:t>0,68</w:t>
      </w:r>
      <w:r w:rsidR="004A55DC">
        <w:rPr>
          <w:color w:val="000000"/>
        </w:rPr>
        <w:t>.</w:t>
      </w:r>
      <w:r w:rsidR="001A7D2F">
        <w:rPr>
          <w:color w:val="000000"/>
        </w:rPr>
        <w:t xml:space="preserve"> </w:t>
      </w:r>
      <w:r w:rsidR="005539B4">
        <w:rPr>
          <w:color w:val="000000"/>
        </w:rPr>
        <w:t>С учетом периода 2011-2012 гг.</w:t>
      </w:r>
      <w:r w:rsidR="007F7A96">
        <w:rPr>
          <w:color w:val="000000"/>
        </w:rPr>
        <w:t xml:space="preserve"> среднегодов</w:t>
      </w:r>
      <w:r w:rsidR="00662343">
        <w:rPr>
          <w:color w:val="000000"/>
        </w:rPr>
        <w:t>ые</w:t>
      </w:r>
      <w:r w:rsidR="007F7A96">
        <w:rPr>
          <w:color w:val="000000"/>
        </w:rPr>
        <w:t xml:space="preserve"> темп</w:t>
      </w:r>
      <w:r w:rsidR="00662343">
        <w:rPr>
          <w:color w:val="000000"/>
        </w:rPr>
        <w:t>ы</w:t>
      </w:r>
      <w:r w:rsidR="007F7A96">
        <w:rPr>
          <w:color w:val="000000"/>
        </w:rPr>
        <w:t xml:space="preserve"> роста ИОКмр</w:t>
      </w:r>
      <w:r w:rsidR="00662343">
        <w:rPr>
          <w:color w:val="000000"/>
        </w:rPr>
        <w:t xml:space="preserve"> и ВРПмр равняется соответственно </w:t>
      </w:r>
      <w:r w:rsidR="007F7A96">
        <w:rPr>
          <w:color w:val="000000"/>
        </w:rPr>
        <w:t>11,0%</w:t>
      </w:r>
      <w:r w:rsidR="00662343">
        <w:rPr>
          <w:color w:val="000000"/>
        </w:rPr>
        <w:t xml:space="preserve"> и 7,6%. Тогда Кврпмр=7,6%/11%=</w:t>
      </w:r>
      <w:r w:rsidR="00662343" w:rsidRPr="00662343">
        <w:rPr>
          <w:b/>
          <w:color w:val="000000"/>
        </w:rPr>
        <w:t>0,69</w:t>
      </w:r>
      <w:r w:rsidR="00A02435">
        <w:rPr>
          <w:color w:val="000000"/>
        </w:rPr>
        <w:t xml:space="preserve"> или практически не изменился.</w:t>
      </w:r>
    </w:p>
    <w:p w:rsidR="009D6008" w:rsidRDefault="001A7D2F" w:rsidP="00D81B9F">
      <w:pPr>
        <w:pStyle w:val="af1"/>
        <w:shd w:val="clear" w:color="auto" w:fill="FFFFFF"/>
        <w:spacing w:before="0" w:beforeAutospacing="0" w:after="0" w:afterAutospacing="0"/>
        <w:ind w:firstLine="708"/>
        <w:jc w:val="both"/>
        <w:rPr>
          <w:color w:val="000000"/>
        </w:rPr>
      </w:pPr>
      <w:r>
        <w:rPr>
          <w:color w:val="000000"/>
        </w:rPr>
        <w:t>Теперь определим среднегодовой коэффициент э</w:t>
      </w:r>
      <w:r w:rsidR="003A7C31">
        <w:rPr>
          <w:color w:val="000000"/>
        </w:rPr>
        <w:t xml:space="preserve">ластичности Кврпмр, как среднеарифметическое значение от ежегодных коэффициентов эластичности ВРПмр к ИОКмр в период роста ИОКмр. </w:t>
      </w:r>
    </w:p>
    <w:p w:rsidR="009D6008" w:rsidRDefault="009D6008" w:rsidP="00D81B9F">
      <w:pPr>
        <w:pStyle w:val="af1"/>
        <w:shd w:val="clear" w:color="auto" w:fill="FFFFFF"/>
        <w:spacing w:before="0" w:beforeAutospacing="0" w:after="0" w:afterAutospacing="0"/>
        <w:ind w:firstLine="708"/>
        <w:jc w:val="both"/>
        <w:rPr>
          <w:color w:val="000000"/>
        </w:rPr>
      </w:pPr>
      <w:r>
        <w:rPr>
          <w:color w:val="000000"/>
        </w:rPr>
        <w:t xml:space="preserve">На рис. </w:t>
      </w:r>
      <w:r w:rsidR="00F87247">
        <w:rPr>
          <w:color w:val="000000"/>
        </w:rPr>
        <w:t>7</w:t>
      </w:r>
      <w:r w:rsidR="00D81B9F">
        <w:rPr>
          <w:color w:val="000000"/>
        </w:rPr>
        <w:t>5</w:t>
      </w:r>
      <w:r>
        <w:rPr>
          <w:color w:val="000000"/>
        </w:rPr>
        <w:t xml:space="preserve"> показаны ежегодные коэффициенты эластичности</w:t>
      </w:r>
      <w:r w:rsidR="003A7C31">
        <w:rPr>
          <w:color w:val="000000"/>
        </w:rPr>
        <w:t xml:space="preserve"> ВРПмр к ИОКмр в период 1997-2012гг. </w:t>
      </w:r>
    </w:p>
    <w:p w:rsidR="003A0438" w:rsidRDefault="007C1ADE" w:rsidP="003A0438">
      <w:pPr>
        <w:pStyle w:val="af1"/>
        <w:shd w:val="clear" w:color="auto" w:fill="FFFFFF"/>
        <w:jc w:val="both"/>
        <w:rPr>
          <w:color w:val="000000"/>
        </w:rPr>
      </w:pPr>
      <w:r>
        <w:rPr>
          <w:noProof/>
          <w:color w:val="000000"/>
        </w:rPr>
        <w:drawing>
          <wp:inline distT="0" distB="0" distL="0" distR="0">
            <wp:extent cx="6052743" cy="3622462"/>
            <wp:effectExtent l="16138" t="6177" r="8069" b="386"/>
            <wp:docPr id="8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9149C" w:rsidRDefault="003A0438" w:rsidP="00D81B9F">
      <w:pPr>
        <w:pStyle w:val="af1"/>
        <w:shd w:val="clear" w:color="auto" w:fill="FFFFFF"/>
        <w:ind w:firstLine="708"/>
        <w:jc w:val="both"/>
        <w:rPr>
          <w:color w:val="000000"/>
        </w:rPr>
      </w:pPr>
      <w:r>
        <w:rPr>
          <w:color w:val="000000"/>
        </w:rPr>
        <w:t xml:space="preserve">Рис. </w:t>
      </w:r>
      <w:r w:rsidR="00F87247">
        <w:rPr>
          <w:color w:val="000000"/>
        </w:rPr>
        <w:t>7</w:t>
      </w:r>
      <w:r w:rsidR="00D81B9F">
        <w:rPr>
          <w:color w:val="000000"/>
        </w:rPr>
        <w:t>5</w:t>
      </w:r>
      <w:r w:rsidR="00D82C37">
        <w:rPr>
          <w:color w:val="000000"/>
        </w:rPr>
        <w:t>. Ежегодные</w:t>
      </w:r>
      <w:r>
        <w:rPr>
          <w:color w:val="000000"/>
        </w:rPr>
        <w:t xml:space="preserve"> </w:t>
      </w:r>
      <w:r w:rsidR="00D82C37">
        <w:rPr>
          <w:color w:val="000000"/>
        </w:rPr>
        <w:t xml:space="preserve">значения </w:t>
      </w:r>
      <w:r>
        <w:rPr>
          <w:color w:val="000000"/>
        </w:rPr>
        <w:t>коэффициент</w:t>
      </w:r>
      <w:r w:rsidR="00D82C37">
        <w:rPr>
          <w:color w:val="000000"/>
        </w:rPr>
        <w:t>а</w:t>
      </w:r>
      <w:r>
        <w:rPr>
          <w:color w:val="000000"/>
        </w:rPr>
        <w:t xml:space="preserve"> эластичности ВРПмр к ИОКмр (Кврпмр) </w:t>
      </w:r>
      <w:r w:rsidR="00D82C37">
        <w:rPr>
          <w:color w:val="000000"/>
        </w:rPr>
        <w:t xml:space="preserve">в Московском регионе </w:t>
      </w:r>
      <w:r>
        <w:rPr>
          <w:color w:val="000000"/>
        </w:rPr>
        <w:t xml:space="preserve">в период 1997-2012гг. </w:t>
      </w:r>
    </w:p>
    <w:p w:rsidR="003A0438" w:rsidRDefault="003A0438" w:rsidP="00C61A09">
      <w:pPr>
        <w:pStyle w:val="af1"/>
        <w:shd w:val="clear" w:color="auto" w:fill="FFFFFF"/>
        <w:ind w:firstLine="708"/>
        <w:jc w:val="both"/>
        <w:rPr>
          <w:color w:val="000000"/>
        </w:rPr>
      </w:pPr>
      <w:r>
        <w:rPr>
          <w:color w:val="000000"/>
        </w:rPr>
        <w:t>Как обычно</w:t>
      </w:r>
      <w:r w:rsidR="00742202">
        <w:rPr>
          <w:color w:val="000000"/>
        </w:rPr>
        <w:t xml:space="preserve">, для тех значений Кврпмр, которые значительно выше среднего, </w:t>
      </w:r>
      <w:r w:rsidR="00D82C37">
        <w:rPr>
          <w:color w:val="000000"/>
        </w:rPr>
        <w:t xml:space="preserve">необходимо </w:t>
      </w:r>
      <w:r w:rsidR="00742202">
        <w:rPr>
          <w:color w:val="000000"/>
        </w:rPr>
        <w:t>выпол</w:t>
      </w:r>
      <w:r w:rsidR="00D82C37">
        <w:rPr>
          <w:color w:val="000000"/>
        </w:rPr>
        <w:t>нить процедуру локального осреднения</w:t>
      </w:r>
      <w:r w:rsidR="00616C4F">
        <w:rPr>
          <w:color w:val="000000"/>
        </w:rPr>
        <w:t>, (в п</w:t>
      </w:r>
      <w:r w:rsidR="00D82C37">
        <w:rPr>
          <w:color w:val="000000"/>
        </w:rPr>
        <w:t>ериоды</w:t>
      </w:r>
      <w:r w:rsidR="00742202">
        <w:rPr>
          <w:color w:val="000000"/>
        </w:rPr>
        <w:t xml:space="preserve"> 1997-1999гг., 2007-2008гг. и 2011-2012гг.</w:t>
      </w:r>
      <w:r w:rsidR="00616C4F">
        <w:rPr>
          <w:color w:val="000000"/>
        </w:rPr>
        <w:t>)</w:t>
      </w:r>
      <w:r w:rsidR="00742202">
        <w:rPr>
          <w:color w:val="000000"/>
        </w:rPr>
        <w:t xml:space="preserve"> На рис. </w:t>
      </w:r>
      <w:r w:rsidR="00F87247">
        <w:rPr>
          <w:color w:val="000000"/>
        </w:rPr>
        <w:t>7</w:t>
      </w:r>
      <w:r w:rsidR="00D81B9F">
        <w:rPr>
          <w:color w:val="000000"/>
        </w:rPr>
        <w:t>6</w:t>
      </w:r>
      <w:r w:rsidR="00742202">
        <w:rPr>
          <w:color w:val="000000"/>
        </w:rPr>
        <w:t xml:space="preserve"> показаны ежегодные коэффициенты эластичности Кврпмр после локального осреднения.  </w:t>
      </w:r>
    </w:p>
    <w:p w:rsidR="00742202" w:rsidRDefault="006C7277" w:rsidP="00655D45">
      <w:pPr>
        <w:pStyle w:val="af1"/>
        <w:shd w:val="clear" w:color="auto" w:fill="FFFFFF"/>
        <w:jc w:val="both"/>
        <w:rPr>
          <w:color w:val="000000"/>
        </w:rPr>
      </w:pPr>
      <w:r w:rsidRPr="006C7277">
        <w:rPr>
          <w:noProof/>
          <w:color w:val="000000"/>
        </w:rPr>
        <w:drawing>
          <wp:inline distT="0" distB="0" distL="0" distR="0">
            <wp:extent cx="6105525" cy="2971158"/>
            <wp:effectExtent l="19050" t="0" r="9525" b="642"/>
            <wp:docPr id="3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0266D8" w:rsidRDefault="00BF4F5C" w:rsidP="000266D8">
      <w:pPr>
        <w:pStyle w:val="af1"/>
        <w:shd w:val="clear" w:color="auto" w:fill="FFFFFF"/>
        <w:ind w:firstLine="708"/>
        <w:jc w:val="both"/>
        <w:rPr>
          <w:color w:val="000000"/>
        </w:rPr>
      </w:pPr>
      <w:r>
        <w:rPr>
          <w:color w:val="000000"/>
        </w:rPr>
        <w:t>Рис.</w:t>
      </w:r>
      <w:r w:rsidR="00F87247">
        <w:rPr>
          <w:color w:val="000000"/>
        </w:rPr>
        <w:t>7</w:t>
      </w:r>
      <w:r w:rsidR="00D81B9F">
        <w:rPr>
          <w:color w:val="000000"/>
        </w:rPr>
        <w:t>6</w:t>
      </w:r>
      <w:r>
        <w:rPr>
          <w:color w:val="000000"/>
        </w:rPr>
        <w:t xml:space="preserve">. </w:t>
      </w:r>
      <w:r w:rsidR="000266D8">
        <w:rPr>
          <w:color w:val="000000"/>
        </w:rPr>
        <w:t>Ежегодны</w:t>
      </w:r>
      <w:r w:rsidR="00616C4F">
        <w:rPr>
          <w:color w:val="000000"/>
        </w:rPr>
        <w:t>е значения</w:t>
      </w:r>
      <w:r w:rsidR="000266D8">
        <w:rPr>
          <w:color w:val="000000"/>
        </w:rPr>
        <w:t xml:space="preserve"> коэффициент</w:t>
      </w:r>
      <w:r w:rsidR="00616C4F">
        <w:rPr>
          <w:color w:val="000000"/>
        </w:rPr>
        <w:t>ов</w:t>
      </w:r>
      <w:r w:rsidR="000266D8">
        <w:rPr>
          <w:color w:val="000000"/>
        </w:rPr>
        <w:t xml:space="preserve"> эластичности ВРПмр к ИОКмр (Кврпмр) </w:t>
      </w:r>
      <w:r w:rsidR="00616C4F">
        <w:rPr>
          <w:color w:val="000000"/>
        </w:rPr>
        <w:t xml:space="preserve">в Московском регионе </w:t>
      </w:r>
      <w:r w:rsidR="000266D8">
        <w:rPr>
          <w:color w:val="000000"/>
        </w:rPr>
        <w:t>в период 1997-2012гг</w:t>
      </w:r>
      <w:r w:rsidR="003155B0">
        <w:rPr>
          <w:color w:val="000000"/>
        </w:rPr>
        <w:t>. после локального осреднения</w:t>
      </w:r>
      <w:r w:rsidR="000266D8">
        <w:rPr>
          <w:color w:val="000000"/>
        </w:rPr>
        <w:t xml:space="preserve">. </w:t>
      </w:r>
    </w:p>
    <w:p w:rsidR="00C61A09" w:rsidRPr="00A81F9F" w:rsidRDefault="003155B0" w:rsidP="00D81B9F">
      <w:pPr>
        <w:pStyle w:val="af1"/>
        <w:shd w:val="clear" w:color="auto" w:fill="FFFFFF"/>
        <w:spacing w:before="0" w:beforeAutospacing="0" w:after="0" w:afterAutospacing="0"/>
        <w:ind w:firstLine="708"/>
        <w:jc w:val="both"/>
        <w:rPr>
          <w:color w:val="000000"/>
        </w:rPr>
      </w:pPr>
      <w:r>
        <w:rPr>
          <w:color w:val="000000"/>
        </w:rPr>
        <w:t>В</w:t>
      </w:r>
      <w:r w:rsidR="00C61A09" w:rsidRPr="00A81F9F">
        <w:rPr>
          <w:color w:val="000000"/>
        </w:rPr>
        <w:t>идно, что коэффициент эластичности ВРП</w:t>
      </w:r>
      <w:r>
        <w:rPr>
          <w:color w:val="000000"/>
        </w:rPr>
        <w:t>м</w:t>
      </w:r>
      <w:r w:rsidR="00C61A09" w:rsidRPr="00A81F9F">
        <w:rPr>
          <w:color w:val="000000"/>
        </w:rPr>
        <w:t>р к ИОК</w:t>
      </w:r>
      <w:r>
        <w:rPr>
          <w:color w:val="000000"/>
        </w:rPr>
        <w:t>м</w:t>
      </w:r>
      <w:r w:rsidR="00C61A09" w:rsidRPr="00A81F9F">
        <w:rPr>
          <w:color w:val="000000"/>
        </w:rPr>
        <w:t xml:space="preserve">р в стадии </w:t>
      </w:r>
      <w:r>
        <w:rPr>
          <w:color w:val="000000"/>
        </w:rPr>
        <w:t>роста</w:t>
      </w:r>
      <w:r w:rsidR="00C61A09" w:rsidRPr="00A81F9F">
        <w:rPr>
          <w:color w:val="000000"/>
        </w:rPr>
        <w:t xml:space="preserve"> ИОК</w:t>
      </w:r>
      <w:r>
        <w:rPr>
          <w:color w:val="000000"/>
        </w:rPr>
        <w:t>м</w:t>
      </w:r>
      <w:r w:rsidR="00C61A09" w:rsidRPr="00A81F9F">
        <w:rPr>
          <w:color w:val="000000"/>
        </w:rPr>
        <w:t>р (</w:t>
      </w:r>
      <w:r>
        <w:rPr>
          <w:color w:val="000000"/>
        </w:rPr>
        <w:t>1997-2000гг., 2002-2008гг.)</w:t>
      </w:r>
      <w:r w:rsidR="00C61A09" w:rsidRPr="00A81F9F">
        <w:rPr>
          <w:color w:val="000000"/>
        </w:rPr>
        <w:t xml:space="preserve"> равен </w:t>
      </w:r>
      <w:r w:rsidRPr="003155B0">
        <w:rPr>
          <w:b/>
          <w:color w:val="000000"/>
        </w:rPr>
        <w:t>0,</w:t>
      </w:r>
      <w:r w:rsidR="00327A0D">
        <w:rPr>
          <w:b/>
          <w:color w:val="000000"/>
        </w:rPr>
        <w:t>67</w:t>
      </w:r>
      <w:r w:rsidR="00C61A09" w:rsidRPr="00A81F9F">
        <w:rPr>
          <w:color w:val="000000"/>
        </w:rPr>
        <w:t xml:space="preserve">; а </w:t>
      </w:r>
      <w:r>
        <w:rPr>
          <w:color w:val="000000"/>
        </w:rPr>
        <w:t xml:space="preserve">с учетом 2011-2012гг. – </w:t>
      </w:r>
      <w:r w:rsidR="00327A0D">
        <w:rPr>
          <w:b/>
          <w:color w:val="000000"/>
        </w:rPr>
        <w:t>0,70</w:t>
      </w:r>
      <w:r w:rsidR="0039149C">
        <w:rPr>
          <w:color w:val="000000"/>
        </w:rPr>
        <w:t xml:space="preserve">, это практически совпадает с величиной 0,68, полученной выше. </w:t>
      </w:r>
      <w:r w:rsidR="00C61A09" w:rsidRPr="00A81F9F">
        <w:rPr>
          <w:color w:val="000000"/>
        </w:rPr>
        <w:t>Это значит, что</w:t>
      </w:r>
      <w:r w:rsidR="00530C20">
        <w:rPr>
          <w:color w:val="000000"/>
        </w:rPr>
        <w:t xml:space="preserve"> на 1% роста ИОКмр</w:t>
      </w:r>
      <w:r w:rsidR="00C61A09" w:rsidRPr="00A81F9F">
        <w:rPr>
          <w:color w:val="000000"/>
        </w:rPr>
        <w:t xml:space="preserve"> в Московском регионе </w:t>
      </w:r>
      <w:r w:rsidR="00530C20">
        <w:rPr>
          <w:color w:val="000000"/>
        </w:rPr>
        <w:t xml:space="preserve">ВРПмр увеличивается на </w:t>
      </w:r>
      <w:r w:rsidR="00530C20" w:rsidRPr="00C50C1A">
        <w:rPr>
          <w:b/>
          <w:color w:val="000000"/>
        </w:rPr>
        <w:t>0,</w:t>
      </w:r>
      <w:r w:rsidR="00C50C1A" w:rsidRPr="00C50C1A">
        <w:rPr>
          <w:b/>
          <w:color w:val="000000"/>
        </w:rPr>
        <w:t>70</w:t>
      </w:r>
      <w:r w:rsidR="00530C20" w:rsidRPr="00C50C1A">
        <w:rPr>
          <w:b/>
          <w:color w:val="000000"/>
        </w:rPr>
        <w:t>%</w:t>
      </w:r>
      <w:r w:rsidR="00530C20">
        <w:rPr>
          <w:color w:val="000000"/>
        </w:rPr>
        <w:t xml:space="preserve"> (0,</w:t>
      </w:r>
      <w:r w:rsidR="00C50C1A">
        <w:rPr>
          <w:color w:val="000000"/>
        </w:rPr>
        <w:t>67</w:t>
      </w:r>
      <w:r w:rsidR="00530C20">
        <w:rPr>
          <w:color w:val="000000"/>
        </w:rPr>
        <w:t xml:space="preserve">%). </w:t>
      </w:r>
    </w:p>
    <w:p w:rsidR="00C61A09" w:rsidRPr="00A81F9F" w:rsidRDefault="00C61A09" w:rsidP="00D81B9F">
      <w:pPr>
        <w:pStyle w:val="af1"/>
        <w:shd w:val="clear" w:color="auto" w:fill="FFFFFF"/>
        <w:spacing w:before="0" w:beforeAutospacing="0" w:after="0" w:afterAutospacing="0"/>
        <w:ind w:firstLine="708"/>
        <w:jc w:val="both"/>
        <w:rPr>
          <w:color w:val="000000"/>
        </w:rPr>
      </w:pPr>
      <w:r w:rsidRPr="00A81F9F">
        <w:rPr>
          <w:color w:val="000000"/>
        </w:rPr>
        <w:t xml:space="preserve">Темп роста ИОК является </w:t>
      </w:r>
      <w:r w:rsidRPr="00A81F9F">
        <w:rPr>
          <w:b/>
          <w:bCs/>
          <w:color w:val="000000"/>
        </w:rPr>
        <w:t>фундаментальным параметром</w:t>
      </w:r>
      <w:r w:rsidRPr="00A81F9F">
        <w:rPr>
          <w:color w:val="000000"/>
        </w:rPr>
        <w:t xml:space="preserve">, который обеспечивает рост ВРП в отдельных регионах и ВВП во всей стране. Для обеспечения </w:t>
      </w:r>
      <w:r w:rsidR="0039149C">
        <w:rPr>
          <w:color w:val="000000"/>
        </w:rPr>
        <w:t xml:space="preserve">среднегодового </w:t>
      </w:r>
      <w:r w:rsidRPr="00A81F9F">
        <w:rPr>
          <w:color w:val="000000"/>
        </w:rPr>
        <w:t>темпа роста ВРП</w:t>
      </w:r>
      <w:r w:rsidR="00530C20">
        <w:rPr>
          <w:color w:val="000000"/>
        </w:rPr>
        <w:t>мр</w:t>
      </w:r>
      <w:r w:rsidR="0039149C">
        <w:rPr>
          <w:color w:val="000000"/>
        </w:rPr>
        <w:t xml:space="preserve"> равного 5% в Московском регионе </w:t>
      </w:r>
      <w:r w:rsidRPr="00A81F9F">
        <w:rPr>
          <w:color w:val="000000"/>
        </w:rPr>
        <w:t>необходимо поддерживать среднегодовой  рост ИОК</w:t>
      </w:r>
      <w:r w:rsidR="00530C20">
        <w:rPr>
          <w:color w:val="000000"/>
        </w:rPr>
        <w:t>мр</w:t>
      </w:r>
      <w:r w:rsidRPr="00A81F9F">
        <w:rPr>
          <w:color w:val="000000"/>
        </w:rPr>
        <w:t xml:space="preserve"> не меньше 5%/0,</w:t>
      </w:r>
      <w:r w:rsidR="0039149C">
        <w:rPr>
          <w:color w:val="000000"/>
        </w:rPr>
        <w:t>70</w:t>
      </w:r>
      <w:r w:rsidRPr="00A81F9F">
        <w:rPr>
          <w:color w:val="000000"/>
        </w:rPr>
        <w:t>=</w:t>
      </w:r>
      <w:r w:rsidR="00F7444F">
        <w:rPr>
          <w:color w:val="000000"/>
        </w:rPr>
        <w:t>7,1</w:t>
      </w:r>
      <w:r w:rsidRPr="00A81F9F">
        <w:rPr>
          <w:color w:val="000000"/>
        </w:rPr>
        <w:t xml:space="preserve">%. И это без учета периодов </w:t>
      </w:r>
      <w:r w:rsidR="00F7444F">
        <w:rPr>
          <w:color w:val="000000"/>
        </w:rPr>
        <w:t>уменьшения</w:t>
      </w:r>
      <w:r w:rsidRPr="00A81F9F">
        <w:rPr>
          <w:color w:val="000000"/>
        </w:rPr>
        <w:t xml:space="preserve"> ИОК</w:t>
      </w:r>
      <w:r w:rsidR="0071475F">
        <w:rPr>
          <w:color w:val="000000"/>
        </w:rPr>
        <w:t>мр</w:t>
      </w:r>
      <w:r w:rsidRPr="00A81F9F">
        <w:rPr>
          <w:color w:val="000000"/>
        </w:rPr>
        <w:t xml:space="preserve">. Однако, даже в </w:t>
      </w:r>
      <w:smartTag w:uri="urn:schemas-microsoft-com:office:smarttags" w:element="metricconverter">
        <w:smartTagPr>
          <w:attr w:name="ProductID" w:val="2011 г"/>
        </w:smartTagPr>
        <w:r w:rsidRPr="00A81F9F">
          <w:rPr>
            <w:color w:val="000000"/>
          </w:rPr>
          <w:t>2011 г</w:t>
        </w:r>
      </w:smartTag>
      <w:r w:rsidRPr="00A81F9F">
        <w:rPr>
          <w:color w:val="000000"/>
        </w:rPr>
        <w:t xml:space="preserve">. этот рост был практически нулевым, </w:t>
      </w:r>
      <w:r w:rsidR="00F7444F">
        <w:rPr>
          <w:color w:val="000000"/>
        </w:rPr>
        <w:t>даже</w:t>
      </w:r>
      <w:r w:rsidRPr="00A81F9F">
        <w:rPr>
          <w:color w:val="000000"/>
        </w:rPr>
        <w:t xml:space="preserve"> после</w:t>
      </w:r>
      <w:r w:rsidR="00F7444F">
        <w:rPr>
          <w:color w:val="000000"/>
        </w:rPr>
        <w:t xml:space="preserve"> его </w:t>
      </w:r>
      <w:r w:rsidRPr="00A81F9F">
        <w:rPr>
          <w:color w:val="000000"/>
        </w:rPr>
        <w:t xml:space="preserve"> катастрофического падения в 2009-2010гг</w:t>
      </w:r>
      <w:r w:rsidR="0006354C">
        <w:rPr>
          <w:color w:val="000000"/>
        </w:rPr>
        <w:t xml:space="preserve">. </w:t>
      </w:r>
      <w:r w:rsidR="00F7444F">
        <w:rPr>
          <w:color w:val="000000"/>
        </w:rPr>
        <w:t>Т</w:t>
      </w:r>
      <w:r w:rsidR="0006354C">
        <w:rPr>
          <w:color w:val="000000"/>
        </w:rPr>
        <w:t>олько в 2012г. он достиг приемлемого уровня – 6,16% (</w:t>
      </w:r>
      <w:r w:rsidRPr="00A81F9F">
        <w:rPr>
          <w:color w:val="000000"/>
        </w:rPr>
        <w:t xml:space="preserve">рис. </w:t>
      </w:r>
      <w:r w:rsidR="0005290F">
        <w:rPr>
          <w:color w:val="000000"/>
        </w:rPr>
        <w:t>74</w:t>
      </w:r>
      <w:r w:rsidR="0006354C">
        <w:rPr>
          <w:color w:val="000000"/>
        </w:rPr>
        <w:t>)</w:t>
      </w:r>
      <w:r w:rsidRPr="00A81F9F">
        <w:rPr>
          <w:color w:val="000000"/>
        </w:rPr>
        <w:t>.</w:t>
      </w:r>
    </w:p>
    <w:p w:rsidR="002B144A" w:rsidRPr="0005290F" w:rsidRDefault="00C61A09" w:rsidP="0005290F">
      <w:pPr>
        <w:pStyle w:val="af1"/>
        <w:shd w:val="clear" w:color="auto" w:fill="FFFFFF"/>
        <w:spacing w:before="0" w:beforeAutospacing="0" w:after="0" w:afterAutospacing="0"/>
        <w:ind w:firstLine="720"/>
        <w:jc w:val="both"/>
        <w:rPr>
          <w:color w:val="000000"/>
        </w:rPr>
      </w:pPr>
      <w:r w:rsidRPr="00A81F9F">
        <w:rPr>
          <w:color w:val="000000"/>
        </w:rPr>
        <w:t xml:space="preserve">Без </w:t>
      </w:r>
      <w:r w:rsidR="00032AD3">
        <w:rPr>
          <w:color w:val="000000"/>
        </w:rPr>
        <w:t xml:space="preserve">поддержания </w:t>
      </w:r>
      <w:r w:rsidRPr="00A81F9F">
        <w:rPr>
          <w:color w:val="000000"/>
        </w:rPr>
        <w:t xml:space="preserve"> </w:t>
      </w:r>
      <w:r w:rsidR="00032AD3">
        <w:rPr>
          <w:color w:val="000000"/>
        </w:rPr>
        <w:t>ежегодного темпа роста ИОК</w:t>
      </w:r>
      <w:r w:rsidR="0071475F">
        <w:rPr>
          <w:color w:val="000000"/>
        </w:rPr>
        <w:t>мр</w:t>
      </w:r>
      <w:r w:rsidR="00032AD3">
        <w:rPr>
          <w:color w:val="000000"/>
        </w:rPr>
        <w:t xml:space="preserve"> хотя бы на</w:t>
      </w:r>
      <w:r w:rsidRPr="00A81F9F">
        <w:rPr>
          <w:color w:val="000000"/>
        </w:rPr>
        <w:t xml:space="preserve"> уровн</w:t>
      </w:r>
      <w:r w:rsidR="00032AD3">
        <w:rPr>
          <w:color w:val="000000"/>
        </w:rPr>
        <w:t>е</w:t>
      </w:r>
      <w:r w:rsidRPr="00A81F9F">
        <w:rPr>
          <w:color w:val="000000"/>
        </w:rPr>
        <w:t xml:space="preserve"> </w:t>
      </w:r>
      <w:r w:rsidR="0041483D">
        <w:rPr>
          <w:b/>
          <w:color w:val="000000"/>
        </w:rPr>
        <w:t>5-7</w:t>
      </w:r>
      <w:r w:rsidRPr="006B7A0B">
        <w:rPr>
          <w:b/>
          <w:color w:val="000000"/>
        </w:rPr>
        <w:t>%</w:t>
      </w:r>
      <w:r w:rsidRPr="00A81F9F">
        <w:rPr>
          <w:color w:val="000000"/>
        </w:rPr>
        <w:t xml:space="preserve"> на достаточно длительную перспективу (5-</w:t>
      </w:r>
      <w:r w:rsidR="001B54EB">
        <w:rPr>
          <w:color w:val="000000"/>
        </w:rPr>
        <w:t>7 лет), ни о каком заметном</w:t>
      </w:r>
      <w:r w:rsidR="0041483D">
        <w:rPr>
          <w:color w:val="000000"/>
        </w:rPr>
        <w:t xml:space="preserve"> (5%*0,70</w:t>
      </w:r>
      <w:r w:rsidR="0090463E">
        <w:rPr>
          <w:color w:val="000000"/>
        </w:rPr>
        <w:t>=</w:t>
      </w:r>
      <w:r w:rsidR="0041483D">
        <w:rPr>
          <w:b/>
          <w:color w:val="000000"/>
        </w:rPr>
        <w:t>3,5</w:t>
      </w:r>
      <w:r w:rsidR="0090463E" w:rsidRPr="006B7A0B">
        <w:rPr>
          <w:b/>
          <w:color w:val="000000"/>
        </w:rPr>
        <w:t>%</w:t>
      </w:r>
      <w:r w:rsidR="0041483D">
        <w:rPr>
          <w:color w:val="000000"/>
        </w:rPr>
        <w:t xml:space="preserve"> и 7%*0,70</w:t>
      </w:r>
      <w:r w:rsidR="0090463E">
        <w:rPr>
          <w:color w:val="000000"/>
        </w:rPr>
        <w:t>=</w:t>
      </w:r>
      <w:r w:rsidR="0041483D">
        <w:rPr>
          <w:b/>
          <w:color w:val="000000"/>
        </w:rPr>
        <w:t>4,9</w:t>
      </w:r>
      <w:r w:rsidR="0090463E" w:rsidRPr="006B7A0B">
        <w:rPr>
          <w:b/>
          <w:color w:val="000000"/>
        </w:rPr>
        <w:t>%</w:t>
      </w:r>
      <w:r w:rsidR="0090463E">
        <w:rPr>
          <w:color w:val="000000"/>
        </w:rPr>
        <w:t>)</w:t>
      </w:r>
      <w:r w:rsidR="0090463E" w:rsidRPr="00A81F9F">
        <w:rPr>
          <w:color w:val="000000"/>
        </w:rPr>
        <w:t xml:space="preserve"> </w:t>
      </w:r>
      <w:r w:rsidR="001B54EB">
        <w:rPr>
          <w:color w:val="000000"/>
        </w:rPr>
        <w:t>темпе</w:t>
      </w:r>
      <w:r w:rsidRPr="00A81F9F">
        <w:rPr>
          <w:color w:val="000000"/>
        </w:rPr>
        <w:t xml:space="preserve"> роста ВРП</w:t>
      </w:r>
      <w:r w:rsidR="0071475F">
        <w:rPr>
          <w:color w:val="000000"/>
        </w:rPr>
        <w:t>мр</w:t>
      </w:r>
      <w:r w:rsidRPr="00A81F9F">
        <w:rPr>
          <w:color w:val="000000"/>
        </w:rPr>
        <w:t xml:space="preserve"> в Московском регионе</w:t>
      </w:r>
      <w:r w:rsidR="0090463E">
        <w:rPr>
          <w:color w:val="000000"/>
        </w:rPr>
        <w:t xml:space="preserve"> </w:t>
      </w:r>
      <w:r w:rsidR="00232736">
        <w:rPr>
          <w:color w:val="000000"/>
        </w:rPr>
        <w:t>не может быть и речи.  С</w:t>
      </w:r>
      <w:r w:rsidRPr="00A81F9F">
        <w:rPr>
          <w:color w:val="000000"/>
        </w:rPr>
        <w:t xml:space="preserve">оответственно, </w:t>
      </w:r>
      <w:r w:rsidR="00232736">
        <w:rPr>
          <w:color w:val="000000"/>
        </w:rPr>
        <w:t xml:space="preserve">при коэффициенте эластичности Кэмр=0,51 электропотребления Эмр к ВРПмр в Московском регионе.(см. рис.58) </w:t>
      </w:r>
      <w:r w:rsidRPr="00A81F9F">
        <w:rPr>
          <w:color w:val="000000"/>
        </w:rPr>
        <w:t>и</w:t>
      </w:r>
      <w:r w:rsidR="00547B3C">
        <w:rPr>
          <w:color w:val="000000"/>
        </w:rPr>
        <w:t xml:space="preserve"> среднегодовой темп электропотребления будет находиться в диапазоне : </w:t>
      </w:r>
      <w:r w:rsidR="0041483D">
        <w:rPr>
          <w:color w:val="000000"/>
        </w:rPr>
        <w:t>3,5</w:t>
      </w:r>
      <w:r w:rsidR="0090463E">
        <w:rPr>
          <w:color w:val="000000"/>
        </w:rPr>
        <w:t>%*0,</w:t>
      </w:r>
      <w:r w:rsidR="0041483D">
        <w:rPr>
          <w:color w:val="000000"/>
        </w:rPr>
        <w:t>51</w:t>
      </w:r>
      <w:r w:rsidR="0090463E">
        <w:rPr>
          <w:color w:val="000000"/>
        </w:rPr>
        <w:t>=</w:t>
      </w:r>
      <w:r w:rsidR="0041483D">
        <w:rPr>
          <w:b/>
          <w:color w:val="000000"/>
        </w:rPr>
        <w:t>1,8</w:t>
      </w:r>
      <w:r w:rsidR="0090463E" w:rsidRPr="006B7A0B">
        <w:rPr>
          <w:b/>
          <w:color w:val="000000"/>
        </w:rPr>
        <w:t>%</w:t>
      </w:r>
      <w:r w:rsidR="0041483D">
        <w:rPr>
          <w:color w:val="000000"/>
        </w:rPr>
        <w:t xml:space="preserve"> и 4,9</w:t>
      </w:r>
      <w:r w:rsidR="0090463E">
        <w:rPr>
          <w:color w:val="000000"/>
        </w:rPr>
        <w:t>*0,</w:t>
      </w:r>
      <w:r w:rsidR="0041483D">
        <w:rPr>
          <w:color w:val="000000"/>
        </w:rPr>
        <w:t>51</w:t>
      </w:r>
      <w:r w:rsidR="0090463E">
        <w:rPr>
          <w:color w:val="000000"/>
        </w:rPr>
        <w:t>=</w:t>
      </w:r>
      <w:r w:rsidR="0041483D">
        <w:rPr>
          <w:b/>
          <w:color w:val="000000"/>
        </w:rPr>
        <w:t>2,5</w:t>
      </w:r>
      <w:r w:rsidR="0090463E" w:rsidRPr="006B7A0B">
        <w:rPr>
          <w:b/>
          <w:color w:val="000000"/>
        </w:rPr>
        <w:t>%</w:t>
      </w:r>
      <w:bookmarkStart w:id="83" w:name="_Toc370759795"/>
      <w:r w:rsidR="0005290F">
        <w:rPr>
          <w:color w:val="000000"/>
        </w:rPr>
        <w:t>.</w:t>
      </w:r>
    </w:p>
    <w:p w:rsidR="009478DB" w:rsidRPr="00A81F9F" w:rsidRDefault="009478DB" w:rsidP="0005290F">
      <w:pPr>
        <w:pStyle w:val="3"/>
        <w:ind w:firstLine="851"/>
      </w:pPr>
      <w:bookmarkStart w:id="84" w:name="_Toc374557801"/>
      <w:r w:rsidRPr="00A81F9F">
        <w:t xml:space="preserve">9.3. О прогнозе ИОК и ВРП </w:t>
      </w:r>
      <w:r w:rsidR="00AE09B2">
        <w:t>г. Москве,</w:t>
      </w:r>
      <w:r w:rsidRPr="00A81F9F">
        <w:t xml:space="preserve"> Московской обл.</w:t>
      </w:r>
      <w:r w:rsidR="00AE09B2">
        <w:t xml:space="preserve"> и Московском регионе</w:t>
      </w:r>
      <w:r w:rsidRPr="00A81F9F">
        <w:t xml:space="preserve"> до </w:t>
      </w:r>
      <w:smartTag w:uri="urn:schemas-microsoft-com:office:smarttags" w:element="metricconverter">
        <w:smartTagPr>
          <w:attr w:name="ProductID" w:val="2020 г"/>
        </w:smartTagPr>
        <w:r w:rsidRPr="00A81F9F">
          <w:t>2020 г</w:t>
        </w:r>
      </w:smartTag>
      <w:r w:rsidRPr="00A81F9F">
        <w:t>.</w:t>
      </w:r>
      <w:bookmarkEnd w:id="83"/>
      <w:bookmarkEnd w:id="84"/>
    </w:p>
    <w:p w:rsidR="009A5557" w:rsidRDefault="009478DB" w:rsidP="0063374C">
      <w:pPr>
        <w:pStyle w:val="af1"/>
        <w:shd w:val="clear" w:color="auto" w:fill="FFFFFF"/>
        <w:spacing w:before="0" w:beforeAutospacing="0" w:after="0" w:afterAutospacing="0"/>
        <w:ind w:firstLine="720"/>
        <w:jc w:val="both"/>
        <w:rPr>
          <w:color w:val="000000"/>
        </w:rPr>
      </w:pPr>
      <w:r w:rsidRPr="00A81F9F">
        <w:rPr>
          <w:color w:val="000000"/>
        </w:rPr>
        <w:t>Для  получения научно обоснованного прогноза электропотребления в Московском регионе необходимо иметь прогнозы</w:t>
      </w:r>
      <w:r w:rsidR="008D0E46">
        <w:rPr>
          <w:color w:val="000000"/>
        </w:rPr>
        <w:t xml:space="preserve"> роста</w:t>
      </w:r>
      <w:r w:rsidRPr="00A81F9F">
        <w:rPr>
          <w:color w:val="000000"/>
        </w:rPr>
        <w:t xml:space="preserve"> ИОК</w:t>
      </w:r>
      <w:r w:rsidR="00AE09B2">
        <w:rPr>
          <w:color w:val="000000"/>
        </w:rPr>
        <w:t>мр</w:t>
      </w:r>
      <w:r w:rsidRPr="00A81F9F">
        <w:rPr>
          <w:color w:val="000000"/>
        </w:rPr>
        <w:t>, ВРП</w:t>
      </w:r>
      <w:r w:rsidR="00AE09B2">
        <w:rPr>
          <w:color w:val="000000"/>
        </w:rPr>
        <w:t xml:space="preserve">мр в </w:t>
      </w:r>
      <w:r w:rsidR="0094182E">
        <w:rPr>
          <w:color w:val="000000"/>
        </w:rPr>
        <w:t xml:space="preserve">самом </w:t>
      </w:r>
      <w:r w:rsidR="00AE09B2">
        <w:rPr>
          <w:color w:val="000000"/>
        </w:rPr>
        <w:t>регионе</w:t>
      </w:r>
      <w:r w:rsidRPr="00A81F9F">
        <w:rPr>
          <w:color w:val="000000"/>
        </w:rPr>
        <w:t xml:space="preserve">. Эти прогнозы </w:t>
      </w:r>
      <w:r w:rsidR="00AE09B2">
        <w:rPr>
          <w:color w:val="000000"/>
        </w:rPr>
        <w:t xml:space="preserve">можно рассчитать на основании </w:t>
      </w:r>
      <w:r w:rsidR="008D0E46">
        <w:rPr>
          <w:color w:val="000000"/>
        </w:rPr>
        <w:t xml:space="preserve">соответствующих </w:t>
      </w:r>
      <w:r w:rsidR="00AE09B2">
        <w:rPr>
          <w:color w:val="000000"/>
        </w:rPr>
        <w:t>прогнозов</w:t>
      </w:r>
      <w:r w:rsidR="0094182E">
        <w:rPr>
          <w:color w:val="000000"/>
        </w:rPr>
        <w:t xml:space="preserve"> роста ИОК</w:t>
      </w:r>
      <w:r w:rsidR="008D0E46">
        <w:rPr>
          <w:color w:val="000000"/>
        </w:rPr>
        <w:t xml:space="preserve"> и ВРП</w:t>
      </w:r>
      <w:r w:rsidRPr="00A81F9F">
        <w:rPr>
          <w:color w:val="000000"/>
        </w:rPr>
        <w:t xml:space="preserve"> </w:t>
      </w:r>
      <w:r w:rsidR="008D0E46">
        <w:rPr>
          <w:color w:val="000000"/>
        </w:rPr>
        <w:t>в Москве и Московской области</w:t>
      </w:r>
      <w:r w:rsidR="00363545">
        <w:rPr>
          <w:color w:val="000000"/>
        </w:rPr>
        <w:t>.</w:t>
      </w:r>
    </w:p>
    <w:p w:rsidR="00F61C98" w:rsidRDefault="009A5557" w:rsidP="0063374C">
      <w:pPr>
        <w:pStyle w:val="af1"/>
        <w:shd w:val="clear" w:color="auto" w:fill="FFFFFF"/>
        <w:spacing w:before="0" w:beforeAutospacing="0" w:after="0" w:afterAutospacing="0"/>
        <w:ind w:firstLine="720"/>
        <w:jc w:val="both"/>
        <w:rPr>
          <w:color w:val="000000"/>
        </w:rPr>
      </w:pPr>
      <w:r>
        <w:rPr>
          <w:color w:val="000000"/>
        </w:rPr>
        <w:t>Для Москвы</w:t>
      </w:r>
      <w:r w:rsidR="00765220">
        <w:rPr>
          <w:color w:val="000000"/>
        </w:rPr>
        <w:t xml:space="preserve"> эти прогнозы опубликованы в</w:t>
      </w:r>
      <w:r w:rsidR="009478DB" w:rsidRPr="00A81F9F">
        <w:rPr>
          <w:color w:val="000000"/>
        </w:rPr>
        <w:t xml:space="preserve"> проекте Стратегии социально-экономического развития Москвы до 2025г. (2012г.) – далее Стратегия г. Москвы 2012г (</w:t>
      </w:r>
      <w:hyperlink r:id="rId95" w:history="1">
        <w:r w:rsidR="009478DB" w:rsidRPr="00A81F9F">
          <w:rPr>
            <w:rStyle w:val="a4"/>
          </w:rPr>
          <w:t>http://www.depir.ru/content/c384-page1.html</w:t>
        </w:r>
      </w:hyperlink>
      <w:r w:rsidR="00F61C98">
        <w:rPr>
          <w:color w:val="000000"/>
        </w:rPr>
        <w:t xml:space="preserve">) и </w:t>
      </w:r>
      <w:r w:rsidR="009478DB" w:rsidRPr="00A81F9F">
        <w:rPr>
          <w:color w:val="000000"/>
        </w:rPr>
        <w:t xml:space="preserve"> </w:t>
      </w:r>
      <w:r w:rsidR="00765220">
        <w:rPr>
          <w:color w:val="000000"/>
        </w:rPr>
        <w:t>в Докладе «Социально-экономическое развитие и бюджет города Москвы: факты и прогноз»</w:t>
      </w:r>
      <w:r w:rsidR="00F61C98">
        <w:rPr>
          <w:color w:val="000000"/>
        </w:rPr>
        <w:t xml:space="preserve">. </w:t>
      </w:r>
    </w:p>
    <w:p w:rsidR="009478DB" w:rsidRPr="007A0497" w:rsidRDefault="00F61C98" w:rsidP="0063374C">
      <w:pPr>
        <w:pStyle w:val="af1"/>
        <w:shd w:val="clear" w:color="auto" w:fill="FFFFFF"/>
        <w:spacing w:before="0" w:beforeAutospacing="0" w:after="0" w:afterAutospacing="0"/>
        <w:ind w:firstLine="720"/>
        <w:jc w:val="both"/>
        <w:rPr>
          <w:color w:val="000000"/>
        </w:rPr>
      </w:pPr>
      <w:r>
        <w:rPr>
          <w:color w:val="000000"/>
        </w:rPr>
        <w:t>Для Московской области было выпущено Постановление п</w:t>
      </w:r>
      <w:r w:rsidR="009478DB" w:rsidRPr="00A81F9F">
        <w:rPr>
          <w:color w:val="000000"/>
        </w:rPr>
        <w:t xml:space="preserve">равительства Московской области от 2.09.2011 г. «О Стратегии социально-экономического развития Московской области до </w:t>
      </w:r>
      <w:smartTag w:uri="urn:schemas-microsoft-com:office:smarttags" w:element="metricconverter">
        <w:smartTagPr>
          <w:attr w:name="ProductID" w:val="2025 г"/>
        </w:smartTagPr>
        <w:r w:rsidR="009478DB" w:rsidRPr="00A81F9F">
          <w:rPr>
            <w:color w:val="000000"/>
          </w:rPr>
          <w:t>2025 г</w:t>
        </w:r>
      </w:smartTag>
      <w:r w:rsidR="009478DB" w:rsidRPr="00A81F9F">
        <w:rPr>
          <w:color w:val="000000"/>
        </w:rPr>
        <w:t xml:space="preserve">.» - далее Стратегия Московской области 2011г., </w:t>
      </w:r>
      <w:r w:rsidR="0094182E" w:rsidRPr="0094182E">
        <w:t>http://www.moduma.ru/index.php?option=com_content&amp;task=view&amp;id=6124&amp;Itemid=86</w:t>
      </w:r>
      <w:r w:rsidR="0094182E">
        <w:rPr>
          <w:color w:val="000000"/>
        </w:rPr>
        <w:t xml:space="preserve"> и материалов Министерства экономики Московской области</w:t>
      </w:r>
      <w:r w:rsidR="007A0497">
        <w:rPr>
          <w:color w:val="000000"/>
        </w:rPr>
        <w:t xml:space="preserve"> октябрь 2013 </w:t>
      </w:r>
      <w:r w:rsidR="007A0497">
        <w:rPr>
          <w:color w:val="000000"/>
          <w:lang w:val="en-US"/>
        </w:rPr>
        <w:t>me</w:t>
      </w:r>
      <w:r w:rsidR="007A0497" w:rsidRPr="007A0497">
        <w:rPr>
          <w:color w:val="000000"/>
        </w:rPr>
        <w:t>.</w:t>
      </w:r>
      <w:r w:rsidR="007A0497">
        <w:rPr>
          <w:color w:val="000000"/>
          <w:lang w:val="en-US"/>
        </w:rPr>
        <w:t>mosreg</w:t>
      </w:r>
      <w:r w:rsidR="007A0497" w:rsidRPr="007A0497">
        <w:rPr>
          <w:color w:val="000000"/>
        </w:rPr>
        <w:t>.</w:t>
      </w:r>
      <w:r w:rsidR="007A0497">
        <w:rPr>
          <w:color w:val="000000"/>
          <w:lang w:val="en-US"/>
        </w:rPr>
        <w:t>ru</w:t>
      </w:r>
    </w:p>
    <w:p w:rsidR="00536676" w:rsidRPr="00A81F9F" w:rsidRDefault="00536676" w:rsidP="0005290F">
      <w:pPr>
        <w:pStyle w:val="af1"/>
        <w:shd w:val="clear" w:color="auto" w:fill="FFFFFF"/>
        <w:spacing w:before="0" w:beforeAutospacing="0" w:after="0" w:afterAutospacing="0"/>
        <w:jc w:val="both"/>
        <w:rPr>
          <w:color w:val="000000"/>
        </w:rPr>
      </w:pPr>
    </w:p>
    <w:p w:rsidR="00D844AC" w:rsidRDefault="00D844AC" w:rsidP="0005290F">
      <w:pPr>
        <w:pStyle w:val="af1"/>
        <w:shd w:val="clear" w:color="auto" w:fill="FFFFFF"/>
        <w:spacing w:before="0" w:beforeAutospacing="0" w:after="0" w:afterAutospacing="0"/>
        <w:ind w:firstLine="851"/>
        <w:rPr>
          <w:b/>
          <w:color w:val="000000"/>
        </w:rPr>
      </w:pPr>
      <w:r w:rsidRPr="00702D58">
        <w:rPr>
          <w:b/>
          <w:color w:val="000000"/>
        </w:rPr>
        <w:t>9.3.1. О прогнозе ВРПм и ИОКм в Москве до 2020 года.</w:t>
      </w:r>
    </w:p>
    <w:p w:rsidR="0005290F" w:rsidRPr="0005290F" w:rsidRDefault="0005290F" w:rsidP="0005290F">
      <w:pPr>
        <w:pStyle w:val="af1"/>
        <w:shd w:val="clear" w:color="auto" w:fill="FFFFFF"/>
        <w:spacing w:before="0" w:beforeAutospacing="0" w:after="0" w:afterAutospacing="0"/>
        <w:rPr>
          <w:b/>
          <w:color w:val="000000"/>
        </w:rPr>
      </w:pPr>
    </w:p>
    <w:p w:rsidR="009478DB" w:rsidRDefault="009478DB" w:rsidP="002C6F7B">
      <w:pPr>
        <w:pStyle w:val="af1"/>
        <w:shd w:val="clear" w:color="auto" w:fill="FFFFFF"/>
        <w:spacing w:before="0" w:beforeAutospacing="0" w:after="0" w:afterAutospacing="0"/>
        <w:ind w:firstLine="720"/>
        <w:jc w:val="both"/>
        <w:rPr>
          <w:color w:val="000000"/>
        </w:rPr>
      </w:pPr>
      <w:r w:rsidRPr="009711A2">
        <w:rPr>
          <w:color w:val="000000"/>
          <w:u w:val="single"/>
        </w:rPr>
        <w:t>В проекте Стратегии Москвы 2012г.</w:t>
      </w:r>
      <w:r w:rsidRPr="00A81F9F">
        <w:rPr>
          <w:color w:val="000000"/>
        </w:rPr>
        <w:t xml:space="preserve"> рассматриваются 2 сценария – «Статус Кво» и «Москва – мировой город», в которых принимается прирост ВРП</w:t>
      </w:r>
      <w:r w:rsidR="009044B8">
        <w:rPr>
          <w:color w:val="000000"/>
        </w:rPr>
        <w:t>м</w:t>
      </w:r>
      <w:r w:rsidRPr="00A81F9F">
        <w:rPr>
          <w:color w:val="000000"/>
        </w:rPr>
        <w:t xml:space="preserve"> в постоянных ценах в </w:t>
      </w:r>
      <w:smartTag w:uri="urn:schemas-microsoft-com:office:smarttags" w:element="metricconverter">
        <w:smartTagPr>
          <w:attr w:name="ProductID" w:val="2016 г"/>
        </w:smartTagPr>
        <w:r w:rsidRPr="00A81F9F">
          <w:rPr>
            <w:color w:val="000000"/>
          </w:rPr>
          <w:t>2016 г</w:t>
        </w:r>
      </w:smartTag>
      <w:r w:rsidRPr="00A81F9F">
        <w:rPr>
          <w:color w:val="000000"/>
        </w:rPr>
        <w:t xml:space="preserve">. к  </w:t>
      </w:r>
      <w:smartTag w:uri="urn:schemas-microsoft-com:office:smarttags" w:element="metricconverter">
        <w:smartTagPr>
          <w:attr w:name="ProductID" w:val="2010 г"/>
        </w:smartTagPr>
        <w:r w:rsidRPr="00A81F9F">
          <w:rPr>
            <w:color w:val="000000"/>
          </w:rPr>
          <w:t>2010 г</w:t>
        </w:r>
      </w:smartTag>
      <w:r w:rsidRPr="00A81F9F">
        <w:rPr>
          <w:color w:val="000000"/>
        </w:rPr>
        <w:t>.  – 25-26% и 31% соответственно, а увеличение объема инвестиций в экономику города – на 69% и 81-82%. В сценарии «Статус Кво» это соответствует среднегодовому темпу роста ВРП</w:t>
      </w:r>
      <w:r w:rsidR="009044B8">
        <w:rPr>
          <w:color w:val="000000"/>
        </w:rPr>
        <w:t>м</w:t>
      </w:r>
      <w:r w:rsidRPr="00A81F9F">
        <w:rPr>
          <w:color w:val="000000"/>
        </w:rPr>
        <w:t xml:space="preserve">  - </w:t>
      </w:r>
      <w:r w:rsidRPr="00702D58">
        <w:rPr>
          <w:b/>
          <w:color w:val="000000"/>
        </w:rPr>
        <w:t>4,0%,</w:t>
      </w:r>
      <w:r w:rsidRPr="00A81F9F">
        <w:rPr>
          <w:color w:val="000000"/>
        </w:rPr>
        <w:t xml:space="preserve"> а «Москва – мировой город» - </w:t>
      </w:r>
      <w:r w:rsidRPr="00702D58">
        <w:rPr>
          <w:b/>
          <w:color w:val="000000"/>
        </w:rPr>
        <w:t>4,7%,</w:t>
      </w:r>
      <w:r w:rsidRPr="00A81F9F">
        <w:rPr>
          <w:color w:val="000000"/>
        </w:rPr>
        <w:t xml:space="preserve">  при этом среднегодовой тем роста ИОК</w:t>
      </w:r>
      <w:r w:rsidR="009044B8">
        <w:rPr>
          <w:color w:val="000000"/>
        </w:rPr>
        <w:t>м</w:t>
      </w:r>
      <w:r w:rsidRPr="00A81F9F">
        <w:rPr>
          <w:color w:val="000000"/>
        </w:rPr>
        <w:t xml:space="preserve"> принимаются равными, соответственно,</w:t>
      </w:r>
      <w:r w:rsidRPr="00A81F9F">
        <w:rPr>
          <w:b/>
          <w:bCs/>
          <w:color w:val="000000"/>
        </w:rPr>
        <w:t xml:space="preserve"> 9% </w:t>
      </w:r>
      <w:r w:rsidRPr="00A81F9F">
        <w:rPr>
          <w:color w:val="000000"/>
        </w:rPr>
        <w:t xml:space="preserve">и </w:t>
      </w:r>
      <w:r w:rsidRPr="00A81F9F">
        <w:rPr>
          <w:b/>
          <w:bCs/>
          <w:color w:val="000000"/>
        </w:rPr>
        <w:t xml:space="preserve">10,7%. </w:t>
      </w:r>
      <w:r w:rsidRPr="00A81F9F">
        <w:rPr>
          <w:color w:val="000000"/>
        </w:rPr>
        <w:t>Это значит, что среднегодовой коэффициент эластичности ВРП</w:t>
      </w:r>
      <w:r w:rsidR="009044B8">
        <w:rPr>
          <w:color w:val="000000"/>
        </w:rPr>
        <w:t>м</w:t>
      </w:r>
      <w:r w:rsidRPr="00A81F9F">
        <w:rPr>
          <w:color w:val="000000"/>
        </w:rPr>
        <w:t xml:space="preserve"> к ИОК</w:t>
      </w:r>
      <w:r w:rsidR="009044B8">
        <w:rPr>
          <w:color w:val="000000"/>
        </w:rPr>
        <w:t>м</w:t>
      </w:r>
      <w:r w:rsidRPr="00A81F9F">
        <w:rPr>
          <w:color w:val="000000"/>
        </w:rPr>
        <w:t xml:space="preserve"> равняется</w:t>
      </w:r>
      <w:r w:rsidR="00F61C98">
        <w:rPr>
          <w:color w:val="000000"/>
        </w:rPr>
        <w:t xml:space="preserve"> Кврпм=</w:t>
      </w:r>
      <w:r w:rsidRPr="00A81F9F">
        <w:rPr>
          <w:color w:val="000000"/>
        </w:rPr>
        <w:t xml:space="preserve"> </w:t>
      </w:r>
      <w:r w:rsidRPr="00F61C98">
        <w:rPr>
          <w:b/>
          <w:color w:val="000000"/>
        </w:rPr>
        <w:t>0,44</w:t>
      </w:r>
      <w:r w:rsidRPr="00A81F9F">
        <w:rPr>
          <w:color w:val="000000"/>
        </w:rPr>
        <w:t xml:space="preserve"> (4%/9%=0,44 или 4,7%/10,7% = 0,44)</w:t>
      </w:r>
      <w:r w:rsidR="00932AFB">
        <w:rPr>
          <w:b/>
          <w:bCs/>
          <w:color w:val="000000"/>
        </w:rPr>
        <w:t xml:space="preserve">, </w:t>
      </w:r>
      <w:r w:rsidR="00932AFB" w:rsidRPr="00932AFB">
        <w:rPr>
          <w:bCs/>
          <w:color w:val="000000"/>
        </w:rPr>
        <w:t>что</w:t>
      </w:r>
      <w:r w:rsidR="008026F8">
        <w:rPr>
          <w:b/>
          <w:bCs/>
          <w:color w:val="000000"/>
        </w:rPr>
        <w:t xml:space="preserve"> </w:t>
      </w:r>
      <w:r w:rsidRPr="00A81F9F">
        <w:rPr>
          <w:color w:val="000000"/>
        </w:rPr>
        <w:t xml:space="preserve">в </w:t>
      </w:r>
      <w:r w:rsidR="000F3849">
        <w:rPr>
          <w:color w:val="000000"/>
        </w:rPr>
        <w:t>1,7</w:t>
      </w:r>
      <w:r w:rsidR="009044B8">
        <w:rPr>
          <w:color w:val="000000"/>
        </w:rPr>
        <w:t>5</w:t>
      </w:r>
      <w:r w:rsidRPr="00A81F9F">
        <w:rPr>
          <w:color w:val="000000"/>
        </w:rPr>
        <w:t xml:space="preserve"> раз меньше</w:t>
      </w:r>
      <w:r w:rsidRPr="00A81F9F">
        <w:rPr>
          <w:b/>
          <w:bCs/>
          <w:color w:val="000000"/>
        </w:rPr>
        <w:t xml:space="preserve"> </w:t>
      </w:r>
      <w:r w:rsidR="008026F8" w:rsidRPr="008026F8">
        <w:rPr>
          <w:bCs/>
          <w:color w:val="000000"/>
        </w:rPr>
        <w:t>Кврп</w:t>
      </w:r>
      <w:r w:rsidR="00BB4EC9">
        <w:rPr>
          <w:bCs/>
          <w:color w:val="000000"/>
        </w:rPr>
        <w:t>м</w:t>
      </w:r>
      <w:r w:rsidR="008026F8" w:rsidRPr="008026F8">
        <w:rPr>
          <w:bCs/>
          <w:color w:val="000000"/>
        </w:rPr>
        <w:t>=</w:t>
      </w:r>
      <w:r w:rsidR="008026F8" w:rsidRPr="007A0497">
        <w:rPr>
          <w:b/>
          <w:bCs/>
          <w:color w:val="000000"/>
        </w:rPr>
        <w:t>0,77</w:t>
      </w:r>
      <w:r w:rsidR="008026F8">
        <w:rPr>
          <w:b/>
          <w:bCs/>
          <w:color w:val="000000"/>
        </w:rPr>
        <w:t xml:space="preserve"> </w:t>
      </w:r>
      <w:r w:rsidR="00932AFB">
        <w:rPr>
          <w:bCs/>
          <w:color w:val="000000"/>
        </w:rPr>
        <w:t xml:space="preserve">в предыдущие периоды роста ИОКм </w:t>
      </w:r>
      <w:r w:rsidR="00D74786">
        <w:rPr>
          <w:bCs/>
          <w:color w:val="000000"/>
        </w:rPr>
        <w:t>(</w:t>
      </w:r>
      <w:r w:rsidRPr="00A81F9F">
        <w:rPr>
          <w:color w:val="000000"/>
        </w:rPr>
        <w:t>1999-2000гг.; 2002-2007гг</w:t>
      </w:r>
      <w:r w:rsidR="00D74786">
        <w:rPr>
          <w:color w:val="000000"/>
        </w:rPr>
        <w:t xml:space="preserve"> ; 2011-2012 гг. см.раздел 9.2.1 )</w:t>
      </w:r>
      <w:r w:rsidRPr="00A81F9F">
        <w:rPr>
          <w:color w:val="000000"/>
        </w:rPr>
        <w:t xml:space="preserve">. </w:t>
      </w:r>
      <w:r w:rsidR="007A0497">
        <w:rPr>
          <w:color w:val="000000"/>
        </w:rPr>
        <w:t xml:space="preserve">Такое существенное уменьшение коэффициента эластичности </w:t>
      </w:r>
      <w:r w:rsidR="00800B6A" w:rsidRPr="00A81F9F">
        <w:rPr>
          <w:color w:val="000000"/>
        </w:rPr>
        <w:t>ВРП</w:t>
      </w:r>
      <w:r w:rsidR="00800B6A">
        <w:rPr>
          <w:color w:val="000000"/>
        </w:rPr>
        <w:t>м</w:t>
      </w:r>
      <w:r w:rsidR="00800B6A" w:rsidRPr="00A81F9F">
        <w:rPr>
          <w:color w:val="000000"/>
        </w:rPr>
        <w:t xml:space="preserve"> к ИОК</w:t>
      </w:r>
      <w:r w:rsidR="00800B6A">
        <w:rPr>
          <w:color w:val="000000"/>
        </w:rPr>
        <w:t xml:space="preserve">м </w:t>
      </w:r>
      <w:r w:rsidR="00800B6A" w:rsidRPr="00800B6A">
        <w:rPr>
          <w:b/>
          <w:color w:val="000000"/>
        </w:rPr>
        <w:t>невозможно</w:t>
      </w:r>
      <w:r w:rsidR="00800B6A">
        <w:rPr>
          <w:color w:val="000000"/>
        </w:rPr>
        <w:t xml:space="preserve">, так как структура экономики Москвы </w:t>
      </w:r>
      <w:r w:rsidR="006F44C9">
        <w:rPr>
          <w:color w:val="000000"/>
        </w:rPr>
        <w:t xml:space="preserve">в период </w:t>
      </w:r>
      <w:r w:rsidR="00800B6A">
        <w:rPr>
          <w:color w:val="000000"/>
        </w:rPr>
        <w:t>2010-2016гг измениться несущественно по сравнению с предыдущими периодами</w:t>
      </w:r>
      <w:r w:rsidR="006F44C9">
        <w:rPr>
          <w:color w:val="000000"/>
        </w:rPr>
        <w:t>.</w:t>
      </w:r>
      <w:r w:rsidR="002C6F7B">
        <w:rPr>
          <w:color w:val="000000"/>
        </w:rPr>
        <w:t xml:space="preserve"> Поэтому </w:t>
      </w:r>
      <w:r w:rsidRPr="00A81F9F">
        <w:rPr>
          <w:color w:val="000000"/>
        </w:rPr>
        <w:t>в Москве</w:t>
      </w:r>
      <w:r w:rsidR="002C6F7B">
        <w:rPr>
          <w:color w:val="000000"/>
        </w:rPr>
        <w:t>.</w:t>
      </w:r>
      <w:r w:rsidRPr="00A81F9F">
        <w:rPr>
          <w:color w:val="000000"/>
        </w:rPr>
        <w:t xml:space="preserve"> </w:t>
      </w:r>
      <w:r w:rsidR="00BB4EC9">
        <w:rPr>
          <w:color w:val="000000"/>
        </w:rPr>
        <w:t>при среднегодовом коэффициенте эластичности ВРПм к ИОКм Кврпм=0,77</w:t>
      </w:r>
      <w:r w:rsidR="002C6F7B">
        <w:rPr>
          <w:color w:val="000000"/>
        </w:rPr>
        <w:t>,</w:t>
      </w:r>
      <w:r w:rsidR="00BB4EC9">
        <w:rPr>
          <w:color w:val="000000"/>
        </w:rPr>
        <w:t xml:space="preserve"> </w:t>
      </w:r>
      <w:r w:rsidRPr="00A81F9F">
        <w:rPr>
          <w:color w:val="000000"/>
        </w:rPr>
        <w:t>для обеспечения среднегодового темпа роста ВРП</w:t>
      </w:r>
      <w:r w:rsidR="009044B8">
        <w:rPr>
          <w:color w:val="000000"/>
        </w:rPr>
        <w:t>м</w:t>
      </w:r>
      <w:r w:rsidRPr="00A81F9F">
        <w:rPr>
          <w:color w:val="000000"/>
        </w:rPr>
        <w:t xml:space="preserve"> в </w:t>
      </w:r>
      <w:r w:rsidRPr="004549D9">
        <w:rPr>
          <w:b/>
          <w:color w:val="000000"/>
        </w:rPr>
        <w:t>4-5%</w:t>
      </w:r>
      <w:r w:rsidRPr="00A81F9F">
        <w:rPr>
          <w:color w:val="000000"/>
        </w:rPr>
        <w:t xml:space="preserve"> </w:t>
      </w:r>
      <w:r w:rsidR="009044B8">
        <w:rPr>
          <w:color w:val="000000"/>
        </w:rPr>
        <w:t xml:space="preserve">среднегодовой </w:t>
      </w:r>
      <w:r w:rsidRPr="00A81F9F">
        <w:rPr>
          <w:color w:val="000000"/>
        </w:rPr>
        <w:t>темп роста ИОК</w:t>
      </w:r>
      <w:r w:rsidR="009044B8">
        <w:rPr>
          <w:color w:val="000000"/>
        </w:rPr>
        <w:t>м</w:t>
      </w:r>
      <w:r w:rsidRPr="00A81F9F">
        <w:rPr>
          <w:color w:val="000000"/>
        </w:rPr>
        <w:t xml:space="preserve"> </w:t>
      </w:r>
      <w:r w:rsidR="00BB4EC9">
        <w:rPr>
          <w:color w:val="000000"/>
        </w:rPr>
        <w:t xml:space="preserve">должен находиться в диапазоне </w:t>
      </w:r>
      <w:r w:rsidRPr="00A81F9F">
        <w:rPr>
          <w:color w:val="000000"/>
        </w:rPr>
        <w:t xml:space="preserve">на уровне </w:t>
      </w:r>
      <w:r w:rsidR="00BB4EC9">
        <w:rPr>
          <w:color w:val="000000"/>
        </w:rPr>
        <w:t>4%/0,77=</w:t>
      </w:r>
      <w:r w:rsidR="00BB4EC9" w:rsidRPr="004549D9">
        <w:rPr>
          <w:b/>
          <w:color w:val="000000"/>
        </w:rPr>
        <w:t>5,2%</w:t>
      </w:r>
      <w:r w:rsidR="009044B8">
        <w:rPr>
          <w:color w:val="000000"/>
        </w:rPr>
        <w:t xml:space="preserve"> </w:t>
      </w:r>
      <w:r w:rsidR="00BB4EC9">
        <w:rPr>
          <w:color w:val="000000"/>
        </w:rPr>
        <w:t>и  5%/0,77=</w:t>
      </w:r>
      <w:r w:rsidR="00BB4EC9" w:rsidRPr="004549D9">
        <w:rPr>
          <w:b/>
          <w:color w:val="000000"/>
        </w:rPr>
        <w:t>6,5%</w:t>
      </w:r>
      <w:r w:rsidR="009044B8">
        <w:rPr>
          <w:color w:val="000000"/>
        </w:rPr>
        <w:t xml:space="preserve"> </w:t>
      </w:r>
      <w:r w:rsidR="00EF2F0E">
        <w:rPr>
          <w:color w:val="000000"/>
        </w:rPr>
        <w:t>(см.раздел</w:t>
      </w:r>
      <w:r w:rsidR="00686047">
        <w:rPr>
          <w:color w:val="000000"/>
        </w:rPr>
        <w:t xml:space="preserve"> 9.2.1</w:t>
      </w:r>
      <w:r w:rsidR="00EF2F0E">
        <w:rPr>
          <w:color w:val="000000"/>
        </w:rPr>
        <w:t>).</w:t>
      </w:r>
    </w:p>
    <w:p w:rsidR="00686047" w:rsidRDefault="002C6F7B" w:rsidP="0005290F">
      <w:pPr>
        <w:pStyle w:val="af1"/>
        <w:shd w:val="clear" w:color="auto" w:fill="FFFFFF"/>
        <w:spacing w:before="0" w:beforeAutospacing="0" w:after="0" w:afterAutospacing="0"/>
        <w:ind w:firstLine="720"/>
        <w:jc w:val="both"/>
        <w:rPr>
          <w:color w:val="000000"/>
        </w:rPr>
      </w:pPr>
      <w:r>
        <w:rPr>
          <w:color w:val="000000"/>
        </w:rPr>
        <w:t>В последних</w:t>
      </w:r>
      <w:r w:rsidR="002E5C82">
        <w:rPr>
          <w:color w:val="000000"/>
        </w:rPr>
        <w:t xml:space="preserve"> материала</w:t>
      </w:r>
      <w:r>
        <w:rPr>
          <w:color w:val="000000"/>
        </w:rPr>
        <w:t>х</w:t>
      </w:r>
      <w:r w:rsidR="002E5C82">
        <w:rPr>
          <w:color w:val="000000"/>
        </w:rPr>
        <w:t xml:space="preserve"> Д</w:t>
      </w:r>
      <w:r w:rsidR="001A0BE3">
        <w:rPr>
          <w:color w:val="000000"/>
        </w:rPr>
        <w:t>епарта</w:t>
      </w:r>
      <w:r w:rsidR="002E5C82">
        <w:rPr>
          <w:color w:val="000000"/>
        </w:rPr>
        <w:t>мента экономической политики и развития г.Москвы</w:t>
      </w:r>
      <w:r>
        <w:rPr>
          <w:color w:val="000000"/>
        </w:rPr>
        <w:t>(2012г)</w:t>
      </w:r>
      <w:r w:rsidR="001A0BE3">
        <w:rPr>
          <w:color w:val="000000"/>
        </w:rPr>
        <w:t xml:space="preserve"> отмечается, что среднегодовые темпы роста ВРПм будут относительно невысокими, порядка 3,4%</w:t>
      </w:r>
      <w:r>
        <w:rPr>
          <w:color w:val="000000"/>
        </w:rPr>
        <w:t xml:space="preserve"> и ниже </w:t>
      </w:r>
      <w:r w:rsidR="00872F54">
        <w:rPr>
          <w:color w:val="000000"/>
        </w:rPr>
        <w:t xml:space="preserve"> чем в среднем по России</w:t>
      </w:r>
      <w:r w:rsidR="001A0BE3">
        <w:rPr>
          <w:color w:val="000000"/>
        </w:rPr>
        <w:t xml:space="preserve"> </w:t>
      </w:r>
      <w:r w:rsidR="00872F54">
        <w:rPr>
          <w:color w:val="000000"/>
        </w:rPr>
        <w:t>примерно на 1 процентный пункт</w:t>
      </w:r>
      <w:r w:rsidR="001A0BE3">
        <w:rPr>
          <w:color w:val="000000"/>
        </w:rPr>
        <w:t>.(</w:t>
      </w:r>
      <w:hyperlink r:id="rId96" w:history="1">
        <w:r w:rsidR="0054271B" w:rsidRPr="00A829AC">
          <w:rPr>
            <w:rStyle w:val="a4"/>
            <w:lang w:val="en-US"/>
          </w:rPr>
          <w:t>www</w:t>
        </w:r>
        <w:r w:rsidR="0054271B" w:rsidRPr="00A829AC">
          <w:rPr>
            <w:rStyle w:val="a4"/>
          </w:rPr>
          <w:t>.</w:t>
        </w:r>
        <w:r w:rsidR="0054271B" w:rsidRPr="00A829AC">
          <w:rPr>
            <w:rStyle w:val="a4"/>
            <w:lang w:val="en-US"/>
          </w:rPr>
          <w:t>mos</w:t>
        </w:r>
        <w:r w:rsidR="0054271B" w:rsidRPr="00A829AC">
          <w:rPr>
            <w:rStyle w:val="a4"/>
          </w:rPr>
          <w:t>.</w:t>
        </w:r>
        <w:r w:rsidR="0054271B" w:rsidRPr="00A829AC">
          <w:rPr>
            <w:rStyle w:val="a4"/>
            <w:lang w:val="en-US"/>
          </w:rPr>
          <w:t>ru</w:t>
        </w:r>
        <w:r w:rsidR="0054271B" w:rsidRPr="00A829AC">
          <w:rPr>
            <w:rStyle w:val="a4"/>
          </w:rPr>
          <w:t>/</w:t>
        </w:r>
        <w:r w:rsidR="0054271B" w:rsidRPr="00A829AC">
          <w:rPr>
            <w:rStyle w:val="a4"/>
            <w:lang w:val="en-US"/>
          </w:rPr>
          <w:t>press</w:t>
        </w:r>
        <w:r w:rsidR="0054271B" w:rsidRPr="00A829AC">
          <w:rPr>
            <w:rStyle w:val="a4"/>
          </w:rPr>
          <w:t>-</w:t>
        </w:r>
        <w:r w:rsidR="0054271B" w:rsidRPr="00A829AC">
          <w:rPr>
            <w:rStyle w:val="a4"/>
            <w:lang w:val="en-US"/>
          </w:rPr>
          <w:t>center</w:t>
        </w:r>
        <w:r w:rsidR="0054271B" w:rsidRPr="00A829AC">
          <w:rPr>
            <w:rStyle w:val="a4"/>
          </w:rPr>
          <w:t>/</w:t>
        </w:r>
        <w:r w:rsidR="0054271B" w:rsidRPr="00A829AC">
          <w:rPr>
            <w:rStyle w:val="a4"/>
            <w:lang w:val="en-US"/>
          </w:rPr>
          <w:t>transcripts</w:t>
        </w:r>
        <w:r w:rsidR="0054271B" w:rsidRPr="00A829AC">
          <w:rPr>
            <w:rStyle w:val="a4"/>
          </w:rPr>
          <w:t>/</w:t>
        </w:r>
        <w:r w:rsidR="0054271B" w:rsidRPr="00A829AC">
          <w:rPr>
            <w:rStyle w:val="a4"/>
            <w:lang w:val="en-US"/>
          </w:rPr>
          <w:t>index</w:t>
        </w:r>
        <w:r w:rsidR="0054271B" w:rsidRPr="00A829AC">
          <w:rPr>
            <w:rStyle w:val="a4"/>
          </w:rPr>
          <w:t>.</w:t>
        </w:r>
        <w:r w:rsidR="0054271B" w:rsidRPr="00A829AC">
          <w:rPr>
            <w:rStyle w:val="a4"/>
            <w:lang w:val="en-US"/>
          </w:rPr>
          <w:t>php</w:t>
        </w:r>
        <w:r w:rsidR="0054271B" w:rsidRPr="00A829AC">
          <w:rPr>
            <w:rStyle w:val="a4"/>
          </w:rPr>
          <w:t>?</w:t>
        </w:r>
        <w:r w:rsidR="0054271B" w:rsidRPr="00A829AC">
          <w:rPr>
            <w:rStyle w:val="a4"/>
            <w:lang w:val="en-US"/>
          </w:rPr>
          <w:t>id</w:t>
        </w:r>
        <w:r w:rsidR="0054271B" w:rsidRPr="0054271B">
          <w:rPr>
            <w:rStyle w:val="a4"/>
          </w:rPr>
          <w:t>_4=22995</w:t>
        </w:r>
      </w:hyperlink>
      <w:r w:rsidR="001A0BE3">
        <w:rPr>
          <w:color w:val="000000"/>
        </w:rPr>
        <w:t>)</w:t>
      </w:r>
      <w:r w:rsidR="0054271B">
        <w:rPr>
          <w:color w:val="000000"/>
        </w:rPr>
        <w:t>. В последующем анализе в качестве консервативного сценария примем среднегодовой темп роста ВРПм в г.Москве, равный 3,0%.</w:t>
      </w:r>
    </w:p>
    <w:p w:rsidR="0005290F" w:rsidRDefault="0005290F" w:rsidP="0005290F">
      <w:pPr>
        <w:pStyle w:val="af1"/>
        <w:shd w:val="clear" w:color="auto" w:fill="FFFFFF"/>
        <w:spacing w:before="0" w:beforeAutospacing="0" w:after="0" w:afterAutospacing="0"/>
        <w:ind w:firstLine="720"/>
        <w:jc w:val="both"/>
        <w:rPr>
          <w:color w:val="000000"/>
        </w:rPr>
      </w:pPr>
    </w:p>
    <w:p w:rsidR="00702D58" w:rsidRDefault="00686047" w:rsidP="0005290F">
      <w:pPr>
        <w:pStyle w:val="af1"/>
        <w:shd w:val="clear" w:color="auto" w:fill="FFFFFF"/>
        <w:spacing w:before="0" w:beforeAutospacing="0" w:after="0" w:afterAutospacing="0"/>
        <w:ind w:firstLine="851"/>
        <w:jc w:val="both"/>
        <w:rPr>
          <w:b/>
          <w:color w:val="000000"/>
        </w:rPr>
      </w:pPr>
      <w:r>
        <w:rPr>
          <w:b/>
          <w:color w:val="000000"/>
        </w:rPr>
        <w:t xml:space="preserve">9.3.2. </w:t>
      </w:r>
      <w:r w:rsidRPr="00686047">
        <w:rPr>
          <w:b/>
          <w:color w:val="000000"/>
        </w:rPr>
        <w:t>О прогнозе ИОКмо и ВРПмо в Московской области до 2020 года.</w:t>
      </w:r>
    </w:p>
    <w:p w:rsidR="0005290F" w:rsidRPr="0005290F" w:rsidRDefault="0005290F" w:rsidP="0005290F">
      <w:pPr>
        <w:pStyle w:val="af1"/>
        <w:shd w:val="clear" w:color="auto" w:fill="FFFFFF"/>
        <w:spacing w:before="0" w:beforeAutospacing="0" w:after="0" w:afterAutospacing="0"/>
        <w:ind w:firstLine="851"/>
        <w:jc w:val="both"/>
        <w:rPr>
          <w:b/>
          <w:color w:val="000000"/>
        </w:rPr>
      </w:pPr>
    </w:p>
    <w:p w:rsidR="00DF7B68" w:rsidRDefault="009478DB" w:rsidP="00754D7C">
      <w:pPr>
        <w:pStyle w:val="af1"/>
        <w:shd w:val="clear" w:color="auto" w:fill="FFFFFF"/>
        <w:spacing w:before="0" w:beforeAutospacing="0" w:after="0" w:afterAutospacing="0"/>
        <w:ind w:firstLine="720"/>
        <w:jc w:val="both"/>
        <w:rPr>
          <w:color w:val="000000"/>
        </w:rPr>
      </w:pPr>
      <w:r w:rsidRPr="009711A2">
        <w:rPr>
          <w:color w:val="000000"/>
          <w:u w:val="single"/>
        </w:rPr>
        <w:t>В Стратегии Московской области 2011г</w:t>
      </w:r>
      <w:r w:rsidRPr="00A81F9F">
        <w:rPr>
          <w:color w:val="000000"/>
        </w:rPr>
        <w:t xml:space="preserve">. принимается, что индекс физического объема ВРП в </w:t>
      </w:r>
      <w:smartTag w:uri="urn:schemas-microsoft-com:office:smarttags" w:element="metricconverter">
        <w:smartTagPr>
          <w:attr w:name="ProductID" w:val="2015 г"/>
        </w:smartTagPr>
        <w:r w:rsidRPr="00A81F9F">
          <w:rPr>
            <w:color w:val="000000"/>
          </w:rPr>
          <w:t>2015 г</w:t>
        </w:r>
      </w:smartTag>
      <w:r w:rsidRPr="00A81F9F">
        <w:rPr>
          <w:color w:val="000000"/>
        </w:rPr>
        <w:t xml:space="preserve">. к </w:t>
      </w:r>
      <w:smartTag w:uri="urn:schemas-microsoft-com:office:smarttags" w:element="metricconverter">
        <w:smartTagPr>
          <w:attr w:name="ProductID" w:val="2010 г"/>
        </w:smartTagPr>
        <w:r w:rsidRPr="00A81F9F">
          <w:rPr>
            <w:color w:val="000000"/>
          </w:rPr>
          <w:t>2010 г</w:t>
        </w:r>
      </w:smartTag>
      <w:r w:rsidRPr="00A81F9F">
        <w:rPr>
          <w:color w:val="000000"/>
        </w:rPr>
        <w:t xml:space="preserve">. увеличится на 39,6%, а к </w:t>
      </w:r>
      <w:smartTag w:uri="urn:schemas-microsoft-com:office:smarttags" w:element="metricconverter">
        <w:smartTagPr>
          <w:attr w:name="ProductID" w:val="2020 г"/>
        </w:smartTagPr>
        <w:r w:rsidRPr="00A81F9F">
          <w:rPr>
            <w:color w:val="000000"/>
          </w:rPr>
          <w:t>2020 г</w:t>
        </w:r>
      </w:smartTag>
      <w:r w:rsidRPr="00A81F9F">
        <w:rPr>
          <w:color w:val="000000"/>
        </w:rPr>
        <w:t xml:space="preserve">. – на 95,4%. Это соответствует среднегодовому темпу роста ВРП – </w:t>
      </w:r>
      <w:r w:rsidRPr="0059714B">
        <w:rPr>
          <w:b/>
          <w:color w:val="000000"/>
        </w:rPr>
        <w:t>6,9%.</w:t>
      </w:r>
      <w:r w:rsidRPr="00A81F9F">
        <w:rPr>
          <w:color w:val="000000"/>
        </w:rPr>
        <w:t xml:space="preserve"> При этом, физический объем ИОК в процентах к  уровню 2010г. увеличится на 50%, а к 2020г. – на 180%. Это соответствует среднегодовому темпу роста ИОК – </w:t>
      </w:r>
      <w:r w:rsidRPr="00A81F9F">
        <w:rPr>
          <w:b/>
          <w:bCs/>
          <w:color w:val="000000"/>
        </w:rPr>
        <w:t>8,5%</w:t>
      </w:r>
      <w:r w:rsidRPr="00A81F9F">
        <w:rPr>
          <w:color w:val="000000"/>
        </w:rPr>
        <w:t xml:space="preserve"> до 2015г. и </w:t>
      </w:r>
      <w:r w:rsidRPr="00A81F9F">
        <w:rPr>
          <w:b/>
          <w:bCs/>
          <w:color w:val="000000"/>
        </w:rPr>
        <w:t>13%</w:t>
      </w:r>
      <w:r w:rsidRPr="00A81F9F">
        <w:rPr>
          <w:color w:val="000000"/>
        </w:rPr>
        <w:t xml:space="preserve"> в период 2016 – 2020 гг.   Это значит, что среднегодовой коэффициент эластичности изменяе</w:t>
      </w:r>
      <w:r w:rsidR="009711A2">
        <w:rPr>
          <w:color w:val="000000"/>
        </w:rPr>
        <w:t xml:space="preserve">тся в диапазоне от </w:t>
      </w:r>
      <w:r w:rsidR="009711A2" w:rsidRPr="00DF7B68">
        <w:rPr>
          <w:b/>
          <w:color w:val="000000"/>
        </w:rPr>
        <w:t>0,81</w:t>
      </w:r>
      <w:r w:rsidR="009711A2">
        <w:rPr>
          <w:color w:val="000000"/>
        </w:rPr>
        <w:t xml:space="preserve">  в 2015г. до </w:t>
      </w:r>
      <w:r w:rsidR="009711A2" w:rsidRPr="00DF7B68">
        <w:rPr>
          <w:b/>
          <w:color w:val="000000"/>
        </w:rPr>
        <w:t>0,53</w:t>
      </w:r>
      <w:r w:rsidR="009711A2">
        <w:rPr>
          <w:color w:val="000000"/>
        </w:rPr>
        <w:t xml:space="preserve"> в 2016-2020</w:t>
      </w:r>
      <w:r w:rsidRPr="00A81F9F">
        <w:rPr>
          <w:color w:val="000000"/>
        </w:rPr>
        <w:t xml:space="preserve">гг. (6,9%/8,5%=0,81 или 6,9%/13%=0,53). </w:t>
      </w:r>
      <w:r w:rsidRPr="00A81F9F">
        <w:rPr>
          <w:color w:val="000000"/>
        </w:rPr>
        <w:br/>
      </w:r>
      <w:r w:rsidR="00DF7B68">
        <w:rPr>
          <w:color w:val="000000"/>
        </w:rPr>
        <w:t xml:space="preserve">Среднегодовые значения  Кврпмо=0,53-0,81 </w:t>
      </w:r>
      <w:r w:rsidR="0059714B" w:rsidRPr="00AE4707">
        <w:rPr>
          <w:b/>
          <w:color w:val="000000"/>
        </w:rPr>
        <w:t>не соответствует</w:t>
      </w:r>
      <w:r w:rsidR="0059714B">
        <w:rPr>
          <w:color w:val="000000"/>
        </w:rPr>
        <w:t xml:space="preserve"> </w:t>
      </w:r>
      <w:r w:rsidR="00CB295F">
        <w:rPr>
          <w:color w:val="000000"/>
        </w:rPr>
        <w:t xml:space="preserve"> Кврпмо=0,3</w:t>
      </w:r>
      <w:r w:rsidR="00665B4C">
        <w:rPr>
          <w:color w:val="000000"/>
        </w:rPr>
        <w:t>4</w:t>
      </w:r>
      <w:r w:rsidR="00CB295F">
        <w:rPr>
          <w:color w:val="000000"/>
        </w:rPr>
        <w:t>, полученные в период роста ИОКмо в предыдущем периоде.</w:t>
      </w:r>
      <w:r w:rsidR="0059714B">
        <w:rPr>
          <w:color w:val="000000"/>
        </w:rPr>
        <w:t>(см. рис.</w:t>
      </w:r>
      <w:r w:rsidR="00265A2D">
        <w:rPr>
          <w:color w:val="000000"/>
        </w:rPr>
        <w:t>70</w:t>
      </w:r>
      <w:r w:rsidR="0059714B">
        <w:rPr>
          <w:color w:val="000000"/>
        </w:rPr>
        <w:t>).</w:t>
      </w:r>
    </w:p>
    <w:p w:rsidR="002C7744" w:rsidRDefault="0059714B" w:rsidP="00754D7C">
      <w:pPr>
        <w:pStyle w:val="af1"/>
        <w:shd w:val="clear" w:color="auto" w:fill="FFFFFF"/>
        <w:spacing w:before="0" w:beforeAutospacing="0" w:after="0" w:afterAutospacing="0"/>
        <w:ind w:firstLine="720"/>
        <w:jc w:val="both"/>
        <w:rPr>
          <w:color w:val="000000"/>
        </w:rPr>
      </w:pPr>
      <w:r>
        <w:rPr>
          <w:color w:val="000000"/>
        </w:rPr>
        <w:t>В последних материалах Министерства экономики МО</w:t>
      </w:r>
      <w:r w:rsidR="004944B4">
        <w:rPr>
          <w:noProof/>
        </w:rPr>
        <w:t xml:space="preserve">(октябрь 2013 год, </w:t>
      </w:r>
      <w:r w:rsidR="004944B4">
        <w:rPr>
          <w:noProof/>
          <w:lang w:val="en-US"/>
        </w:rPr>
        <w:t>me</w:t>
      </w:r>
      <w:r w:rsidR="004944B4" w:rsidRPr="00CE2550">
        <w:rPr>
          <w:noProof/>
        </w:rPr>
        <w:t>.</w:t>
      </w:r>
      <w:r w:rsidR="004944B4">
        <w:rPr>
          <w:noProof/>
          <w:lang w:val="en-US"/>
        </w:rPr>
        <w:t>mosreg</w:t>
      </w:r>
      <w:r w:rsidR="004944B4" w:rsidRPr="00CE2550">
        <w:rPr>
          <w:noProof/>
        </w:rPr>
        <w:t>.</w:t>
      </w:r>
      <w:r w:rsidR="004944B4">
        <w:rPr>
          <w:noProof/>
          <w:lang w:val="en-US"/>
        </w:rPr>
        <w:t>ru</w:t>
      </w:r>
      <w:r w:rsidR="004944B4" w:rsidRPr="00CE2550">
        <w:rPr>
          <w:noProof/>
        </w:rPr>
        <w:t>)</w:t>
      </w:r>
      <w:r w:rsidR="004944B4">
        <w:rPr>
          <w:noProof/>
        </w:rPr>
        <w:t xml:space="preserve"> </w:t>
      </w:r>
      <w:r>
        <w:rPr>
          <w:color w:val="000000"/>
        </w:rPr>
        <w:t>на период 2013-2015 гг.</w:t>
      </w:r>
      <w:r w:rsidR="00487A48">
        <w:rPr>
          <w:color w:val="000000"/>
        </w:rPr>
        <w:t xml:space="preserve"> </w:t>
      </w:r>
      <w:r w:rsidR="00640279">
        <w:rPr>
          <w:color w:val="000000"/>
        </w:rPr>
        <w:t>сохраняется прогноз достаточно высокого темпа роста ВРПмо(6,8%-7%) при очень низком темпе роста ИОКмо 3,4%-4%</w:t>
      </w:r>
      <w:r w:rsidR="00531157">
        <w:rPr>
          <w:color w:val="000000"/>
        </w:rPr>
        <w:t>. В разделе 9.2.4 показано,</w:t>
      </w:r>
      <w:r w:rsidR="00640279">
        <w:rPr>
          <w:color w:val="000000"/>
        </w:rPr>
        <w:t xml:space="preserve"> что</w:t>
      </w:r>
      <w:r w:rsidR="00531157">
        <w:rPr>
          <w:color w:val="000000"/>
        </w:rPr>
        <w:t xml:space="preserve"> это </w:t>
      </w:r>
      <w:r w:rsidR="00640279">
        <w:rPr>
          <w:color w:val="000000"/>
        </w:rPr>
        <w:t xml:space="preserve">экономически </w:t>
      </w:r>
      <w:r w:rsidR="00640279" w:rsidRPr="00665B4C">
        <w:rPr>
          <w:b/>
          <w:color w:val="000000"/>
        </w:rPr>
        <w:t>невозможно</w:t>
      </w:r>
      <w:r w:rsidR="00531157">
        <w:rPr>
          <w:color w:val="000000"/>
        </w:rPr>
        <w:t xml:space="preserve">. В последующем анализе в качестве консервативного сценария на ближайшие 7 лет будет приниматься </w:t>
      </w:r>
      <w:r w:rsidR="00AE4707">
        <w:rPr>
          <w:color w:val="000000"/>
        </w:rPr>
        <w:t>среднегодовой темп роста ВРПмо - 3,6% в 2012 году.</w:t>
      </w:r>
      <w:r w:rsidR="00754D7C" w:rsidRPr="00754D7C">
        <w:rPr>
          <w:color w:val="000000"/>
        </w:rPr>
        <w:t xml:space="preserve"> </w:t>
      </w:r>
    </w:p>
    <w:p w:rsidR="002C7744" w:rsidRDefault="002C7744" w:rsidP="00754D7C">
      <w:pPr>
        <w:pStyle w:val="af1"/>
        <w:shd w:val="clear" w:color="auto" w:fill="FFFFFF"/>
        <w:spacing w:before="0" w:beforeAutospacing="0" w:after="0" w:afterAutospacing="0"/>
        <w:ind w:firstLine="720"/>
        <w:jc w:val="both"/>
        <w:rPr>
          <w:color w:val="000000"/>
        </w:rPr>
      </w:pPr>
    </w:p>
    <w:p w:rsidR="002C7744" w:rsidRPr="002C7744" w:rsidRDefault="002C7744" w:rsidP="0005290F">
      <w:pPr>
        <w:pStyle w:val="af1"/>
        <w:shd w:val="clear" w:color="auto" w:fill="FFFFFF"/>
        <w:spacing w:before="0" w:beforeAutospacing="0" w:after="0" w:afterAutospacing="0"/>
        <w:ind w:firstLine="851"/>
        <w:jc w:val="both"/>
        <w:rPr>
          <w:b/>
          <w:color w:val="000000"/>
        </w:rPr>
      </w:pPr>
      <w:r w:rsidRPr="002C7744">
        <w:rPr>
          <w:b/>
          <w:color w:val="000000"/>
        </w:rPr>
        <w:t>9.2.4.О прогнозе ВРПмр в Московском регионе до 2020 года.</w:t>
      </w:r>
    </w:p>
    <w:p w:rsidR="002C7744" w:rsidRDefault="002C7744" w:rsidP="0005290F">
      <w:pPr>
        <w:pStyle w:val="af1"/>
        <w:shd w:val="clear" w:color="auto" w:fill="FFFFFF"/>
        <w:spacing w:before="0" w:beforeAutospacing="0" w:after="0" w:afterAutospacing="0"/>
        <w:jc w:val="both"/>
        <w:rPr>
          <w:color w:val="000000"/>
        </w:rPr>
      </w:pPr>
    </w:p>
    <w:p w:rsidR="00DD3EF8" w:rsidRDefault="00AE4A18" w:rsidP="0005290F">
      <w:pPr>
        <w:pStyle w:val="af1"/>
        <w:shd w:val="clear" w:color="auto" w:fill="FFFFFF"/>
        <w:spacing w:before="0" w:beforeAutospacing="0" w:after="0" w:afterAutospacing="0"/>
        <w:ind w:firstLine="720"/>
        <w:jc w:val="both"/>
        <w:rPr>
          <w:color w:val="000000"/>
        </w:rPr>
      </w:pPr>
      <w:r>
        <w:rPr>
          <w:color w:val="000000"/>
        </w:rPr>
        <w:t xml:space="preserve">Прогноз роста </w:t>
      </w:r>
      <w:r w:rsidR="00754D7C" w:rsidRPr="00A81F9F">
        <w:rPr>
          <w:color w:val="000000"/>
        </w:rPr>
        <w:t>ВРП</w:t>
      </w:r>
      <w:r w:rsidR="00754D7C">
        <w:rPr>
          <w:color w:val="000000"/>
        </w:rPr>
        <w:t>мр</w:t>
      </w:r>
      <w:r>
        <w:rPr>
          <w:color w:val="000000"/>
        </w:rPr>
        <w:t xml:space="preserve"> в Московском регионе </w:t>
      </w:r>
      <w:r w:rsidR="005676B9">
        <w:rPr>
          <w:color w:val="000000"/>
        </w:rPr>
        <w:t xml:space="preserve">рассмотрим в рамках </w:t>
      </w:r>
      <w:r w:rsidR="00754D7C" w:rsidRPr="00A81F9F">
        <w:rPr>
          <w:color w:val="000000"/>
        </w:rPr>
        <w:t>3</w:t>
      </w:r>
      <w:r w:rsidR="005676B9">
        <w:rPr>
          <w:color w:val="000000"/>
        </w:rPr>
        <w:t>-ех</w:t>
      </w:r>
      <w:r w:rsidR="00F203FE">
        <w:rPr>
          <w:color w:val="000000"/>
        </w:rPr>
        <w:t xml:space="preserve"> сценариев</w:t>
      </w:r>
      <w:r w:rsidR="00A523F8">
        <w:rPr>
          <w:color w:val="000000"/>
        </w:rPr>
        <w:t>:</w:t>
      </w:r>
      <w:r w:rsidR="00754D7C" w:rsidRPr="00A81F9F">
        <w:rPr>
          <w:color w:val="000000"/>
        </w:rPr>
        <w:t xml:space="preserve"> </w:t>
      </w:r>
    </w:p>
    <w:p w:rsidR="00DD3EF8" w:rsidRDefault="00DD3EF8" w:rsidP="0005290F">
      <w:pPr>
        <w:pStyle w:val="af1"/>
        <w:shd w:val="clear" w:color="auto" w:fill="FFFFFF"/>
        <w:spacing w:before="0" w:beforeAutospacing="0" w:after="0" w:afterAutospacing="0"/>
        <w:jc w:val="both"/>
        <w:rPr>
          <w:color w:val="000000"/>
        </w:rPr>
      </w:pPr>
      <w:r>
        <w:rPr>
          <w:color w:val="000000"/>
          <w:u w:val="single"/>
        </w:rPr>
        <w:t>с</w:t>
      </w:r>
      <w:r w:rsidRPr="00F203FE">
        <w:rPr>
          <w:color w:val="000000"/>
          <w:u w:val="single"/>
        </w:rPr>
        <w:t>ценарий</w:t>
      </w:r>
      <w:r>
        <w:rPr>
          <w:color w:val="000000"/>
          <w:u w:val="single"/>
        </w:rPr>
        <w:t xml:space="preserve"> 1 :</w:t>
      </w:r>
      <w:r w:rsidRPr="00A81F9F">
        <w:rPr>
          <w:color w:val="000000"/>
        </w:rPr>
        <w:t xml:space="preserve">«Москва – мировой город» - </w:t>
      </w:r>
      <w:r>
        <w:rPr>
          <w:color w:val="000000"/>
        </w:rPr>
        <w:t xml:space="preserve">среднегодовой темп роста ВРПм – </w:t>
      </w:r>
      <w:r w:rsidRPr="007D091F">
        <w:rPr>
          <w:b/>
          <w:color w:val="000000"/>
        </w:rPr>
        <w:t>4.7%,</w:t>
      </w:r>
      <w:r>
        <w:rPr>
          <w:color w:val="000000"/>
        </w:rPr>
        <w:t xml:space="preserve"> </w:t>
      </w:r>
      <w:r w:rsidRPr="00A81F9F">
        <w:rPr>
          <w:color w:val="000000"/>
        </w:rPr>
        <w:t xml:space="preserve">при этом </w:t>
      </w:r>
      <w:r>
        <w:rPr>
          <w:color w:val="000000"/>
        </w:rPr>
        <w:t xml:space="preserve">среднегодовой темп роста ВРПмо- </w:t>
      </w:r>
      <w:r w:rsidRPr="007D091F">
        <w:rPr>
          <w:b/>
          <w:color w:val="000000"/>
        </w:rPr>
        <w:t>6,9%</w:t>
      </w:r>
    </w:p>
    <w:p w:rsidR="00F203FE" w:rsidRDefault="00A523F8" w:rsidP="0005290F">
      <w:pPr>
        <w:pStyle w:val="af1"/>
        <w:shd w:val="clear" w:color="auto" w:fill="FFFFFF"/>
        <w:spacing w:before="0" w:beforeAutospacing="0" w:after="0" w:afterAutospacing="0"/>
        <w:jc w:val="both"/>
        <w:rPr>
          <w:color w:val="000000"/>
        </w:rPr>
      </w:pPr>
      <w:r>
        <w:rPr>
          <w:color w:val="000000"/>
          <w:u w:val="single"/>
        </w:rPr>
        <w:t>с</w:t>
      </w:r>
      <w:r w:rsidR="005676B9" w:rsidRPr="00F203FE">
        <w:rPr>
          <w:color w:val="000000"/>
          <w:u w:val="single"/>
        </w:rPr>
        <w:t>ценарий</w:t>
      </w:r>
      <w:r w:rsidR="00F203FE">
        <w:rPr>
          <w:color w:val="000000"/>
          <w:u w:val="single"/>
        </w:rPr>
        <w:t xml:space="preserve"> </w:t>
      </w:r>
      <w:r w:rsidR="00DD3EF8">
        <w:rPr>
          <w:color w:val="000000"/>
          <w:u w:val="single"/>
        </w:rPr>
        <w:t>2</w:t>
      </w:r>
      <w:r w:rsidR="005676B9">
        <w:rPr>
          <w:color w:val="000000"/>
        </w:rPr>
        <w:t xml:space="preserve">: </w:t>
      </w:r>
      <w:r w:rsidR="007122BE">
        <w:rPr>
          <w:color w:val="000000"/>
        </w:rPr>
        <w:t>Москва «Статус Кво»-</w:t>
      </w:r>
      <w:r w:rsidR="00754D7C" w:rsidRPr="00A81F9F">
        <w:rPr>
          <w:color w:val="000000"/>
        </w:rPr>
        <w:t>среднегодовой темп роста ВРП</w:t>
      </w:r>
      <w:r w:rsidR="00754D7C" w:rsidRPr="00A81F9F">
        <w:rPr>
          <w:color w:val="000000"/>
          <w:vertAlign w:val="subscript"/>
        </w:rPr>
        <w:t>м</w:t>
      </w:r>
      <w:r w:rsidR="00754D7C" w:rsidRPr="00A81F9F">
        <w:rPr>
          <w:color w:val="000000"/>
        </w:rPr>
        <w:t xml:space="preserve"> – </w:t>
      </w:r>
      <w:r w:rsidR="00754D7C" w:rsidRPr="007D091F">
        <w:rPr>
          <w:b/>
          <w:color w:val="000000"/>
        </w:rPr>
        <w:t>4,0%,</w:t>
      </w:r>
      <w:r w:rsidR="00754D7C" w:rsidRPr="00A81F9F">
        <w:rPr>
          <w:color w:val="000000"/>
        </w:rPr>
        <w:t xml:space="preserve"> </w:t>
      </w:r>
      <w:r w:rsidR="00F203FE">
        <w:rPr>
          <w:color w:val="000000"/>
        </w:rPr>
        <w:t>при этом</w:t>
      </w:r>
      <w:r>
        <w:rPr>
          <w:color w:val="000000"/>
        </w:rPr>
        <w:t xml:space="preserve"> среднегодовой</w:t>
      </w:r>
      <w:r w:rsidR="00F203FE">
        <w:rPr>
          <w:color w:val="000000"/>
        </w:rPr>
        <w:t xml:space="preserve"> темп роста ВРПмо – </w:t>
      </w:r>
      <w:r w:rsidR="00F203FE" w:rsidRPr="007D091F">
        <w:rPr>
          <w:b/>
          <w:color w:val="000000"/>
        </w:rPr>
        <w:t>6,9%.</w:t>
      </w:r>
      <w:r w:rsidR="00F203FE">
        <w:rPr>
          <w:color w:val="000000"/>
        </w:rPr>
        <w:t xml:space="preserve"> </w:t>
      </w:r>
    </w:p>
    <w:p w:rsidR="00EA0EC0" w:rsidRDefault="00A523F8" w:rsidP="0005290F">
      <w:pPr>
        <w:pStyle w:val="af1"/>
        <w:shd w:val="clear" w:color="auto" w:fill="FFFFFF"/>
        <w:spacing w:before="0" w:beforeAutospacing="0" w:after="0" w:afterAutospacing="0"/>
        <w:jc w:val="both"/>
        <w:rPr>
          <w:color w:val="000000"/>
        </w:rPr>
      </w:pPr>
      <w:r w:rsidRPr="00A523F8">
        <w:rPr>
          <w:color w:val="000000"/>
          <w:u w:val="single"/>
        </w:rPr>
        <w:t>с</w:t>
      </w:r>
      <w:r w:rsidR="00F203FE" w:rsidRPr="00A523F8">
        <w:rPr>
          <w:color w:val="000000"/>
          <w:u w:val="single"/>
        </w:rPr>
        <w:t>ценарий 3</w:t>
      </w:r>
      <w:r w:rsidR="00F203FE" w:rsidRPr="00A523F8">
        <w:rPr>
          <w:color w:val="000000"/>
        </w:rPr>
        <w:t>:</w:t>
      </w:r>
      <w:r w:rsidRPr="00A523F8">
        <w:rPr>
          <w:color w:val="000000"/>
        </w:rPr>
        <w:t xml:space="preserve"> консервативн</w:t>
      </w:r>
      <w:r w:rsidR="003C4A83">
        <w:rPr>
          <w:color w:val="000000"/>
        </w:rPr>
        <w:t>о-оптимистичный</w:t>
      </w:r>
      <w:r w:rsidR="007122BE">
        <w:rPr>
          <w:color w:val="000000"/>
        </w:rPr>
        <w:t xml:space="preserve">- </w:t>
      </w:r>
      <w:r w:rsidR="007D091F">
        <w:rPr>
          <w:color w:val="000000"/>
        </w:rPr>
        <w:t xml:space="preserve">среднегодовой темп роста ВРПм– </w:t>
      </w:r>
      <w:r w:rsidR="007D091F" w:rsidRPr="006644CA">
        <w:rPr>
          <w:b/>
          <w:color w:val="000000"/>
        </w:rPr>
        <w:t>3,0%</w:t>
      </w:r>
      <w:r w:rsidR="007D091F">
        <w:rPr>
          <w:color w:val="000000"/>
        </w:rPr>
        <w:t xml:space="preserve"> при среднегодовом темпе роста ВРПмо-</w:t>
      </w:r>
      <w:r w:rsidR="007D091F" w:rsidRPr="006644CA">
        <w:rPr>
          <w:b/>
          <w:color w:val="000000"/>
        </w:rPr>
        <w:t>3,6%.</w:t>
      </w:r>
    </w:p>
    <w:p w:rsidR="00D07B62" w:rsidRDefault="00EA0EC0" w:rsidP="0005290F">
      <w:pPr>
        <w:pStyle w:val="af1"/>
        <w:shd w:val="clear" w:color="auto" w:fill="FFFFFF"/>
        <w:spacing w:before="0" w:beforeAutospacing="0" w:after="0" w:afterAutospacing="0"/>
        <w:jc w:val="both"/>
        <w:rPr>
          <w:color w:val="000000"/>
        </w:rPr>
      </w:pPr>
      <w:r w:rsidRPr="00EA0EC0">
        <w:rPr>
          <w:color w:val="000000"/>
          <w:u w:val="single"/>
        </w:rPr>
        <w:t>сценарий 4</w:t>
      </w:r>
      <w:r>
        <w:rPr>
          <w:color w:val="000000"/>
        </w:rPr>
        <w:t xml:space="preserve">: </w:t>
      </w:r>
      <w:r w:rsidR="003C4A83">
        <w:rPr>
          <w:color w:val="000000"/>
        </w:rPr>
        <w:t>консервативный</w:t>
      </w:r>
      <w:r w:rsidR="004865A8">
        <w:rPr>
          <w:color w:val="000000"/>
        </w:rPr>
        <w:t xml:space="preserve"> базовый</w:t>
      </w:r>
      <w:r w:rsidR="007122BE">
        <w:rPr>
          <w:color w:val="000000"/>
        </w:rPr>
        <w:t>-</w:t>
      </w:r>
      <w:r w:rsidR="003C4A83">
        <w:rPr>
          <w:color w:val="000000"/>
        </w:rPr>
        <w:t xml:space="preserve"> среднегодовой роста К</w:t>
      </w:r>
      <w:r w:rsidR="00BD00AD">
        <w:rPr>
          <w:color w:val="000000"/>
        </w:rPr>
        <w:t>врпмр</w:t>
      </w:r>
      <w:r w:rsidR="003C4A83">
        <w:rPr>
          <w:color w:val="000000"/>
        </w:rPr>
        <w:t xml:space="preserve">= </w:t>
      </w:r>
      <w:r w:rsidR="003C4A83" w:rsidRPr="006644CA">
        <w:rPr>
          <w:b/>
          <w:color w:val="000000"/>
        </w:rPr>
        <w:t>2,5%</w:t>
      </w:r>
      <w:r w:rsidR="00D408DF">
        <w:rPr>
          <w:color w:val="000000"/>
        </w:rPr>
        <w:t xml:space="preserve"> соответствует прогнозу среднегодового темпа роста ВВП страны до 2030г. </w:t>
      </w:r>
      <w:r w:rsidR="006644CA">
        <w:rPr>
          <w:color w:val="000000"/>
        </w:rPr>
        <w:t>(п</w:t>
      </w:r>
      <w:r w:rsidR="00D408DF">
        <w:rPr>
          <w:color w:val="000000"/>
        </w:rPr>
        <w:t>о данным Минэконом развития</w:t>
      </w:r>
      <w:r w:rsidR="006644CA">
        <w:rPr>
          <w:color w:val="000000"/>
        </w:rPr>
        <w:t xml:space="preserve"> РФ, </w:t>
      </w:r>
      <w:r w:rsidR="00D408DF">
        <w:rPr>
          <w:color w:val="000000"/>
        </w:rPr>
        <w:t>газет</w:t>
      </w:r>
      <w:r w:rsidR="006644CA">
        <w:rPr>
          <w:color w:val="000000"/>
        </w:rPr>
        <w:t>а</w:t>
      </w:r>
      <w:r w:rsidR="00D408DF">
        <w:rPr>
          <w:color w:val="000000"/>
        </w:rPr>
        <w:t xml:space="preserve"> «</w:t>
      </w:r>
      <w:r w:rsidR="007122BE">
        <w:rPr>
          <w:color w:val="000000"/>
        </w:rPr>
        <w:t>В</w:t>
      </w:r>
      <w:r w:rsidR="00D408DF">
        <w:rPr>
          <w:color w:val="000000"/>
        </w:rPr>
        <w:t>едомости» от 04.</w:t>
      </w:r>
      <w:r w:rsidR="007122BE">
        <w:rPr>
          <w:color w:val="000000"/>
        </w:rPr>
        <w:t>12</w:t>
      </w:r>
      <w:r w:rsidR="00D408DF">
        <w:rPr>
          <w:color w:val="000000"/>
        </w:rPr>
        <w:t>.2013)</w:t>
      </w:r>
      <w:r w:rsidR="00D07B62">
        <w:rPr>
          <w:color w:val="000000"/>
        </w:rPr>
        <w:t>.</w:t>
      </w:r>
    </w:p>
    <w:p w:rsidR="00C5686D" w:rsidRPr="00A81F9F" w:rsidRDefault="00C5686D" w:rsidP="00D07B62">
      <w:pPr>
        <w:pStyle w:val="af1"/>
        <w:shd w:val="clear" w:color="auto" w:fill="FFFFFF"/>
        <w:spacing w:before="0" w:beforeAutospacing="0" w:after="0" w:afterAutospacing="0"/>
        <w:ind w:firstLine="851"/>
        <w:jc w:val="both"/>
        <w:rPr>
          <w:color w:val="000000"/>
        </w:rPr>
      </w:pPr>
      <w:r w:rsidRPr="00A81F9F">
        <w:rPr>
          <w:color w:val="000000"/>
        </w:rPr>
        <w:t>Значения ВРП</w:t>
      </w:r>
      <w:r>
        <w:rPr>
          <w:color w:val="000000"/>
        </w:rPr>
        <w:t>мр</w:t>
      </w:r>
      <w:r w:rsidRPr="00A81F9F">
        <w:rPr>
          <w:color w:val="000000"/>
        </w:rPr>
        <w:t xml:space="preserve"> Московского региона </w:t>
      </w:r>
      <w:r>
        <w:rPr>
          <w:color w:val="000000"/>
        </w:rPr>
        <w:t xml:space="preserve">можно </w:t>
      </w:r>
      <w:r w:rsidRPr="00A81F9F">
        <w:rPr>
          <w:color w:val="000000"/>
        </w:rPr>
        <w:t xml:space="preserve"> рассчита</w:t>
      </w:r>
      <w:r>
        <w:rPr>
          <w:color w:val="000000"/>
        </w:rPr>
        <w:t>ть</w:t>
      </w:r>
      <w:r w:rsidRPr="00A81F9F">
        <w:rPr>
          <w:color w:val="000000"/>
        </w:rPr>
        <w:t xml:space="preserve"> по формуле (1), при этом значения α</w:t>
      </w:r>
      <w:r>
        <w:rPr>
          <w:color w:val="000000"/>
        </w:rPr>
        <w:t>=0,197</w:t>
      </w:r>
      <w:r w:rsidRPr="00A81F9F">
        <w:rPr>
          <w:color w:val="000000"/>
        </w:rPr>
        <w:t xml:space="preserve"> принима</w:t>
      </w:r>
      <w:r>
        <w:rPr>
          <w:color w:val="000000"/>
        </w:rPr>
        <w:t>ется</w:t>
      </w:r>
      <w:r w:rsidRPr="00A81F9F">
        <w:rPr>
          <w:color w:val="000000"/>
        </w:rPr>
        <w:t xml:space="preserve"> в соответствие с рис.</w:t>
      </w:r>
      <w:r>
        <w:rPr>
          <w:color w:val="000000"/>
        </w:rPr>
        <w:t>55</w:t>
      </w:r>
      <w:r w:rsidRPr="00A81F9F">
        <w:rPr>
          <w:color w:val="000000"/>
        </w:rPr>
        <w:t xml:space="preserve">   Ошибка в определении α  несущественно влияет на ВРП</w:t>
      </w:r>
      <w:r>
        <w:rPr>
          <w:color w:val="000000"/>
        </w:rPr>
        <w:t>м</w:t>
      </w:r>
      <w:r w:rsidRPr="00A81F9F">
        <w:rPr>
          <w:color w:val="000000"/>
        </w:rPr>
        <w:t>р, т.к. доля ВРП</w:t>
      </w:r>
      <w:r>
        <w:rPr>
          <w:color w:val="000000"/>
        </w:rPr>
        <w:t>мо</w:t>
      </w:r>
      <w:r w:rsidRPr="00A81F9F">
        <w:rPr>
          <w:color w:val="000000"/>
        </w:rPr>
        <w:t xml:space="preserve"> Московской области более чем в 5 раз меньше, чем ВРП</w:t>
      </w:r>
      <w:r>
        <w:rPr>
          <w:color w:val="000000"/>
        </w:rPr>
        <w:t>м</w:t>
      </w:r>
      <w:r w:rsidR="006644CA">
        <w:rPr>
          <w:color w:val="000000"/>
        </w:rPr>
        <w:t xml:space="preserve"> Москвы. Поэтому темп изменения  ВРПмр </w:t>
      </w:r>
      <w:r w:rsidR="00330070">
        <w:rPr>
          <w:color w:val="000000"/>
        </w:rPr>
        <w:t xml:space="preserve">в Москвоском регионе </w:t>
      </w:r>
      <w:r w:rsidR="006644CA">
        <w:rPr>
          <w:color w:val="000000"/>
        </w:rPr>
        <w:t xml:space="preserve">главным образом определяется </w:t>
      </w:r>
      <w:r w:rsidR="00330070">
        <w:rPr>
          <w:color w:val="000000"/>
        </w:rPr>
        <w:t xml:space="preserve">темпом изменения ВРПм Москвы. </w:t>
      </w:r>
    </w:p>
    <w:p w:rsidR="00D07B62" w:rsidRDefault="00A8739C" w:rsidP="00D07B62">
      <w:pPr>
        <w:pStyle w:val="af1"/>
        <w:shd w:val="clear" w:color="auto" w:fill="FFFFFF"/>
        <w:spacing w:before="0" w:beforeAutospacing="0" w:after="0" w:afterAutospacing="0"/>
        <w:jc w:val="both"/>
        <w:rPr>
          <w:color w:val="000000"/>
        </w:rPr>
      </w:pPr>
      <w:r>
        <w:rPr>
          <w:color w:val="000000"/>
        </w:rPr>
        <w:t>Среднегодовые</w:t>
      </w:r>
      <w:r w:rsidR="008F11A2">
        <w:rPr>
          <w:color w:val="000000"/>
        </w:rPr>
        <w:t xml:space="preserve"> темп</w:t>
      </w:r>
      <w:r>
        <w:rPr>
          <w:color w:val="000000"/>
        </w:rPr>
        <w:t>ы</w:t>
      </w:r>
      <w:r w:rsidR="008F11A2">
        <w:rPr>
          <w:color w:val="000000"/>
        </w:rPr>
        <w:t xml:space="preserve"> роста ВРПмр по сценариям </w:t>
      </w:r>
      <w:r w:rsidR="00330070">
        <w:rPr>
          <w:color w:val="000000"/>
        </w:rPr>
        <w:t>1, 2, 3</w:t>
      </w:r>
      <w:r>
        <w:rPr>
          <w:color w:val="000000"/>
        </w:rPr>
        <w:t xml:space="preserve"> и </w:t>
      </w:r>
      <w:r w:rsidR="00330070">
        <w:rPr>
          <w:color w:val="000000"/>
        </w:rPr>
        <w:t>4</w:t>
      </w:r>
      <w:r>
        <w:rPr>
          <w:color w:val="000000"/>
        </w:rPr>
        <w:t xml:space="preserve"> равняю</w:t>
      </w:r>
      <w:r w:rsidR="008F11A2">
        <w:rPr>
          <w:color w:val="000000"/>
        </w:rPr>
        <w:t xml:space="preserve">тся соответственно: </w:t>
      </w:r>
      <w:r w:rsidR="00DD3EF8" w:rsidRPr="00F46909">
        <w:rPr>
          <w:b/>
          <w:color w:val="000000"/>
        </w:rPr>
        <w:t>5,1</w:t>
      </w:r>
      <w:r w:rsidR="0070357A" w:rsidRPr="00F46909">
        <w:rPr>
          <w:b/>
          <w:color w:val="000000"/>
        </w:rPr>
        <w:t>%,</w:t>
      </w:r>
      <w:r w:rsidR="00DD3EF8" w:rsidRPr="00F46909">
        <w:rPr>
          <w:b/>
          <w:color w:val="000000"/>
        </w:rPr>
        <w:t>4,6</w:t>
      </w:r>
      <w:r w:rsidR="0070357A" w:rsidRPr="00F46909">
        <w:rPr>
          <w:b/>
          <w:color w:val="000000"/>
        </w:rPr>
        <w:t>%</w:t>
      </w:r>
      <w:r w:rsidR="00330070">
        <w:rPr>
          <w:b/>
          <w:color w:val="000000"/>
        </w:rPr>
        <w:t>,</w:t>
      </w:r>
      <w:r>
        <w:rPr>
          <w:color w:val="000000"/>
        </w:rPr>
        <w:t xml:space="preserve"> </w:t>
      </w:r>
      <w:r w:rsidR="00C66B4C" w:rsidRPr="00F46909">
        <w:rPr>
          <w:b/>
          <w:color w:val="000000"/>
        </w:rPr>
        <w:t>3,1%</w:t>
      </w:r>
      <w:r w:rsidR="00330070">
        <w:rPr>
          <w:b/>
          <w:color w:val="000000"/>
        </w:rPr>
        <w:t xml:space="preserve"> </w:t>
      </w:r>
      <w:r w:rsidR="00330070" w:rsidRPr="00330070">
        <w:rPr>
          <w:color w:val="000000"/>
        </w:rPr>
        <w:t xml:space="preserve">и </w:t>
      </w:r>
      <w:r w:rsidR="00330070">
        <w:rPr>
          <w:b/>
          <w:color w:val="000000"/>
        </w:rPr>
        <w:t>2,5%</w:t>
      </w:r>
      <w:r w:rsidR="00C66B4C" w:rsidRPr="00F46909">
        <w:rPr>
          <w:b/>
          <w:color w:val="000000"/>
        </w:rPr>
        <w:t>.</w:t>
      </w:r>
      <w:r w:rsidR="00C66B4C">
        <w:rPr>
          <w:color w:val="000000"/>
        </w:rPr>
        <w:t xml:space="preserve"> </w:t>
      </w:r>
      <w:r w:rsidR="00F46909">
        <w:rPr>
          <w:color w:val="000000"/>
        </w:rPr>
        <w:t>Тогда, при среднегодовом темпе эластичности ВРПмр к ИОКмр Кврпмр=0,70( см.рис.75), с</w:t>
      </w:r>
      <w:r w:rsidR="00C66B4C">
        <w:rPr>
          <w:color w:val="000000"/>
        </w:rPr>
        <w:t xml:space="preserve">оответствующие этим темпам </w:t>
      </w:r>
      <w:r w:rsidR="00600A00">
        <w:rPr>
          <w:color w:val="000000"/>
        </w:rPr>
        <w:t>среднегодовые темпы роста ИОКмр равны 5,1%/0,7=</w:t>
      </w:r>
      <w:r w:rsidR="00600A00" w:rsidRPr="00600A00">
        <w:rPr>
          <w:b/>
          <w:color w:val="000000"/>
        </w:rPr>
        <w:t>7,3%</w:t>
      </w:r>
      <w:r w:rsidR="00600A00">
        <w:rPr>
          <w:color w:val="000000"/>
        </w:rPr>
        <w:t>,4,6%/0,7=</w:t>
      </w:r>
      <w:r w:rsidR="00600A00" w:rsidRPr="00600A00">
        <w:rPr>
          <w:b/>
          <w:color w:val="000000"/>
        </w:rPr>
        <w:t>6,6%</w:t>
      </w:r>
      <w:r w:rsidR="00330070">
        <w:rPr>
          <w:color w:val="000000"/>
        </w:rPr>
        <w:t xml:space="preserve">, </w:t>
      </w:r>
      <w:r w:rsidR="00600A00">
        <w:rPr>
          <w:color w:val="000000"/>
        </w:rPr>
        <w:t>3,1%/0,7=</w:t>
      </w:r>
      <w:r w:rsidR="00600A00" w:rsidRPr="00600A00">
        <w:rPr>
          <w:b/>
          <w:color w:val="000000"/>
        </w:rPr>
        <w:t>4,4%</w:t>
      </w:r>
      <w:r w:rsidR="00330070">
        <w:rPr>
          <w:b/>
          <w:color w:val="000000"/>
        </w:rPr>
        <w:t xml:space="preserve">, </w:t>
      </w:r>
      <w:r w:rsidR="00330070">
        <w:rPr>
          <w:color w:val="000000"/>
        </w:rPr>
        <w:t>2,5%/0,7=</w:t>
      </w:r>
      <w:r w:rsidR="00330070" w:rsidRPr="00330070">
        <w:rPr>
          <w:b/>
          <w:color w:val="000000"/>
        </w:rPr>
        <w:t>3,6%.</w:t>
      </w:r>
      <w:r w:rsidR="00330070">
        <w:rPr>
          <w:color w:val="000000"/>
        </w:rPr>
        <w:t xml:space="preserve"> </w:t>
      </w:r>
    </w:p>
    <w:p w:rsidR="00681EE3" w:rsidRDefault="009478DB" w:rsidP="00D07B62">
      <w:pPr>
        <w:pStyle w:val="af1"/>
        <w:shd w:val="clear" w:color="auto" w:fill="FFFFFF"/>
        <w:spacing w:before="0" w:beforeAutospacing="0" w:after="0" w:afterAutospacing="0"/>
        <w:ind w:firstLine="851"/>
        <w:jc w:val="both"/>
        <w:rPr>
          <w:color w:val="000000"/>
        </w:rPr>
      </w:pPr>
      <w:r w:rsidRPr="00A81F9F">
        <w:rPr>
          <w:color w:val="000000"/>
        </w:rPr>
        <w:t>На рис.</w:t>
      </w:r>
      <w:r w:rsidR="00EC542E">
        <w:rPr>
          <w:color w:val="000000"/>
        </w:rPr>
        <w:t xml:space="preserve"> </w:t>
      </w:r>
      <w:r w:rsidR="007D597F">
        <w:rPr>
          <w:color w:val="000000"/>
        </w:rPr>
        <w:t>7</w:t>
      </w:r>
      <w:r w:rsidR="0005290F">
        <w:rPr>
          <w:color w:val="000000"/>
        </w:rPr>
        <w:t>7</w:t>
      </w:r>
      <w:r w:rsidRPr="00A81F9F">
        <w:rPr>
          <w:color w:val="000000"/>
        </w:rPr>
        <w:t xml:space="preserve"> показан рост ВРП</w:t>
      </w:r>
      <w:r w:rsidR="007D597F">
        <w:rPr>
          <w:color w:val="000000"/>
        </w:rPr>
        <w:t>мр</w:t>
      </w:r>
      <w:r w:rsidRPr="00A81F9F">
        <w:rPr>
          <w:color w:val="000000"/>
        </w:rPr>
        <w:t xml:space="preserve"> Московского региона</w:t>
      </w:r>
      <w:r w:rsidR="007D597F">
        <w:rPr>
          <w:color w:val="000000"/>
        </w:rPr>
        <w:t xml:space="preserve"> до 2020 года</w:t>
      </w:r>
      <w:r w:rsidR="00C5686D">
        <w:rPr>
          <w:color w:val="000000"/>
        </w:rPr>
        <w:t xml:space="preserve"> в соответствие с 3 сценариями.</w:t>
      </w:r>
      <w:r w:rsidR="008F11A2">
        <w:rPr>
          <w:color w:val="000000"/>
        </w:rPr>
        <w:t xml:space="preserve"> </w:t>
      </w:r>
    </w:p>
    <w:p w:rsidR="009478DB" w:rsidRPr="00A81F9F" w:rsidRDefault="004865A8" w:rsidP="0063374C">
      <w:pPr>
        <w:pStyle w:val="af1"/>
        <w:shd w:val="clear" w:color="auto" w:fill="FFFFFF"/>
        <w:spacing w:before="0" w:beforeAutospacing="0" w:after="0" w:afterAutospacing="0"/>
        <w:jc w:val="center"/>
        <w:rPr>
          <w:color w:val="000000"/>
        </w:rPr>
      </w:pPr>
      <w:r w:rsidRPr="004865A8">
        <w:rPr>
          <w:noProof/>
          <w:color w:val="000000"/>
        </w:rPr>
        <w:drawing>
          <wp:inline distT="0" distB="0" distL="0" distR="0">
            <wp:extent cx="4764922" cy="5540644"/>
            <wp:effectExtent l="19050" t="0" r="16628" b="2906"/>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478DB" w:rsidRPr="00A81F9F" w:rsidRDefault="009478DB" w:rsidP="0063374C">
      <w:pPr>
        <w:pStyle w:val="af1"/>
        <w:shd w:val="clear" w:color="auto" w:fill="FFFFFF"/>
        <w:spacing w:before="0" w:beforeAutospacing="0" w:after="0" w:afterAutospacing="0"/>
        <w:ind w:firstLine="720"/>
        <w:jc w:val="both"/>
        <w:rPr>
          <w:color w:val="000000"/>
        </w:rPr>
      </w:pPr>
    </w:p>
    <w:p w:rsidR="009478DB" w:rsidRPr="00A81F9F" w:rsidRDefault="004D4CBA" w:rsidP="0063374C">
      <w:pPr>
        <w:pStyle w:val="af1"/>
        <w:shd w:val="clear" w:color="auto" w:fill="FFFFFF"/>
        <w:spacing w:before="0" w:beforeAutospacing="0" w:after="0" w:afterAutospacing="0"/>
        <w:ind w:firstLine="720"/>
        <w:jc w:val="both"/>
        <w:rPr>
          <w:color w:val="000000"/>
        </w:rPr>
      </w:pPr>
      <w:r>
        <w:rPr>
          <w:color w:val="000000"/>
        </w:rPr>
        <w:t>Рис.</w:t>
      </w:r>
      <w:r w:rsidR="00D07B62">
        <w:rPr>
          <w:color w:val="000000"/>
        </w:rPr>
        <w:t xml:space="preserve"> </w:t>
      </w:r>
      <w:r>
        <w:rPr>
          <w:color w:val="000000"/>
        </w:rPr>
        <w:t>7</w:t>
      </w:r>
      <w:r w:rsidR="00D07B62">
        <w:rPr>
          <w:color w:val="000000"/>
        </w:rPr>
        <w:t>7</w:t>
      </w:r>
      <w:r w:rsidR="009478DB" w:rsidRPr="00A81F9F">
        <w:rPr>
          <w:color w:val="000000"/>
        </w:rPr>
        <w:t>. Динамика ВРП</w:t>
      </w:r>
      <w:r w:rsidR="0031649B">
        <w:rPr>
          <w:color w:val="000000"/>
        </w:rPr>
        <w:t>мр</w:t>
      </w:r>
      <w:r w:rsidR="009478DB" w:rsidRPr="00A81F9F">
        <w:rPr>
          <w:color w:val="000000"/>
        </w:rPr>
        <w:t xml:space="preserve"> Московского региона в соответствие с </w:t>
      </w:r>
      <w:r w:rsidR="004865A8">
        <w:rPr>
          <w:color w:val="000000"/>
        </w:rPr>
        <w:t>4</w:t>
      </w:r>
      <w:r w:rsidR="009478DB" w:rsidRPr="00A81F9F">
        <w:rPr>
          <w:color w:val="000000"/>
        </w:rPr>
        <w:t xml:space="preserve"> сценариями: </w:t>
      </w:r>
      <w:r w:rsidR="00C66B4C">
        <w:rPr>
          <w:color w:val="000000"/>
        </w:rPr>
        <w:t xml:space="preserve">«Москва – мировой город», </w:t>
      </w:r>
      <w:r w:rsidR="009478DB" w:rsidRPr="00A81F9F">
        <w:rPr>
          <w:color w:val="000000"/>
        </w:rPr>
        <w:t>«Москва - Статус Кво»</w:t>
      </w:r>
      <w:r w:rsidR="004865A8">
        <w:rPr>
          <w:color w:val="000000"/>
        </w:rPr>
        <w:t>, «консервативно-о</w:t>
      </w:r>
      <w:r w:rsidR="00B12CFE">
        <w:rPr>
          <w:color w:val="000000"/>
        </w:rPr>
        <w:t>птим</w:t>
      </w:r>
      <w:r w:rsidR="004865A8">
        <w:rPr>
          <w:color w:val="000000"/>
        </w:rPr>
        <w:t>истичный»</w:t>
      </w:r>
      <w:r w:rsidR="009478DB" w:rsidRPr="00A81F9F">
        <w:rPr>
          <w:color w:val="000000"/>
        </w:rPr>
        <w:t xml:space="preserve"> и </w:t>
      </w:r>
      <w:r w:rsidR="004865A8">
        <w:rPr>
          <w:color w:val="000000"/>
        </w:rPr>
        <w:t>«</w:t>
      </w:r>
      <w:r w:rsidR="00C66B4C">
        <w:rPr>
          <w:color w:val="000000"/>
        </w:rPr>
        <w:t>консервативный</w:t>
      </w:r>
      <w:r w:rsidR="00B12CFE">
        <w:rPr>
          <w:color w:val="000000"/>
        </w:rPr>
        <w:t xml:space="preserve"> </w:t>
      </w:r>
      <w:r w:rsidR="004865A8">
        <w:rPr>
          <w:color w:val="000000"/>
        </w:rPr>
        <w:t>базовый»</w:t>
      </w:r>
      <w:r w:rsidR="00C66B4C">
        <w:rPr>
          <w:color w:val="000000"/>
        </w:rPr>
        <w:t xml:space="preserve"> в период 2013</w:t>
      </w:r>
      <w:r w:rsidR="009478DB" w:rsidRPr="00A81F9F">
        <w:rPr>
          <w:color w:val="000000"/>
        </w:rPr>
        <w:t>-2020 гг.</w:t>
      </w:r>
    </w:p>
    <w:p w:rsidR="00D07B62" w:rsidRDefault="00D07B62" w:rsidP="00D07B62">
      <w:pPr>
        <w:pStyle w:val="af1"/>
        <w:shd w:val="clear" w:color="auto" w:fill="FFFFFF"/>
        <w:spacing w:before="0" w:beforeAutospacing="0" w:after="0" w:afterAutospacing="0"/>
        <w:ind w:firstLine="720"/>
        <w:jc w:val="both"/>
        <w:rPr>
          <w:bCs/>
          <w:color w:val="000000"/>
        </w:rPr>
      </w:pPr>
    </w:p>
    <w:p w:rsidR="00C06846" w:rsidRPr="00D07B62" w:rsidRDefault="00931E9E" w:rsidP="00D07B62">
      <w:pPr>
        <w:pStyle w:val="af1"/>
        <w:shd w:val="clear" w:color="auto" w:fill="FFFFFF"/>
        <w:spacing w:before="0" w:beforeAutospacing="0" w:after="0" w:afterAutospacing="0"/>
        <w:ind w:firstLine="720"/>
        <w:jc w:val="both"/>
        <w:rPr>
          <w:bCs/>
          <w:color w:val="000000"/>
        </w:rPr>
      </w:pPr>
      <w:r>
        <w:rPr>
          <w:bCs/>
          <w:color w:val="000000"/>
        </w:rPr>
        <w:t>По последним прогнозам Минэкономразвития (04.12.2013г. – газета «Ведомости») среднегодовой темп роста ВВП в стране будет составлять не более 2,5-3%. Такому же среднегодовому темпу будет соответствовать среднегодовой темп роста в Московском регионе.</w:t>
      </w:r>
      <w:r w:rsidR="00A06D64">
        <w:rPr>
          <w:bCs/>
          <w:color w:val="000000"/>
        </w:rPr>
        <w:t xml:space="preserve"> Поэтому наиболее </w:t>
      </w:r>
      <w:r w:rsidR="00A06D64" w:rsidRPr="003D5F11">
        <w:rPr>
          <w:b/>
          <w:bCs/>
          <w:color w:val="000000"/>
        </w:rPr>
        <w:t>вероятный</w:t>
      </w:r>
      <w:r w:rsidR="00C06846">
        <w:rPr>
          <w:bCs/>
          <w:color w:val="000000"/>
        </w:rPr>
        <w:t xml:space="preserve"> темп роста ВРП в регионе будет находиться между сценариями 3 и 4, т.е. ежегодный темп</w:t>
      </w:r>
      <w:r w:rsidR="00D07B62">
        <w:rPr>
          <w:bCs/>
          <w:color w:val="000000"/>
        </w:rPr>
        <w:t xml:space="preserve"> роста ВРП будет не более </w:t>
      </w:r>
      <w:r w:rsidR="00D07B62" w:rsidRPr="003D5F11">
        <w:rPr>
          <w:b/>
          <w:bCs/>
          <w:color w:val="000000"/>
        </w:rPr>
        <w:t>3,1%.</w:t>
      </w:r>
    </w:p>
    <w:p w:rsidR="009478DB" w:rsidRPr="00A81F9F" w:rsidRDefault="009478DB" w:rsidP="00D07B62">
      <w:pPr>
        <w:pStyle w:val="af1"/>
        <w:shd w:val="clear" w:color="auto" w:fill="FFFFFF"/>
        <w:spacing w:before="0" w:beforeAutospacing="0" w:after="0" w:afterAutospacing="0"/>
        <w:ind w:firstLine="720"/>
        <w:jc w:val="both"/>
        <w:rPr>
          <w:color w:val="000000"/>
        </w:rPr>
      </w:pPr>
      <w:r w:rsidRPr="00A81F9F">
        <w:rPr>
          <w:color w:val="000000"/>
        </w:rPr>
        <w:t>В Московском регионе в период</w:t>
      </w:r>
      <w:r w:rsidR="007D4AB4">
        <w:rPr>
          <w:color w:val="000000"/>
        </w:rPr>
        <w:t>ы</w:t>
      </w:r>
      <w:r w:rsidRPr="00A81F9F">
        <w:rPr>
          <w:color w:val="000000"/>
        </w:rPr>
        <w:t xml:space="preserve"> роста ВРП</w:t>
      </w:r>
      <w:r w:rsidR="00C32619">
        <w:rPr>
          <w:color w:val="000000"/>
        </w:rPr>
        <w:t>м</w:t>
      </w:r>
      <w:r w:rsidRPr="00A81F9F">
        <w:rPr>
          <w:color w:val="000000"/>
        </w:rPr>
        <w:t xml:space="preserve">р </w:t>
      </w:r>
      <w:r w:rsidR="00F04474">
        <w:rPr>
          <w:color w:val="000000"/>
        </w:rPr>
        <w:t xml:space="preserve">1997г., </w:t>
      </w:r>
      <w:r w:rsidRPr="00A81F9F">
        <w:rPr>
          <w:color w:val="000000"/>
        </w:rPr>
        <w:t>1999-2008гг.</w:t>
      </w:r>
      <w:r w:rsidR="00ED5A72">
        <w:rPr>
          <w:color w:val="000000"/>
        </w:rPr>
        <w:t>,</w:t>
      </w:r>
      <w:r w:rsidR="00F04474">
        <w:rPr>
          <w:color w:val="000000"/>
        </w:rPr>
        <w:t xml:space="preserve"> </w:t>
      </w:r>
      <w:r w:rsidR="00ED5A72">
        <w:rPr>
          <w:color w:val="000000"/>
        </w:rPr>
        <w:t>2011-2012 гг.</w:t>
      </w:r>
      <w:r w:rsidRPr="00A81F9F">
        <w:rPr>
          <w:color w:val="000000"/>
        </w:rPr>
        <w:t xml:space="preserve"> среднегодовой коэффициент эластичности электропотребления к ВРПр </w:t>
      </w:r>
      <w:r w:rsidRPr="00A81F9F">
        <w:rPr>
          <w:b/>
          <w:bCs/>
          <w:color w:val="000000"/>
        </w:rPr>
        <w:t>= 0,</w:t>
      </w:r>
      <w:r w:rsidR="00ED5A72">
        <w:rPr>
          <w:b/>
          <w:bCs/>
          <w:color w:val="000000"/>
        </w:rPr>
        <w:t>51</w:t>
      </w:r>
      <w:r w:rsidRPr="00A81F9F">
        <w:rPr>
          <w:b/>
          <w:bCs/>
          <w:color w:val="000000"/>
        </w:rPr>
        <w:t xml:space="preserve"> </w:t>
      </w:r>
      <w:r w:rsidRPr="00A81F9F">
        <w:rPr>
          <w:color w:val="000000"/>
        </w:rPr>
        <w:t xml:space="preserve">(см. </w:t>
      </w:r>
      <w:r w:rsidR="00ED5A72">
        <w:rPr>
          <w:color w:val="000000"/>
        </w:rPr>
        <w:t>раздел 9.1.3.</w:t>
      </w:r>
      <w:r w:rsidRPr="00A81F9F">
        <w:rPr>
          <w:color w:val="000000"/>
        </w:rPr>
        <w:t xml:space="preserve">). Величина этого коэффициента определяется структурой экономики региона и будет </w:t>
      </w:r>
      <w:r w:rsidR="00B12CFE">
        <w:rPr>
          <w:color w:val="000000"/>
        </w:rPr>
        <w:t>несколько</w:t>
      </w:r>
      <w:r w:rsidRPr="00A81F9F">
        <w:rPr>
          <w:color w:val="000000"/>
        </w:rPr>
        <w:t xml:space="preserve"> уменьшаться на горизонте времени 10-15 лет. Тем более в случае вероятного невысокого среднегодового темпа роста ИОК</w:t>
      </w:r>
      <w:r w:rsidR="007D4AB4">
        <w:rPr>
          <w:color w:val="000000"/>
        </w:rPr>
        <w:t>мр</w:t>
      </w:r>
      <w:r w:rsidR="008F0F57">
        <w:rPr>
          <w:color w:val="000000"/>
        </w:rPr>
        <w:t xml:space="preserve"> – </w:t>
      </w:r>
      <w:r w:rsidR="00F04474">
        <w:rPr>
          <w:color w:val="000000"/>
        </w:rPr>
        <w:t>3,6%</w:t>
      </w:r>
      <w:r w:rsidRPr="00A81F9F">
        <w:rPr>
          <w:color w:val="000000"/>
        </w:rPr>
        <w:t>-7</w:t>
      </w:r>
      <w:r w:rsidR="008F0F57">
        <w:rPr>
          <w:color w:val="000000"/>
        </w:rPr>
        <w:t>,3</w:t>
      </w:r>
      <w:r w:rsidRPr="00A81F9F">
        <w:rPr>
          <w:color w:val="000000"/>
        </w:rPr>
        <w:t>%</w:t>
      </w:r>
      <w:r w:rsidR="008F0F57">
        <w:rPr>
          <w:color w:val="000000"/>
        </w:rPr>
        <w:t>.</w:t>
      </w:r>
    </w:p>
    <w:p w:rsidR="00D07B62" w:rsidRDefault="009478DB" w:rsidP="00D07B62">
      <w:pPr>
        <w:pStyle w:val="af1"/>
        <w:shd w:val="clear" w:color="auto" w:fill="FFFFFF"/>
        <w:spacing w:before="0" w:beforeAutospacing="0" w:after="0" w:afterAutospacing="0"/>
        <w:ind w:firstLine="720"/>
        <w:jc w:val="both"/>
        <w:rPr>
          <w:color w:val="000000"/>
        </w:rPr>
      </w:pPr>
      <w:r w:rsidRPr="00A81F9F">
        <w:rPr>
          <w:color w:val="000000"/>
        </w:rPr>
        <w:t xml:space="preserve">Это уменьшение связано как с реализацией эффективной программы энергосбережения, так и с изменениями в структуре экономики Москвы, которая в соответствие с проектом Стратегии (Москва, </w:t>
      </w:r>
      <w:smartTag w:uri="urn:schemas-microsoft-com:office:smarttags" w:element="metricconverter">
        <w:smartTagPr>
          <w:attr w:name="ProductID" w:val="2012 г"/>
        </w:smartTagPr>
        <w:r w:rsidRPr="00A81F9F">
          <w:rPr>
            <w:color w:val="000000"/>
          </w:rPr>
          <w:t>2012 г</w:t>
        </w:r>
      </w:smartTag>
      <w:r w:rsidRPr="00A81F9F">
        <w:rPr>
          <w:color w:val="000000"/>
        </w:rPr>
        <w:t xml:space="preserve">.) будет меняться в сторону </w:t>
      </w:r>
      <w:r w:rsidRPr="00A81F9F">
        <w:rPr>
          <w:b/>
          <w:bCs/>
          <w:color w:val="000000"/>
        </w:rPr>
        <w:t>снижения энергоемкости ВРП</w:t>
      </w:r>
      <w:r w:rsidRPr="00A81F9F">
        <w:rPr>
          <w:color w:val="000000"/>
        </w:rPr>
        <w:t xml:space="preserve"> города.</w:t>
      </w:r>
    </w:p>
    <w:p w:rsidR="00D07B62" w:rsidRDefault="00D07B62" w:rsidP="00D07B62">
      <w:pPr>
        <w:pStyle w:val="af1"/>
        <w:shd w:val="clear" w:color="auto" w:fill="FFFFFF"/>
        <w:spacing w:before="0" w:beforeAutospacing="0" w:after="0" w:afterAutospacing="0"/>
        <w:ind w:firstLine="720"/>
        <w:jc w:val="both"/>
        <w:rPr>
          <w:color w:val="000000"/>
        </w:rPr>
      </w:pPr>
    </w:p>
    <w:p w:rsidR="009478DB" w:rsidRPr="00A81F9F" w:rsidRDefault="009478DB" w:rsidP="00D07B62">
      <w:pPr>
        <w:pStyle w:val="af1"/>
        <w:shd w:val="clear" w:color="auto" w:fill="FFFFFF"/>
        <w:spacing w:before="0" w:beforeAutospacing="0" w:after="0" w:afterAutospacing="0"/>
        <w:ind w:firstLine="720"/>
        <w:jc w:val="both"/>
        <w:rPr>
          <w:color w:val="000000"/>
        </w:rPr>
      </w:pPr>
      <w:r w:rsidRPr="00A81F9F">
        <w:rPr>
          <w:color w:val="000000"/>
        </w:rPr>
        <w:t>В соответствие  с этим проектом:</w:t>
      </w:r>
    </w:p>
    <w:p w:rsidR="009478DB" w:rsidRPr="00A81F9F" w:rsidRDefault="009478DB" w:rsidP="0063374C">
      <w:pPr>
        <w:pStyle w:val="af1"/>
        <w:numPr>
          <w:ilvl w:val="0"/>
          <w:numId w:val="17"/>
        </w:numPr>
        <w:shd w:val="clear" w:color="auto" w:fill="FFFFFF"/>
        <w:spacing w:before="0" w:beforeAutospacing="0" w:after="0" w:afterAutospacing="0"/>
        <w:jc w:val="both"/>
        <w:rPr>
          <w:color w:val="000000"/>
        </w:rPr>
      </w:pPr>
      <w:r w:rsidRPr="00A81F9F">
        <w:rPr>
          <w:color w:val="000000"/>
        </w:rPr>
        <w:t xml:space="preserve">сократится доля обрабатывающей промышленности до 6,5-7% за счет отказа от экологически-грязных, рутинных и убыточных производств и развития перспективных отраслей Московской специализации (для сравнения в </w:t>
      </w:r>
      <w:smartTag w:uri="urn:schemas-microsoft-com:office:smarttags" w:element="metricconverter">
        <w:smartTagPr>
          <w:attr w:name="ProductID" w:val="2010 г"/>
        </w:smartTagPr>
        <w:r w:rsidRPr="00A81F9F">
          <w:rPr>
            <w:color w:val="000000"/>
          </w:rPr>
          <w:t>2010 г</w:t>
        </w:r>
      </w:smartTag>
      <w:r w:rsidRPr="00A81F9F">
        <w:rPr>
          <w:color w:val="000000"/>
        </w:rPr>
        <w:t>. перспективных отраслей Московской специализации в ВРП – 16,2%, только сценарий «Статус Кво» предполагает снижение до 12,5% из-за естественного отмирания неконкурентоспособных и убыточных производств);</w:t>
      </w:r>
    </w:p>
    <w:p w:rsidR="009478DB" w:rsidRPr="00A81F9F" w:rsidRDefault="009478DB" w:rsidP="0063374C">
      <w:pPr>
        <w:pStyle w:val="af1"/>
        <w:numPr>
          <w:ilvl w:val="0"/>
          <w:numId w:val="17"/>
        </w:numPr>
        <w:shd w:val="clear" w:color="auto" w:fill="FFFFFF"/>
        <w:spacing w:before="0" w:beforeAutospacing="0" w:after="0" w:afterAutospacing="0"/>
        <w:jc w:val="both"/>
        <w:rPr>
          <w:color w:val="000000"/>
        </w:rPr>
      </w:pPr>
      <w:r w:rsidRPr="00A81F9F">
        <w:rPr>
          <w:color w:val="000000"/>
        </w:rPr>
        <w:t>сохранится на существующем уровне (около 17% ВРП) доля торговли (очищенной от влияния оптовой торговли углеводородами) При этом в структуре торговли будет происходить замещение оптовой торговли розничной вследствие опережающего развития последней и перемещения за пределы города части транспортно-логистических предприятий;</w:t>
      </w:r>
    </w:p>
    <w:p w:rsidR="009478DB" w:rsidRPr="00A81F9F" w:rsidRDefault="009478DB" w:rsidP="0063374C">
      <w:pPr>
        <w:pStyle w:val="af1"/>
        <w:numPr>
          <w:ilvl w:val="0"/>
          <w:numId w:val="17"/>
        </w:numPr>
        <w:shd w:val="clear" w:color="auto" w:fill="FFFFFF"/>
        <w:spacing w:before="0" w:beforeAutospacing="0" w:after="0" w:afterAutospacing="0"/>
        <w:jc w:val="both"/>
        <w:rPr>
          <w:color w:val="000000"/>
        </w:rPr>
      </w:pPr>
      <w:r w:rsidRPr="00A81F9F">
        <w:rPr>
          <w:color w:val="000000"/>
        </w:rPr>
        <w:t xml:space="preserve">повысится доля интеллектуальных услуг – науки, инжиниринга, информационных и деловых услуг. Объем транспорта, интеллектуальных услуг (преимущественно финансовых и деловых) увеличится: в </w:t>
      </w:r>
      <w:smartTag w:uri="urn:schemas-microsoft-com:office:smarttags" w:element="metricconverter">
        <w:smartTagPr>
          <w:attr w:name="ProductID" w:val="2016 г"/>
        </w:smartTagPr>
        <w:r w:rsidRPr="00A81F9F">
          <w:rPr>
            <w:color w:val="000000"/>
          </w:rPr>
          <w:t>2016 г</w:t>
        </w:r>
      </w:smartTag>
      <w:r w:rsidRPr="00A81F9F">
        <w:rPr>
          <w:color w:val="000000"/>
        </w:rPr>
        <w:t xml:space="preserve">. доля нетопливного экспорта в общем экспорте составит 18,5%; в 2025  - 36,5%. (Для сравнения: в </w:t>
      </w:r>
      <w:smartTag w:uri="urn:schemas-microsoft-com:office:smarttags" w:element="metricconverter">
        <w:smartTagPr>
          <w:attr w:name="ProductID" w:val="2010 г"/>
        </w:smartTagPr>
        <w:r w:rsidRPr="00A81F9F">
          <w:rPr>
            <w:color w:val="000000"/>
          </w:rPr>
          <w:t>2010 г</w:t>
        </w:r>
      </w:smartTag>
      <w:r w:rsidRPr="00A81F9F">
        <w:rPr>
          <w:color w:val="000000"/>
        </w:rPr>
        <w:t xml:space="preserve">. доля нетопливного экспорта в экспорте составила 11,2% в </w:t>
      </w:r>
      <w:smartTag w:uri="urn:schemas-microsoft-com:office:smarttags" w:element="metricconverter">
        <w:smartTagPr>
          <w:attr w:name="ProductID" w:val="2016 г"/>
        </w:smartTagPr>
        <w:r w:rsidRPr="00A81F9F">
          <w:rPr>
            <w:color w:val="000000"/>
          </w:rPr>
          <w:t>2016 г</w:t>
        </w:r>
      </w:smartTag>
      <w:r w:rsidRPr="00A81F9F">
        <w:rPr>
          <w:color w:val="000000"/>
        </w:rPr>
        <w:t xml:space="preserve">. в сценарии «Статус Кво» можно ожидать рост до 14-15%. В </w:t>
      </w:r>
      <w:smartTag w:uri="urn:schemas-microsoft-com:office:smarttags" w:element="metricconverter">
        <w:smartTagPr>
          <w:attr w:name="ProductID" w:val="2025 г"/>
        </w:smartTagPr>
        <w:r w:rsidRPr="00A81F9F">
          <w:rPr>
            <w:color w:val="000000"/>
          </w:rPr>
          <w:t>2025 г</w:t>
        </w:r>
      </w:smartTag>
      <w:r w:rsidRPr="00A81F9F">
        <w:rPr>
          <w:color w:val="000000"/>
        </w:rPr>
        <w:t>. – до 25%);</w:t>
      </w:r>
    </w:p>
    <w:p w:rsidR="009478DB" w:rsidRPr="00A81F9F" w:rsidRDefault="009478DB" w:rsidP="0063374C">
      <w:pPr>
        <w:pStyle w:val="af1"/>
        <w:numPr>
          <w:ilvl w:val="0"/>
          <w:numId w:val="17"/>
        </w:numPr>
        <w:shd w:val="clear" w:color="auto" w:fill="FFFFFF"/>
        <w:spacing w:before="0" w:beforeAutospacing="0" w:after="0" w:afterAutospacing="0"/>
        <w:jc w:val="both"/>
        <w:rPr>
          <w:color w:val="000000"/>
        </w:rPr>
      </w:pPr>
      <w:r w:rsidRPr="00A81F9F">
        <w:rPr>
          <w:color w:val="000000"/>
        </w:rPr>
        <w:t>вырастут доходы от предпринимательской д</w:t>
      </w:r>
      <w:r w:rsidR="00F04474">
        <w:rPr>
          <w:color w:val="000000"/>
        </w:rPr>
        <w:t>еятельности (до 7,5% ВРП к 2025</w:t>
      </w:r>
      <w:r w:rsidRPr="00A81F9F">
        <w:rPr>
          <w:color w:val="000000"/>
        </w:rPr>
        <w:t>г.);</w:t>
      </w:r>
    </w:p>
    <w:p w:rsidR="009478DB" w:rsidRPr="00A81F9F" w:rsidRDefault="009478DB" w:rsidP="007E0F99">
      <w:pPr>
        <w:pStyle w:val="af1"/>
        <w:numPr>
          <w:ilvl w:val="0"/>
          <w:numId w:val="17"/>
        </w:numPr>
        <w:shd w:val="clear" w:color="auto" w:fill="FFFFFF"/>
        <w:spacing w:before="0" w:beforeAutospacing="0" w:after="0" w:afterAutospacing="0"/>
        <w:jc w:val="both"/>
        <w:rPr>
          <w:color w:val="000000"/>
        </w:rPr>
      </w:pPr>
      <w:r w:rsidRPr="00A81F9F">
        <w:rPr>
          <w:color w:val="000000"/>
        </w:rPr>
        <w:t>увеличится доля образования и здравоохранения с 4-5% до 8% (уровня таких городов как Лондон, Париж, Берлин);</w:t>
      </w:r>
    </w:p>
    <w:p w:rsidR="009478DB" w:rsidRPr="00A81F9F" w:rsidRDefault="009478DB" w:rsidP="00265234">
      <w:pPr>
        <w:pStyle w:val="af1"/>
        <w:shd w:val="clear" w:color="auto" w:fill="FFFFFF"/>
        <w:spacing w:before="0" w:beforeAutospacing="0" w:after="0" w:afterAutospacing="0"/>
        <w:ind w:firstLine="720"/>
        <w:jc w:val="both"/>
        <w:rPr>
          <w:color w:val="000000"/>
        </w:rPr>
      </w:pPr>
      <w:r w:rsidRPr="00A81F9F">
        <w:rPr>
          <w:color w:val="000000"/>
        </w:rPr>
        <w:t>Доля ВРП</w:t>
      </w:r>
      <w:r w:rsidR="008F0F57">
        <w:rPr>
          <w:color w:val="000000"/>
        </w:rPr>
        <w:t>м</w:t>
      </w:r>
      <w:r w:rsidRPr="00A81F9F">
        <w:rPr>
          <w:color w:val="000000"/>
        </w:rPr>
        <w:t xml:space="preserve"> Москвы в общем ВРП</w:t>
      </w:r>
      <w:r w:rsidR="008F0F57">
        <w:rPr>
          <w:color w:val="000000"/>
        </w:rPr>
        <w:t>мр</w:t>
      </w:r>
      <w:r w:rsidRPr="00A81F9F">
        <w:rPr>
          <w:color w:val="000000"/>
        </w:rPr>
        <w:t xml:space="preserve"> региона достигает 80% и выше (см. рис. </w:t>
      </w:r>
      <w:r w:rsidR="008F0F57">
        <w:rPr>
          <w:color w:val="000000"/>
        </w:rPr>
        <w:t>5</w:t>
      </w:r>
      <w:r w:rsidR="00265234">
        <w:rPr>
          <w:color w:val="000000"/>
        </w:rPr>
        <w:t>6</w:t>
      </w:r>
      <w:r w:rsidRPr="00A81F9F">
        <w:rPr>
          <w:color w:val="000000"/>
        </w:rPr>
        <w:t>). Снижение электроемкости ВРП</w:t>
      </w:r>
      <w:r w:rsidR="008F0F57">
        <w:rPr>
          <w:color w:val="000000"/>
        </w:rPr>
        <w:t>м</w:t>
      </w:r>
      <w:r w:rsidRPr="00A81F9F">
        <w:rPr>
          <w:color w:val="000000"/>
        </w:rPr>
        <w:t xml:space="preserve"> Москвы неизбежно будет приводить к снижению коэффициента эластичности электропотребления к ВРП</w:t>
      </w:r>
      <w:r w:rsidR="008F0F57">
        <w:rPr>
          <w:color w:val="000000"/>
        </w:rPr>
        <w:t>м</w:t>
      </w:r>
      <w:r w:rsidRPr="00A81F9F">
        <w:rPr>
          <w:color w:val="000000"/>
        </w:rPr>
        <w:t>р для Московского региона Поэтому для Московского региона на период до 2020-2022 гг. значение коэффициента эластичности электропотребления к ВРП</w:t>
      </w:r>
      <w:r w:rsidR="00C33D71">
        <w:rPr>
          <w:color w:val="000000"/>
        </w:rPr>
        <w:t>м</w:t>
      </w:r>
      <w:r w:rsidRPr="00A81F9F">
        <w:rPr>
          <w:color w:val="000000"/>
        </w:rPr>
        <w:t xml:space="preserve">р– </w:t>
      </w:r>
      <w:r w:rsidRPr="00A81F9F">
        <w:rPr>
          <w:b/>
          <w:bCs/>
          <w:color w:val="000000"/>
        </w:rPr>
        <w:t>0,</w:t>
      </w:r>
      <w:r w:rsidR="00C33D71">
        <w:rPr>
          <w:b/>
          <w:bCs/>
          <w:color w:val="000000"/>
        </w:rPr>
        <w:t xml:space="preserve">51 </w:t>
      </w:r>
      <w:r w:rsidR="00C33D71">
        <w:rPr>
          <w:bCs/>
          <w:color w:val="000000"/>
        </w:rPr>
        <w:t>(см.раздел 9.1.3.)</w:t>
      </w:r>
      <w:r w:rsidRPr="00A81F9F">
        <w:rPr>
          <w:color w:val="000000"/>
        </w:rPr>
        <w:t xml:space="preserve"> </w:t>
      </w:r>
      <w:r w:rsidRPr="00C33D71">
        <w:rPr>
          <w:color w:val="000000"/>
        </w:rPr>
        <w:t xml:space="preserve">является </w:t>
      </w:r>
      <w:r w:rsidRPr="00A81F9F">
        <w:rPr>
          <w:color w:val="000000"/>
        </w:rPr>
        <w:t>оценкой сверху. Тогда, по прогнозам среднегодовых темпов роста ВРП</w:t>
      </w:r>
      <w:r w:rsidR="00C33D71">
        <w:rPr>
          <w:color w:val="000000"/>
        </w:rPr>
        <w:t>м</w:t>
      </w:r>
      <w:r w:rsidRPr="00A81F9F">
        <w:rPr>
          <w:color w:val="000000"/>
        </w:rPr>
        <w:t>р по р</w:t>
      </w:r>
      <w:r w:rsidR="00C33D71">
        <w:rPr>
          <w:color w:val="000000"/>
        </w:rPr>
        <w:t>азличным сценариям в период 2013</w:t>
      </w:r>
      <w:r w:rsidRPr="00A81F9F">
        <w:rPr>
          <w:color w:val="000000"/>
        </w:rPr>
        <w:t xml:space="preserve">-2020гг. </w:t>
      </w:r>
      <w:r w:rsidR="00C33D71">
        <w:rPr>
          <w:color w:val="000000"/>
        </w:rPr>
        <w:t xml:space="preserve">и </w:t>
      </w:r>
      <w:r w:rsidRPr="00A81F9F">
        <w:rPr>
          <w:color w:val="000000"/>
        </w:rPr>
        <w:t>можно рассчитать наиболее вероятный диапазон роста электропотребления в этот же период, (оценка сверху).</w:t>
      </w:r>
    </w:p>
    <w:p w:rsidR="009478DB" w:rsidRDefault="009478DB" w:rsidP="00265234">
      <w:pPr>
        <w:pStyle w:val="af1"/>
        <w:shd w:val="clear" w:color="auto" w:fill="FFFFFF"/>
        <w:spacing w:before="0" w:beforeAutospacing="0" w:after="0" w:afterAutospacing="0"/>
        <w:ind w:firstLine="720"/>
        <w:jc w:val="both"/>
        <w:rPr>
          <w:b/>
          <w:bCs/>
          <w:color w:val="000000"/>
        </w:rPr>
      </w:pPr>
      <w:r w:rsidRPr="00A81F9F">
        <w:rPr>
          <w:color w:val="000000"/>
        </w:rPr>
        <w:t>Среднегодовой темп роста электропотребления составит: по консервативному</w:t>
      </w:r>
      <w:r w:rsidR="00642288">
        <w:rPr>
          <w:color w:val="000000"/>
        </w:rPr>
        <w:t xml:space="preserve"> базовому </w:t>
      </w:r>
      <w:r w:rsidRPr="00A81F9F">
        <w:rPr>
          <w:color w:val="000000"/>
        </w:rPr>
        <w:t>сценарию</w:t>
      </w:r>
      <w:r w:rsidR="00642288">
        <w:rPr>
          <w:color w:val="000000"/>
        </w:rPr>
        <w:t xml:space="preserve"> – 2,5%*0,51=</w:t>
      </w:r>
      <w:r w:rsidR="00642288" w:rsidRPr="00642288">
        <w:rPr>
          <w:b/>
          <w:color w:val="000000"/>
        </w:rPr>
        <w:t>1,3%</w:t>
      </w:r>
      <w:r w:rsidR="00642288">
        <w:rPr>
          <w:color w:val="000000"/>
        </w:rPr>
        <w:t xml:space="preserve">; по консервативно-оптимистичному </w:t>
      </w:r>
      <w:r w:rsidR="00C33D71">
        <w:rPr>
          <w:color w:val="000000"/>
        </w:rPr>
        <w:t>3,1%*0,51</w:t>
      </w:r>
      <w:r w:rsidRPr="00A81F9F">
        <w:rPr>
          <w:color w:val="000000"/>
        </w:rPr>
        <w:t>≈</w:t>
      </w:r>
      <w:r w:rsidRPr="00A81F9F">
        <w:rPr>
          <w:b/>
          <w:bCs/>
          <w:color w:val="000000"/>
        </w:rPr>
        <w:t xml:space="preserve">1,6%, </w:t>
      </w:r>
      <w:r w:rsidR="00C33D71">
        <w:rPr>
          <w:color w:val="000000"/>
        </w:rPr>
        <w:t>Москва «Статус Кво» 4,6*0,51</w:t>
      </w:r>
      <w:r w:rsidRPr="00A81F9F">
        <w:rPr>
          <w:color w:val="000000"/>
        </w:rPr>
        <w:t>≈</w:t>
      </w:r>
      <w:r w:rsidR="00B4374E">
        <w:rPr>
          <w:b/>
          <w:bCs/>
          <w:color w:val="000000"/>
        </w:rPr>
        <w:t>2,3</w:t>
      </w:r>
      <w:r w:rsidRPr="00A81F9F">
        <w:rPr>
          <w:b/>
          <w:bCs/>
          <w:color w:val="000000"/>
        </w:rPr>
        <w:t>%</w:t>
      </w:r>
      <w:r w:rsidRPr="00A81F9F">
        <w:rPr>
          <w:color w:val="000000"/>
        </w:rPr>
        <w:t xml:space="preserve"> и «Москва – мировой город» 5,1%*0,</w:t>
      </w:r>
      <w:r w:rsidR="00B4374E">
        <w:rPr>
          <w:color w:val="000000"/>
        </w:rPr>
        <w:t>51</w:t>
      </w:r>
      <w:r w:rsidRPr="00A81F9F">
        <w:rPr>
          <w:color w:val="000000"/>
        </w:rPr>
        <w:t>≈</w:t>
      </w:r>
      <w:r w:rsidR="00B4374E">
        <w:rPr>
          <w:b/>
          <w:bCs/>
          <w:color w:val="000000"/>
        </w:rPr>
        <w:t>2,6</w:t>
      </w:r>
      <w:r w:rsidRPr="00A81F9F">
        <w:rPr>
          <w:b/>
          <w:bCs/>
          <w:color w:val="000000"/>
        </w:rPr>
        <w:t xml:space="preserve"> %.</w:t>
      </w:r>
    </w:p>
    <w:p w:rsidR="005B2C31" w:rsidRDefault="004515C6" w:rsidP="00265234">
      <w:pPr>
        <w:pStyle w:val="af1"/>
        <w:shd w:val="clear" w:color="auto" w:fill="FFFFFF"/>
        <w:spacing w:before="0" w:beforeAutospacing="0" w:after="0" w:afterAutospacing="0"/>
        <w:ind w:firstLine="720"/>
        <w:jc w:val="both"/>
        <w:rPr>
          <w:bCs/>
          <w:color w:val="000000"/>
        </w:rPr>
      </w:pPr>
      <w:r>
        <w:rPr>
          <w:bCs/>
          <w:color w:val="000000"/>
        </w:rPr>
        <w:t>П</w:t>
      </w:r>
      <w:r w:rsidR="005B2C31">
        <w:rPr>
          <w:bCs/>
          <w:color w:val="000000"/>
        </w:rPr>
        <w:t>ри наиболее вероятном среднегодовом темпе роста ВРП 2,5-3,1%</w:t>
      </w:r>
      <w:r>
        <w:rPr>
          <w:bCs/>
          <w:color w:val="000000"/>
        </w:rPr>
        <w:t xml:space="preserve">, среднегодовой темп роста электропотребления составит </w:t>
      </w:r>
      <w:r w:rsidRPr="004515C6">
        <w:rPr>
          <w:b/>
          <w:bCs/>
          <w:color w:val="000000"/>
        </w:rPr>
        <w:t>1,3-1,6%.</w:t>
      </w:r>
    </w:p>
    <w:p w:rsidR="00E42F87" w:rsidRPr="005B2C31" w:rsidRDefault="00E42F87" w:rsidP="00265234">
      <w:pPr>
        <w:pStyle w:val="af1"/>
        <w:shd w:val="clear" w:color="auto" w:fill="FFFFFF"/>
        <w:spacing w:before="0" w:beforeAutospacing="0" w:after="0" w:afterAutospacing="0"/>
        <w:ind w:firstLine="720"/>
        <w:jc w:val="both"/>
        <w:rPr>
          <w:bCs/>
          <w:color w:val="000000"/>
        </w:rPr>
      </w:pPr>
      <w:r w:rsidRPr="00E42F87">
        <w:rPr>
          <w:bCs/>
          <w:color w:val="000000"/>
        </w:rPr>
        <w:t>На рис. 7</w:t>
      </w:r>
      <w:r w:rsidR="00265234">
        <w:rPr>
          <w:bCs/>
          <w:color w:val="000000"/>
        </w:rPr>
        <w:t>8</w:t>
      </w:r>
      <w:r>
        <w:rPr>
          <w:color w:val="000000"/>
        </w:rPr>
        <w:t xml:space="preserve"> </w:t>
      </w:r>
      <w:r w:rsidRPr="00A81F9F">
        <w:rPr>
          <w:color w:val="000000"/>
        </w:rPr>
        <w:t>показана динамика роста электропотребления в Московском регионе по различным сценариям, а также представлены 2 дополнительных сценария - базовый и региональный по данным статьи Шульгин</w:t>
      </w:r>
      <w:r>
        <w:rPr>
          <w:color w:val="000000"/>
        </w:rPr>
        <w:t>ова</w:t>
      </w:r>
      <w:r w:rsidRPr="00A81F9F">
        <w:rPr>
          <w:color w:val="000000"/>
        </w:rPr>
        <w:t xml:space="preserve"> Н.И., Кучерова Ю.Н., Чемоданова В.И., Утца Н. и др. «Перспективы развития высоковольтных сетей на примере Московского региона», журнал «Электроэнергия. Передача и распределение», №6 2011. Следует отметить, что авторы данный статьи являются руководителями СО ЕЭС и ОАО «Энергосетьпроекта» - организациями, которые разрабатывают прогнозы электропотребления по регионам и России в целом. И на основании этих прогнозов предлагают инвестиционные программы развития электроэнергетики.</w:t>
      </w:r>
    </w:p>
    <w:p w:rsidR="009478DB" w:rsidRPr="00A81F9F" w:rsidRDefault="009478DB" w:rsidP="00E42F87">
      <w:pPr>
        <w:pStyle w:val="af1"/>
        <w:shd w:val="clear" w:color="auto" w:fill="FFFFFF"/>
        <w:ind w:firstLine="720"/>
        <w:jc w:val="both"/>
        <w:rPr>
          <w:color w:val="000000"/>
        </w:rPr>
      </w:pPr>
      <w:r w:rsidRPr="00A81F9F">
        <w:rPr>
          <w:color w:val="000000"/>
        </w:rPr>
        <w:br/>
      </w:r>
    </w:p>
    <w:p w:rsidR="009478DB" w:rsidRPr="00A81F9F" w:rsidRDefault="000863AF" w:rsidP="0063374C">
      <w:pPr>
        <w:pStyle w:val="af1"/>
        <w:shd w:val="clear" w:color="auto" w:fill="FFFFFF"/>
        <w:jc w:val="center"/>
      </w:pPr>
      <w:r w:rsidRPr="000863AF">
        <w:rPr>
          <w:noProof/>
        </w:rPr>
        <w:drawing>
          <wp:inline distT="0" distB="0" distL="0" distR="0">
            <wp:extent cx="5317672" cy="8194221"/>
            <wp:effectExtent l="19050" t="0" r="16328" b="0"/>
            <wp:docPr id="43"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478DB" w:rsidRPr="00A81F9F" w:rsidRDefault="004D4CBA" w:rsidP="00265234">
      <w:pPr>
        <w:pStyle w:val="af1"/>
        <w:shd w:val="clear" w:color="auto" w:fill="FFFFFF"/>
        <w:ind w:firstLine="851"/>
        <w:jc w:val="both"/>
      </w:pPr>
      <w:r>
        <w:t>Рис.7</w:t>
      </w:r>
      <w:r w:rsidR="00265234">
        <w:t xml:space="preserve">8. </w:t>
      </w:r>
      <w:r w:rsidR="009478DB" w:rsidRPr="00A81F9F">
        <w:t xml:space="preserve">Динамика электропотребления в Московском регионе в период 2011-2020 гг. по прогнозам: </w:t>
      </w:r>
      <w:r w:rsidR="00032F33">
        <w:t>п</w:t>
      </w:r>
      <w:r w:rsidR="000E6A5A">
        <w:t xml:space="preserve">рогрессивному, </w:t>
      </w:r>
      <w:r w:rsidR="00032F33">
        <w:t xml:space="preserve">базовому, </w:t>
      </w:r>
      <w:r w:rsidR="00032F33" w:rsidRPr="00A81F9F">
        <w:t>«Москва – мировой город»</w:t>
      </w:r>
      <w:r w:rsidR="00032F33">
        <w:t xml:space="preserve">, </w:t>
      </w:r>
      <w:r w:rsidR="00032F33" w:rsidRPr="00A81F9F">
        <w:t>«Москва Статус Кво»</w:t>
      </w:r>
      <w:r w:rsidR="00032F33">
        <w:t>,консервативно-оптимимтичному</w:t>
      </w:r>
      <w:r w:rsidR="009478DB" w:rsidRPr="00A81F9F">
        <w:t xml:space="preserve"> и </w:t>
      </w:r>
      <w:r w:rsidR="00032F33">
        <w:t xml:space="preserve">консервативному </w:t>
      </w:r>
      <w:r w:rsidR="009478DB" w:rsidRPr="00A81F9F">
        <w:t>базовому сценариям</w:t>
      </w:r>
      <w:r w:rsidR="00032F33">
        <w:t>. ,</w:t>
      </w:r>
      <w:r w:rsidR="009478DB" w:rsidRPr="00A81F9F">
        <w:t xml:space="preserve"> статьи Шульгин</w:t>
      </w:r>
      <w:r w:rsidR="00F3752E">
        <w:t>ова</w:t>
      </w:r>
      <w:r w:rsidR="009478DB" w:rsidRPr="00A81F9F">
        <w:t xml:space="preserve"> Н. и др. «Перспективы развития ….», «Электроэнергия. Передача и распределение» №6 2011.</w:t>
      </w:r>
    </w:p>
    <w:p w:rsidR="009478DB" w:rsidRPr="00A81F9F" w:rsidRDefault="009478DB" w:rsidP="00265234">
      <w:pPr>
        <w:pStyle w:val="af1"/>
        <w:shd w:val="clear" w:color="auto" w:fill="FFFFFF"/>
        <w:spacing w:before="0" w:beforeAutospacing="0" w:after="0" w:afterAutospacing="0"/>
        <w:ind w:firstLine="720"/>
        <w:jc w:val="both"/>
        <w:rPr>
          <w:color w:val="000000"/>
        </w:rPr>
      </w:pPr>
      <w:r w:rsidRPr="00A81F9F">
        <w:rPr>
          <w:color w:val="000000"/>
        </w:rPr>
        <w:t xml:space="preserve">В этой статье принимается, что в базовом сценарии регион будет развиваться с учетом рисков, связанных с более медленным восстановлением кредитной активности и более низкой, чем в региональном сценарии инвестиционной активности. Прогноз электропотребления составляет в </w:t>
      </w:r>
      <w:smartTag w:uri="urn:schemas-microsoft-com:office:smarttags" w:element="metricconverter">
        <w:smartTagPr>
          <w:attr w:name="ProductID" w:val="2015 г"/>
        </w:smartTagPr>
        <w:r w:rsidRPr="00A81F9F">
          <w:rPr>
            <w:color w:val="000000"/>
          </w:rPr>
          <w:t>2015 г</w:t>
        </w:r>
      </w:smartTag>
      <w:r w:rsidRPr="00A81F9F">
        <w:rPr>
          <w:color w:val="000000"/>
        </w:rPr>
        <w:t xml:space="preserve">. 114,7 млрд. кВт.ч и в </w:t>
      </w:r>
      <w:smartTag w:uri="urn:schemas-microsoft-com:office:smarttags" w:element="metricconverter">
        <w:smartTagPr>
          <w:attr w:name="ProductID" w:val="2020 г"/>
        </w:smartTagPr>
        <w:r w:rsidRPr="00A81F9F">
          <w:rPr>
            <w:color w:val="000000"/>
          </w:rPr>
          <w:t>2020 г</w:t>
        </w:r>
      </w:smartTag>
      <w:r w:rsidRPr="00A81F9F">
        <w:rPr>
          <w:color w:val="000000"/>
        </w:rPr>
        <w:t xml:space="preserve">. – 127,9 млрд. кВт.ч, что соответствует среднегодовому темпу роста электропотребления </w:t>
      </w:r>
      <w:r w:rsidRPr="00A81F9F">
        <w:rPr>
          <w:b/>
          <w:bCs/>
          <w:color w:val="000000"/>
        </w:rPr>
        <w:t xml:space="preserve">2,73% </w:t>
      </w:r>
      <w:r w:rsidRPr="00A81F9F">
        <w:rPr>
          <w:color w:val="000000"/>
        </w:rPr>
        <w:t xml:space="preserve">в период 2011-2020 гг. </w:t>
      </w:r>
    </w:p>
    <w:p w:rsidR="009478DB" w:rsidRPr="00A81F9F" w:rsidRDefault="009478DB" w:rsidP="009F7E65">
      <w:pPr>
        <w:pStyle w:val="af1"/>
        <w:shd w:val="clear" w:color="auto" w:fill="FFFFFF"/>
        <w:spacing w:before="0" w:beforeAutospacing="0" w:after="0" w:afterAutospacing="0"/>
        <w:ind w:firstLine="720"/>
        <w:jc w:val="both"/>
        <w:rPr>
          <w:color w:val="000000"/>
        </w:rPr>
      </w:pPr>
      <w:r w:rsidRPr="00A81F9F">
        <w:rPr>
          <w:color w:val="000000"/>
        </w:rPr>
        <w:t xml:space="preserve">Региональный сценарий – соответствует инновационному сценарию Концепции долгосрочного социально-экономического развития РФ, обеспечивающему переход от стабилизации и поступательного движения экономики России к последующему интенсивному развитию с реализацией инновационной компоненты. Прогноз электропотребления составляет в </w:t>
      </w:r>
      <w:smartTag w:uri="urn:schemas-microsoft-com:office:smarttags" w:element="metricconverter">
        <w:smartTagPr>
          <w:attr w:name="ProductID" w:val="2015 г"/>
        </w:smartTagPr>
        <w:r w:rsidRPr="00A81F9F">
          <w:rPr>
            <w:color w:val="000000"/>
          </w:rPr>
          <w:t>2015 г</w:t>
        </w:r>
      </w:smartTag>
      <w:r w:rsidRPr="00A81F9F">
        <w:rPr>
          <w:color w:val="000000"/>
        </w:rPr>
        <w:t xml:space="preserve">.  - 120 млрд. кВт.ч и в </w:t>
      </w:r>
      <w:smartTag w:uri="urn:schemas-microsoft-com:office:smarttags" w:element="metricconverter">
        <w:smartTagPr>
          <w:attr w:name="ProductID" w:val="2020 г"/>
        </w:smartTagPr>
        <w:r w:rsidRPr="00A81F9F">
          <w:rPr>
            <w:color w:val="000000"/>
          </w:rPr>
          <w:t>2020 г</w:t>
        </w:r>
      </w:smartTag>
      <w:r w:rsidRPr="00A81F9F">
        <w:rPr>
          <w:color w:val="000000"/>
        </w:rPr>
        <w:t xml:space="preserve">. – 138,5 млрд. кВт.ч, что соответствует среднегодовому темпу роста электропотребления </w:t>
      </w:r>
      <w:r w:rsidRPr="00A81F9F">
        <w:rPr>
          <w:b/>
          <w:bCs/>
          <w:color w:val="000000"/>
        </w:rPr>
        <w:t>3,55%</w:t>
      </w:r>
      <w:r w:rsidRPr="00A81F9F">
        <w:rPr>
          <w:color w:val="000000"/>
        </w:rPr>
        <w:t xml:space="preserve"> в период 2011-2020 гг. </w:t>
      </w:r>
    </w:p>
    <w:p w:rsidR="009478DB" w:rsidRPr="00A81F9F" w:rsidRDefault="009478DB" w:rsidP="00265234">
      <w:pPr>
        <w:pStyle w:val="af1"/>
        <w:shd w:val="clear" w:color="auto" w:fill="FFFFFF"/>
        <w:spacing w:before="0" w:beforeAutospacing="0" w:after="0" w:afterAutospacing="0"/>
        <w:ind w:firstLine="720"/>
        <w:jc w:val="both"/>
        <w:rPr>
          <w:color w:val="000000"/>
        </w:rPr>
      </w:pPr>
      <w:r w:rsidRPr="00A81F9F">
        <w:rPr>
          <w:color w:val="000000"/>
        </w:rPr>
        <w:t xml:space="preserve">Из рис. </w:t>
      </w:r>
      <w:r w:rsidR="00267B3F">
        <w:rPr>
          <w:color w:val="000000"/>
        </w:rPr>
        <w:t>7</w:t>
      </w:r>
      <w:r w:rsidR="00265234">
        <w:rPr>
          <w:color w:val="000000"/>
        </w:rPr>
        <w:t xml:space="preserve">8 </w:t>
      </w:r>
      <w:r w:rsidR="00267B3F">
        <w:rPr>
          <w:color w:val="000000"/>
        </w:rPr>
        <w:t>в</w:t>
      </w:r>
      <w:r w:rsidRPr="00A81F9F">
        <w:rPr>
          <w:color w:val="000000"/>
        </w:rPr>
        <w:t>идно, что принятые в статье Шульги</w:t>
      </w:r>
      <w:r w:rsidR="00F3752E">
        <w:rPr>
          <w:color w:val="000000"/>
        </w:rPr>
        <w:t>нова</w:t>
      </w:r>
      <w:r w:rsidRPr="00A81F9F">
        <w:rPr>
          <w:color w:val="000000"/>
        </w:rPr>
        <w:t xml:space="preserve"> Н.И. и др. «Перспективы развития высоковольтных сетей на примере Московского региона»  прогнозы среднегодового темпа роста электропотребления </w:t>
      </w:r>
      <w:r w:rsidRPr="00A81F9F">
        <w:rPr>
          <w:b/>
          <w:bCs/>
          <w:color w:val="000000"/>
        </w:rPr>
        <w:t>2,73%</w:t>
      </w:r>
      <w:r w:rsidRPr="00A81F9F">
        <w:rPr>
          <w:color w:val="000000"/>
        </w:rPr>
        <w:t xml:space="preserve">  и  </w:t>
      </w:r>
      <w:r w:rsidRPr="00A81F9F">
        <w:rPr>
          <w:b/>
          <w:bCs/>
          <w:color w:val="000000"/>
        </w:rPr>
        <w:t xml:space="preserve">3,55% </w:t>
      </w:r>
      <w:r w:rsidRPr="00A81F9F">
        <w:rPr>
          <w:color w:val="000000"/>
        </w:rPr>
        <w:t xml:space="preserve">существенно завышены по сравнению с прогнозами </w:t>
      </w:r>
      <w:r w:rsidRPr="00A81F9F">
        <w:rPr>
          <w:b/>
          <w:bCs/>
          <w:color w:val="000000"/>
        </w:rPr>
        <w:t>1,</w:t>
      </w:r>
      <w:r w:rsidR="002420B8">
        <w:rPr>
          <w:b/>
          <w:bCs/>
          <w:color w:val="000000"/>
        </w:rPr>
        <w:t>3-2,6</w:t>
      </w:r>
      <w:r w:rsidRPr="00A81F9F">
        <w:rPr>
          <w:b/>
          <w:bCs/>
          <w:color w:val="000000"/>
        </w:rPr>
        <w:t xml:space="preserve">%, </w:t>
      </w:r>
      <w:r w:rsidRPr="00A81F9F">
        <w:rPr>
          <w:color w:val="000000"/>
        </w:rPr>
        <w:t>полученными на основании зависимости между темпами роста ВРП</w:t>
      </w:r>
      <w:r w:rsidR="002420B8">
        <w:rPr>
          <w:color w:val="000000"/>
        </w:rPr>
        <w:t>мр</w:t>
      </w:r>
      <w:r w:rsidRPr="00A81F9F">
        <w:rPr>
          <w:color w:val="000000"/>
        </w:rPr>
        <w:t xml:space="preserve"> и электропотребления</w:t>
      </w:r>
      <w:r w:rsidR="00E76CD0">
        <w:rPr>
          <w:color w:val="000000"/>
        </w:rPr>
        <w:t xml:space="preserve"> (Кэмр=0,51 – см. Раздел 9.1.3., рис 59.)</w:t>
      </w:r>
      <w:r w:rsidRPr="00A81F9F">
        <w:rPr>
          <w:color w:val="000000"/>
        </w:rPr>
        <w:t xml:space="preserve"> в период</w:t>
      </w:r>
      <w:r w:rsidR="00FA0A54">
        <w:rPr>
          <w:color w:val="000000"/>
        </w:rPr>
        <w:t xml:space="preserve"> роста ВРПмр</w:t>
      </w:r>
      <w:r w:rsidRPr="00A81F9F">
        <w:rPr>
          <w:color w:val="000000"/>
        </w:rPr>
        <w:t xml:space="preserve"> </w:t>
      </w:r>
      <w:r w:rsidR="00FA0A54">
        <w:rPr>
          <w:color w:val="000000"/>
        </w:rPr>
        <w:t>(</w:t>
      </w:r>
      <w:r w:rsidR="002420B8">
        <w:rPr>
          <w:color w:val="000000"/>
        </w:rPr>
        <w:t>1997г.,</w:t>
      </w:r>
      <w:r w:rsidR="00FA0A54">
        <w:rPr>
          <w:color w:val="000000"/>
        </w:rPr>
        <w:t xml:space="preserve"> 1999</w:t>
      </w:r>
      <w:r w:rsidRPr="00A81F9F">
        <w:rPr>
          <w:color w:val="000000"/>
        </w:rPr>
        <w:t>-200</w:t>
      </w:r>
      <w:r w:rsidR="00FA0A54">
        <w:rPr>
          <w:color w:val="000000"/>
        </w:rPr>
        <w:t>8гг.</w:t>
      </w:r>
      <w:r w:rsidRPr="00A81F9F">
        <w:rPr>
          <w:color w:val="000000"/>
        </w:rPr>
        <w:t>,</w:t>
      </w:r>
      <w:r w:rsidR="00FA0A54">
        <w:rPr>
          <w:color w:val="000000"/>
        </w:rPr>
        <w:t xml:space="preserve"> </w:t>
      </w:r>
      <w:r w:rsidRPr="00A81F9F">
        <w:rPr>
          <w:color w:val="000000"/>
        </w:rPr>
        <w:t>20</w:t>
      </w:r>
      <w:r w:rsidR="00FA0A54">
        <w:rPr>
          <w:color w:val="000000"/>
        </w:rPr>
        <w:t>10</w:t>
      </w:r>
      <w:r w:rsidRPr="00A81F9F">
        <w:rPr>
          <w:color w:val="000000"/>
        </w:rPr>
        <w:t>-20</w:t>
      </w:r>
      <w:r w:rsidR="00FA0A54">
        <w:rPr>
          <w:color w:val="000000"/>
        </w:rPr>
        <w:t>12</w:t>
      </w:r>
      <w:r w:rsidRPr="00A81F9F">
        <w:rPr>
          <w:color w:val="000000"/>
        </w:rPr>
        <w:t>гг</w:t>
      </w:r>
      <w:r w:rsidR="00FA0A54">
        <w:rPr>
          <w:color w:val="000000"/>
        </w:rPr>
        <w:t>.)</w:t>
      </w:r>
      <w:r w:rsidRPr="00A81F9F">
        <w:rPr>
          <w:color w:val="000000"/>
        </w:rPr>
        <w:t>.</w:t>
      </w:r>
    </w:p>
    <w:p w:rsidR="009478DB" w:rsidRPr="00A81F9F" w:rsidRDefault="009478DB" w:rsidP="00726B9F">
      <w:pPr>
        <w:pStyle w:val="3"/>
        <w:ind w:firstLine="720"/>
      </w:pPr>
      <w:bookmarkStart w:id="85" w:name="_Toc370759796"/>
      <w:bookmarkStart w:id="86" w:name="_Toc374557802"/>
      <w:r w:rsidRPr="00A81F9F">
        <w:t>9.4. Прогноз максимума электрической нагрузки в Московском регионе</w:t>
      </w:r>
      <w:bookmarkEnd w:id="85"/>
      <w:bookmarkEnd w:id="86"/>
    </w:p>
    <w:p w:rsidR="000D28C3" w:rsidRDefault="009478DB" w:rsidP="0063374C">
      <w:pPr>
        <w:pStyle w:val="af1"/>
        <w:shd w:val="clear" w:color="auto" w:fill="FFFFFF"/>
        <w:spacing w:before="0" w:beforeAutospacing="0" w:after="0" w:afterAutospacing="0"/>
        <w:ind w:firstLine="709"/>
        <w:jc w:val="both"/>
        <w:rPr>
          <w:color w:val="000000"/>
        </w:rPr>
      </w:pPr>
      <w:r w:rsidRPr="00A81F9F">
        <w:rPr>
          <w:color w:val="000000"/>
        </w:rPr>
        <w:t>В Московском регионе, в структуре электропотребления промышленные потребители занимают значительно меньшую долю, чем в России в целом (</w:t>
      </w:r>
      <w:r w:rsidR="0039347A">
        <w:rPr>
          <w:color w:val="000000"/>
        </w:rPr>
        <w:t>в 2012г. 34% и 54</w:t>
      </w:r>
      <w:r w:rsidRPr="00A81F9F">
        <w:rPr>
          <w:color w:val="000000"/>
        </w:rPr>
        <w:t>%</w:t>
      </w:r>
      <w:r w:rsidR="0039347A">
        <w:rPr>
          <w:color w:val="000000"/>
        </w:rPr>
        <w:t xml:space="preserve">, </w:t>
      </w:r>
      <w:r w:rsidR="0039347A" w:rsidRPr="00A81F9F">
        <w:rPr>
          <w:color w:val="000000"/>
        </w:rPr>
        <w:t>соответственно</w:t>
      </w:r>
      <w:r w:rsidRPr="00A81F9F">
        <w:rPr>
          <w:color w:val="000000"/>
        </w:rPr>
        <w:t>). Поэтому максимум электрической нагрузки</w:t>
      </w:r>
      <w:r w:rsidR="0039347A">
        <w:rPr>
          <w:color w:val="000000"/>
        </w:rPr>
        <w:t xml:space="preserve"> в Московском регионе</w:t>
      </w:r>
      <w:r w:rsidRPr="00A81F9F">
        <w:rPr>
          <w:color w:val="000000"/>
        </w:rPr>
        <w:t xml:space="preserve"> в значительно большей степени зависит от метеорологических факторов: температуры и освещённости.</w:t>
      </w:r>
    </w:p>
    <w:p w:rsidR="000D28C3" w:rsidRDefault="000D28C3" w:rsidP="0063374C">
      <w:pPr>
        <w:pStyle w:val="af1"/>
        <w:shd w:val="clear" w:color="auto" w:fill="FFFFFF"/>
        <w:spacing w:before="0" w:beforeAutospacing="0" w:after="0" w:afterAutospacing="0"/>
        <w:ind w:firstLine="709"/>
        <w:jc w:val="both"/>
        <w:rPr>
          <w:color w:val="000000"/>
        </w:rPr>
      </w:pPr>
      <w:r>
        <w:rPr>
          <w:color w:val="000000"/>
        </w:rPr>
        <w:t>На рис. 7</w:t>
      </w:r>
      <w:r w:rsidR="00265234">
        <w:rPr>
          <w:color w:val="000000"/>
        </w:rPr>
        <w:t>9</w:t>
      </w:r>
      <w:r>
        <w:rPr>
          <w:color w:val="000000"/>
        </w:rPr>
        <w:t xml:space="preserve"> показаны динамика электропотребления и максимальной электрической нагрузки в Московском регионе в период 1991-2012гг. по данным СО ЕЭС России. </w:t>
      </w:r>
    </w:p>
    <w:p w:rsidR="000D28C3" w:rsidRDefault="000D28C3" w:rsidP="0063374C">
      <w:pPr>
        <w:pStyle w:val="af1"/>
        <w:shd w:val="clear" w:color="auto" w:fill="FFFFFF"/>
        <w:spacing w:before="0" w:beforeAutospacing="0" w:after="0" w:afterAutospacing="0"/>
        <w:ind w:firstLine="709"/>
        <w:jc w:val="both"/>
        <w:rPr>
          <w:color w:val="000000"/>
        </w:rPr>
      </w:pPr>
    </w:p>
    <w:p w:rsidR="000D28C3" w:rsidRDefault="002B73FA" w:rsidP="0063374C">
      <w:pPr>
        <w:pStyle w:val="af1"/>
        <w:shd w:val="clear" w:color="auto" w:fill="FFFFFF"/>
        <w:spacing w:before="0" w:beforeAutospacing="0" w:after="0" w:afterAutospacing="0"/>
        <w:ind w:firstLine="709"/>
        <w:jc w:val="both"/>
        <w:rPr>
          <w:color w:val="000000"/>
        </w:rPr>
      </w:pPr>
      <w:r w:rsidRPr="002B73FA">
        <w:rPr>
          <w:noProof/>
          <w:color w:val="000000"/>
        </w:rPr>
        <w:drawing>
          <wp:inline distT="0" distB="0" distL="0" distR="0">
            <wp:extent cx="4257675" cy="4972050"/>
            <wp:effectExtent l="19050" t="0" r="9525" b="0"/>
            <wp:docPr id="48"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C5749" w:rsidRDefault="00FC5749" w:rsidP="0063374C">
      <w:pPr>
        <w:pStyle w:val="af1"/>
        <w:shd w:val="clear" w:color="auto" w:fill="FFFFFF"/>
        <w:spacing w:before="0" w:beforeAutospacing="0" w:after="0" w:afterAutospacing="0"/>
        <w:ind w:firstLine="709"/>
        <w:jc w:val="both"/>
        <w:rPr>
          <w:color w:val="000000"/>
        </w:rPr>
      </w:pPr>
    </w:p>
    <w:p w:rsidR="009478DB" w:rsidRDefault="000D28C3" w:rsidP="0063374C">
      <w:pPr>
        <w:pStyle w:val="af1"/>
        <w:shd w:val="clear" w:color="auto" w:fill="FFFFFF"/>
        <w:spacing w:before="0" w:beforeAutospacing="0" w:after="0" w:afterAutospacing="0"/>
        <w:ind w:firstLine="709"/>
        <w:jc w:val="both"/>
        <w:rPr>
          <w:color w:val="000000"/>
        </w:rPr>
      </w:pPr>
      <w:r>
        <w:rPr>
          <w:color w:val="000000"/>
        </w:rPr>
        <w:t>Рис. 7</w:t>
      </w:r>
      <w:r w:rsidR="00265234">
        <w:rPr>
          <w:color w:val="000000"/>
        </w:rPr>
        <w:t>9</w:t>
      </w:r>
      <w:r>
        <w:rPr>
          <w:color w:val="000000"/>
        </w:rPr>
        <w:t>. Динамика электропотребления и максимальной электрической нагрузки в Московском регионе в период 1991-2012гг. по данным СО ЕЭС РФ.</w:t>
      </w:r>
      <w:r w:rsidR="009478DB" w:rsidRPr="00A81F9F">
        <w:rPr>
          <w:color w:val="000000"/>
        </w:rPr>
        <w:t xml:space="preserve"> </w:t>
      </w:r>
    </w:p>
    <w:p w:rsidR="007970EB" w:rsidRDefault="007970EB" w:rsidP="0063374C">
      <w:pPr>
        <w:pStyle w:val="af1"/>
        <w:shd w:val="clear" w:color="auto" w:fill="FFFFFF"/>
        <w:spacing w:before="0" w:beforeAutospacing="0" w:after="0" w:afterAutospacing="0"/>
        <w:ind w:firstLine="709"/>
        <w:jc w:val="both"/>
        <w:rPr>
          <w:color w:val="000000"/>
        </w:rPr>
      </w:pPr>
    </w:p>
    <w:p w:rsidR="009B00C8" w:rsidRDefault="007970EB" w:rsidP="0063374C">
      <w:pPr>
        <w:pStyle w:val="af1"/>
        <w:shd w:val="clear" w:color="auto" w:fill="FFFFFF"/>
        <w:spacing w:before="0" w:beforeAutospacing="0" w:after="0" w:afterAutospacing="0"/>
        <w:ind w:firstLine="709"/>
        <w:jc w:val="both"/>
        <w:rPr>
          <w:color w:val="000000"/>
        </w:rPr>
      </w:pPr>
      <w:r>
        <w:rPr>
          <w:color w:val="000000"/>
        </w:rPr>
        <w:t xml:space="preserve">Видно, что динамика максимальной электрической нагрузки в регионе повторяет динамику электропотребления в нем. </w:t>
      </w:r>
      <w:r w:rsidR="007B4AAB">
        <w:rPr>
          <w:color w:val="000000"/>
        </w:rPr>
        <w:t>Отклонения</w:t>
      </w:r>
      <w:r w:rsidR="007A4F0E">
        <w:rPr>
          <w:color w:val="000000"/>
        </w:rPr>
        <w:t xml:space="preserve"> от среднего тренда </w:t>
      </w:r>
      <w:r w:rsidR="00A72FAF">
        <w:rPr>
          <w:color w:val="000000"/>
        </w:rPr>
        <w:t xml:space="preserve">в динамике максимальной электрической нагрузке </w:t>
      </w:r>
      <w:r w:rsidR="007B4AAB">
        <w:rPr>
          <w:color w:val="000000"/>
        </w:rPr>
        <w:t xml:space="preserve">связаны как раз с </w:t>
      </w:r>
      <w:r w:rsidR="00B6617E">
        <w:rPr>
          <w:color w:val="000000"/>
        </w:rPr>
        <w:t xml:space="preserve">различием в </w:t>
      </w:r>
      <w:r w:rsidR="007B4AAB">
        <w:rPr>
          <w:color w:val="000000"/>
        </w:rPr>
        <w:t>минимальной температу</w:t>
      </w:r>
      <w:r w:rsidR="00B6617E">
        <w:rPr>
          <w:color w:val="000000"/>
        </w:rPr>
        <w:t>ре</w:t>
      </w:r>
      <w:r w:rsidR="007B4AAB">
        <w:rPr>
          <w:color w:val="000000"/>
        </w:rPr>
        <w:t xml:space="preserve"> в регионе в </w:t>
      </w:r>
      <w:r w:rsidR="007B66A3">
        <w:rPr>
          <w:color w:val="000000"/>
        </w:rPr>
        <w:t>осенн</w:t>
      </w:r>
      <w:r w:rsidR="007B4AAB">
        <w:rPr>
          <w:color w:val="000000"/>
        </w:rPr>
        <w:t>е-зимний период</w:t>
      </w:r>
      <w:r w:rsidR="00A72FAF">
        <w:rPr>
          <w:color w:val="000000"/>
        </w:rPr>
        <w:t xml:space="preserve"> различных лет</w:t>
      </w:r>
      <w:r w:rsidR="007B4AAB">
        <w:rPr>
          <w:color w:val="000000"/>
        </w:rPr>
        <w:t>.</w:t>
      </w:r>
    </w:p>
    <w:p w:rsidR="000D28C3" w:rsidRPr="00A81F9F" w:rsidRDefault="00EA72DB" w:rsidP="0063374C">
      <w:pPr>
        <w:pStyle w:val="af1"/>
        <w:shd w:val="clear" w:color="auto" w:fill="FFFFFF"/>
        <w:spacing w:before="0" w:beforeAutospacing="0" w:after="0" w:afterAutospacing="0"/>
        <w:ind w:firstLine="709"/>
        <w:jc w:val="both"/>
        <w:rPr>
          <w:color w:val="000000"/>
        </w:rPr>
      </w:pPr>
      <w:r>
        <w:rPr>
          <w:color w:val="000000"/>
        </w:rPr>
        <w:t>Прогноз м</w:t>
      </w:r>
      <w:r w:rsidRPr="00A81F9F">
        <w:rPr>
          <w:color w:val="000000"/>
        </w:rPr>
        <w:t>аксимум</w:t>
      </w:r>
      <w:r>
        <w:rPr>
          <w:color w:val="000000"/>
        </w:rPr>
        <w:t>а</w:t>
      </w:r>
      <w:r w:rsidRPr="00A81F9F">
        <w:rPr>
          <w:color w:val="000000"/>
        </w:rPr>
        <w:t xml:space="preserve"> электрической нагрузки легко рассчит</w:t>
      </w:r>
      <w:r>
        <w:rPr>
          <w:color w:val="000000"/>
        </w:rPr>
        <w:t>ать на основании</w:t>
      </w:r>
      <w:r w:rsidRPr="00A81F9F">
        <w:rPr>
          <w:color w:val="000000"/>
        </w:rPr>
        <w:t xml:space="preserve"> прогноза электропотребления, если извест</w:t>
      </w:r>
      <w:r>
        <w:rPr>
          <w:color w:val="000000"/>
        </w:rPr>
        <w:t>ен объем</w:t>
      </w:r>
      <w:r w:rsidRPr="00A81F9F">
        <w:rPr>
          <w:color w:val="000000"/>
        </w:rPr>
        <w:t xml:space="preserve"> электропотребления, приходяще</w:t>
      </w:r>
      <w:r>
        <w:rPr>
          <w:color w:val="000000"/>
        </w:rPr>
        <w:t>й</w:t>
      </w:r>
      <w:r w:rsidRPr="00A81F9F">
        <w:rPr>
          <w:color w:val="000000"/>
        </w:rPr>
        <w:t>ся на 1 ГВт этой нагрузки.</w:t>
      </w:r>
    </w:p>
    <w:p w:rsidR="00850AE5" w:rsidRDefault="00850AE5" w:rsidP="0063374C">
      <w:pPr>
        <w:pStyle w:val="af1"/>
        <w:shd w:val="clear" w:color="auto" w:fill="FFFFFF"/>
        <w:spacing w:before="0" w:beforeAutospacing="0" w:after="0" w:afterAutospacing="0"/>
        <w:ind w:firstLine="709"/>
        <w:jc w:val="both"/>
        <w:rPr>
          <w:color w:val="000000"/>
        </w:rPr>
      </w:pPr>
      <w:r>
        <w:rPr>
          <w:color w:val="000000"/>
        </w:rPr>
        <w:t xml:space="preserve">На рис. </w:t>
      </w:r>
      <w:r w:rsidR="00265234">
        <w:rPr>
          <w:color w:val="000000"/>
        </w:rPr>
        <w:t>80</w:t>
      </w:r>
      <w:r>
        <w:rPr>
          <w:color w:val="000000"/>
        </w:rPr>
        <w:t xml:space="preserve"> показан объем электропотребления, приходящийся на 1 ГВт максимальной электрической нагрузки</w:t>
      </w:r>
      <w:r w:rsidR="00B952D9">
        <w:rPr>
          <w:color w:val="000000"/>
        </w:rPr>
        <w:t xml:space="preserve"> в период 1991-2012гг. в Московском регионе</w:t>
      </w:r>
      <w:r>
        <w:rPr>
          <w:color w:val="000000"/>
        </w:rPr>
        <w:t xml:space="preserve">. </w:t>
      </w:r>
    </w:p>
    <w:p w:rsidR="007970EB" w:rsidRDefault="007970EB" w:rsidP="0063374C">
      <w:pPr>
        <w:pStyle w:val="af1"/>
        <w:shd w:val="clear" w:color="auto" w:fill="FFFFFF"/>
        <w:spacing w:before="0" w:beforeAutospacing="0" w:after="0" w:afterAutospacing="0"/>
        <w:ind w:firstLine="709"/>
        <w:jc w:val="both"/>
        <w:rPr>
          <w:color w:val="000000"/>
        </w:rPr>
      </w:pPr>
    </w:p>
    <w:p w:rsidR="007970EB" w:rsidRDefault="00A80845" w:rsidP="00664CA1">
      <w:pPr>
        <w:pStyle w:val="af1"/>
        <w:shd w:val="clear" w:color="auto" w:fill="FFFFFF"/>
        <w:spacing w:before="0" w:beforeAutospacing="0" w:after="0" w:afterAutospacing="0"/>
        <w:jc w:val="both"/>
        <w:rPr>
          <w:color w:val="000000"/>
        </w:rPr>
      </w:pPr>
      <w:r w:rsidRPr="00A80845">
        <w:rPr>
          <w:noProof/>
          <w:color w:val="000000"/>
        </w:rPr>
        <w:drawing>
          <wp:inline distT="0" distB="0" distL="0" distR="0">
            <wp:extent cx="4772025" cy="2514600"/>
            <wp:effectExtent l="19050" t="0" r="9525" b="0"/>
            <wp:docPr id="1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850AE5" w:rsidRDefault="00850AE5" w:rsidP="0063374C">
      <w:pPr>
        <w:pStyle w:val="af1"/>
        <w:shd w:val="clear" w:color="auto" w:fill="FFFFFF"/>
        <w:spacing w:before="0" w:beforeAutospacing="0" w:after="0" w:afterAutospacing="0"/>
        <w:ind w:firstLine="709"/>
        <w:jc w:val="both"/>
        <w:rPr>
          <w:color w:val="000000"/>
        </w:rPr>
      </w:pPr>
    </w:p>
    <w:p w:rsidR="007970EB" w:rsidRDefault="007970EB" w:rsidP="00A17D3D">
      <w:pPr>
        <w:pStyle w:val="af1"/>
        <w:shd w:val="clear" w:color="auto" w:fill="FFFFFF"/>
        <w:spacing w:before="0" w:beforeAutospacing="0" w:after="0" w:afterAutospacing="0"/>
        <w:ind w:firstLine="709"/>
        <w:jc w:val="both"/>
        <w:rPr>
          <w:color w:val="000000"/>
        </w:rPr>
      </w:pPr>
      <w:r>
        <w:rPr>
          <w:color w:val="000000"/>
        </w:rPr>
        <w:t xml:space="preserve">Рис. </w:t>
      </w:r>
      <w:r w:rsidR="00265234">
        <w:rPr>
          <w:color w:val="000000"/>
        </w:rPr>
        <w:t>80</w:t>
      </w:r>
      <w:r>
        <w:rPr>
          <w:color w:val="000000"/>
        </w:rPr>
        <w:t xml:space="preserve">. </w:t>
      </w:r>
      <w:r w:rsidR="00B952D9">
        <w:rPr>
          <w:color w:val="000000"/>
        </w:rPr>
        <w:t>Объем электропотребления, приходящийся на 1 ГВт максимальной электрической нагрузки</w:t>
      </w:r>
      <w:r w:rsidR="00A17D3D">
        <w:rPr>
          <w:color w:val="000000"/>
        </w:rPr>
        <w:t xml:space="preserve"> в Московском регионе </w:t>
      </w:r>
      <w:r w:rsidR="00B952D9">
        <w:rPr>
          <w:color w:val="000000"/>
        </w:rPr>
        <w:t xml:space="preserve">в период 1991-2012гг. </w:t>
      </w:r>
    </w:p>
    <w:p w:rsidR="00D037F9" w:rsidRDefault="00DA67E9" w:rsidP="004A096F">
      <w:pPr>
        <w:pStyle w:val="af1"/>
        <w:shd w:val="clear" w:color="auto" w:fill="FFFFFF"/>
        <w:spacing w:before="0" w:beforeAutospacing="0" w:after="0" w:afterAutospacing="0"/>
        <w:ind w:firstLine="720"/>
        <w:jc w:val="both"/>
        <w:rPr>
          <w:color w:val="000000"/>
        </w:rPr>
      </w:pPr>
      <w:r>
        <w:rPr>
          <w:color w:val="000000"/>
        </w:rPr>
        <w:t>Видно, что весь</w:t>
      </w:r>
      <w:r w:rsidR="009478DB" w:rsidRPr="00A81F9F">
        <w:rPr>
          <w:color w:val="000000"/>
        </w:rPr>
        <w:t xml:space="preserve"> период </w:t>
      </w:r>
      <w:r>
        <w:rPr>
          <w:color w:val="000000"/>
        </w:rPr>
        <w:t>1991-2012</w:t>
      </w:r>
      <w:r w:rsidR="009478DB" w:rsidRPr="00A81F9F">
        <w:rPr>
          <w:color w:val="000000"/>
        </w:rPr>
        <w:t xml:space="preserve">гг. </w:t>
      </w:r>
      <w:r>
        <w:rPr>
          <w:color w:val="000000"/>
        </w:rPr>
        <w:t>можно разделить на 3</w:t>
      </w:r>
      <w:r w:rsidR="00972C35">
        <w:rPr>
          <w:color w:val="000000"/>
        </w:rPr>
        <w:t xml:space="preserve"> подпериода</w:t>
      </w:r>
      <w:r w:rsidR="00D40464">
        <w:rPr>
          <w:color w:val="000000"/>
        </w:rPr>
        <w:t xml:space="preserve"> по</w:t>
      </w:r>
      <w:r w:rsidR="00127D72">
        <w:rPr>
          <w:color w:val="000000"/>
        </w:rPr>
        <w:t xml:space="preserve"> уровню</w:t>
      </w:r>
      <w:r w:rsidR="00D40464">
        <w:rPr>
          <w:color w:val="000000"/>
        </w:rPr>
        <w:t xml:space="preserve"> средне</w:t>
      </w:r>
      <w:r w:rsidR="00127D72">
        <w:rPr>
          <w:color w:val="000000"/>
        </w:rPr>
        <w:t xml:space="preserve">го </w:t>
      </w:r>
      <w:r w:rsidR="00D40464">
        <w:rPr>
          <w:color w:val="000000"/>
        </w:rPr>
        <w:t>объем</w:t>
      </w:r>
      <w:r w:rsidR="00127D72">
        <w:rPr>
          <w:color w:val="000000"/>
        </w:rPr>
        <w:t>а</w:t>
      </w:r>
      <w:r w:rsidR="00D40464">
        <w:rPr>
          <w:color w:val="000000"/>
        </w:rPr>
        <w:t xml:space="preserve"> электропотребления, приходящегося на 1ГВт максимальной электрической нагрузки</w:t>
      </w:r>
      <w:r w:rsidR="00972C35">
        <w:rPr>
          <w:color w:val="000000"/>
        </w:rPr>
        <w:t>. В</w:t>
      </w:r>
      <w:r w:rsidR="003D24E4">
        <w:rPr>
          <w:color w:val="000000"/>
        </w:rPr>
        <w:t xml:space="preserve"> первом подпериоде</w:t>
      </w:r>
      <w:r w:rsidR="00D40464">
        <w:rPr>
          <w:color w:val="000000"/>
        </w:rPr>
        <w:t xml:space="preserve"> (1991-1993гг.)</w:t>
      </w:r>
      <w:r w:rsidR="003D24E4">
        <w:rPr>
          <w:color w:val="000000"/>
        </w:rPr>
        <w:t xml:space="preserve"> на 1 ГВт </w:t>
      </w:r>
      <w:r w:rsidR="00127D72">
        <w:rPr>
          <w:color w:val="000000"/>
        </w:rPr>
        <w:t>этой</w:t>
      </w:r>
      <w:r w:rsidR="003D24E4">
        <w:rPr>
          <w:color w:val="000000"/>
        </w:rPr>
        <w:t xml:space="preserve"> нагрузк</w:t>
      </w:r>
      <w:r w:rsidR="00127D72">
        <w:rPr>
          <w:color w:val="000000"/>
        </w:rPr>
        <w:t xml:space="preserve">и </w:t>
      </w:r>
      <w:r w:rsidR="003D24E4">
        <w:rPr>
          <w:color w:val="000000"/>
        </w:rPr>
        <w:t>приходится в среднем 5,49 млрд. кВт.ч</w:t>
      </w:r>
      <w:r w:rsidR="00127D72">
        <w:rPr>
          <w:color w:val="000000"/>
        </w:rPr>
        <w:t xml:space="preserve"> электропотребления</w:t>
      </w:r>
      <w:r w:rsidR="003D24E4">
        <w:rPr>
          <w:color w:val="000000"/>
        </w:rPr>
        <w:t>; во втором</w:t>
      </w:r>
      <w:r w:rsidR="00DD6F9F">
        <w:rPr>
          <w:color w:val="000000"/>
        </w:rPr>
        <w:t xml:space="preserve"> подпериоде (1994-2003гг.)</w:t>
      </w:r>
      <w:r w:rsidR="003D24E4">
        <w:rPr>
          <w:color w:val="000000"/>
        </w:rPr>
        <w:t xml:space="preserve"> – 5,36 млрд. кВт.ч, и в третьем</w:t>
      </w:r>
      <w:r w:rsidR="00DD6F9F">
        <w:rPr>
          <w:color w:val="000000"/>
        </w:rPr>
        <w:t xml:space="preserve"> (2004-2012гг.)</w:t>
      </w:r>
      <w:r w:rsidR="003D24E4">
        <w:rPr>
          <w:color w:val="000000"/>
        </w:rPr>
        <w:t xml:space="preserve"> – 5,72 млрд. кВт.ч</w:t>
      </w:r>
      <w:r w:rsidR="00594B99">
        <w:rPr>
          <w:color w:val="000000"/>
        </w:rPr>
        <w:t>, с разбросом 5,4</w:t>
      </w:r>
      <w:r w:rsidR="000C38BD">
        <w:rPr>
          <w:color w:val="000000"/>
        </w:rPr>
        <w:t>6</w:t>
      </w:r>
      <w:r w:rsidR="00594B99">
        <w:rPr>
          <w:color w:val="000000"/>
        </w:rPr>
        <w:t xml:space="preserve"> – 5,93 млрд. кВт.</w:t>
      </w:r>
      <w:r w:rsidR="000C38BD">
        <w:rPr>
          <w:color w:val="000000"/>
        </w:rPr>
        <w:t xml:space="preserve">ч или </w:t>
      </w:r>
      <w:r w:rsidR="00127D72">
        <w:rPr>
          <w:color w:val="000000"/>
        </w:rPr>
        <w:t xml:space="preserve"> -</w:t>
      </w:r>
      <w:r w:rsidR="000C38BD">
        <w:rPr>
          <w:color w:val="000000"/>
        </w:rPr>
        <w:t>4,5%</w:t>
      </w:r>
      <w:r w:rsidR="00127D72">
        <w:rPr>
          <w:color w:val="000000"/>
        </w:rPr>
        <w:t xml:space="preserve">  - </w:t>
      </w:r>
      <w:r w:rsidR="000C38BD">
        <w:rPr>
          <w:color w:val="000000"/>
        </w:rPr>
        <w:t xml:space="preserve">+3,7%. </w:t>
      </w:r>
      <w:r w:rsidR="00142955">
        <w:rPr>
          <w:color w:val="000000"/>
        </w:rPr>
        <w:t>Тогда</w:t>
      </w:r>
      <w:r w:rsidR="00FC5749">
        <w:rPr>
          <w:color w:val="000000"/>
        </w:rPr>
        <w:t xml:space="preserve"> до 2020 года</w:t>
      </w:r>
      <w:r w:rsidR="00F024DB">
        <w:rPr>
          <w:color w:val="000000"/>
        </w:rPr>
        <w:t xml:space="preserve"> для</w:t>
      </w:r>
      <w:r w:rsidR="00142955">
        <w:rPr>
          <w:color w:val="000000"/>
        </w:rPr>
        <w:t xml:space="preserve"> </w:t>
      </w:r>
      <w:r w:rsidR="00FC5749">
        <w:rPr>
          <w:color w:val="000000"/>
        </w:rPr>
        <w:t xml:space="preserve">расчета </w:t>
      </w:r>
      <w:r w:rsidR="00142955">
        <w:rPr>
          <w:color w:val="000000"/>
        </w:rPr>
        <w:t>прогноз</w:t>
      </w:r>
      <w:r w:rsidR="00FC5749">
        <w:rPr>
          <w:color w:val="000000"/>
        </w:rPr>
        <w:t xml:space="preserve">ного значения </w:t>
      </w:r>
      <w:r w:rsidR="00142955">
        <w:rPr>
          <w:color w:val="000000"/>
        </w:rPr>
        <w:t xml:space="preserve"> максимальной электрической нагрузки </w:t>
      </w:r>
      <w:r w:rsidR="00F024DB">
        <w:rPr>
          <w:color w:val="000000"/>
        </w:rPr>
        <w:t>примем</w:t>
      </w:r>
      <w:r w:rsidR="007F10F8">
        <w:rPr>
          <w:color w:val="000000"/>
        </w:rPr>
        <w:t>, что на 1ГВт максимальной электрической нагрузки</w:t>
      </w:r>
      <w:r w:rsidR="00D05174">
        <w:rPr>
          <w:color w:val="000000"/>
        </w:rPr>
        <w:t xml:space="preserve"> приходится </w:t>
      </w:r>
      <w:r w:rsidR="00D05174" w:rsidRPr="00FE0990">
        <w:rPr>
          <w:b/>
          <w:color w:val="000000"/>
        </w:rPr>
        <w:t>5,72</w:t>
      </w:r>
      <w:r w:rsidR="007F10F8">
        <w:rPr>
          <w:color w:val="000000"/>
        </w:rPr>
        <w:t xml:space="preserve"> </w:t>
      </w:r>
      <w:r w:rsidR="007F10F8" w:rsidRPr="00FE0990">
        <w:rPr>
          <w:b/>
          <w:color w:val="000000"/>
        </w:rPr>
        <w:t xml:space="preserve">млрд. </w:t>
      </w:r>
      <w:r w:rsidR="00F024DB" w:rsidRPr="00FE0990">
        <w:rPr>
          <w:b/>
          <w:color w:val="000000"/>
        </w:rPr>
        <w:t>кВт.ч</w:t>
      </w:r>
      <w:r w:rsidR="00CD799F">
        <w:rPr>
          <w:color w:val="000000"/>
        </w:rPr>
        <w:t xml:space="preserve"> электропотребления для стандартных условий.</w:t>
      </w:r>
      <w:r w:rsidR="00F024DB">
        <w:rPr>
          <w:color w:val="000000"/>
        </w:rPr>
        <w:t xml:space="preserve"> </w:t>
      </w:r>
      <w:r w:rsidR="00D037F9">
        <w:rPr>
          <w:color w:val="000000"/>
        </w:rPr>
        <w:t>Эта величина несколько меньше</w:t>
      </w:r>
      <w:r w:rsidR="0021609D">
        <w:rPr>
          <w:color w:val="000000"/>
        </w:rPr>
        <w:t>, (т.е. с запасом)</w:t>
      </w:r>
      <w:r w:rsidR="00D037F9">
        <w:rPr>
          <w:color w:val="000000"/>
        </w:rPr>
        <w:t xml:space="preserve"> значения 5,87млрд.кВт.ч., которая была принята в статье </w:t>
      </w:r>
      <w:r w:rsidR="00D037F9" w:rsidRPr="00A81F9F">
        <w:rPr>
          <w:color w:val="000000"/>
        </w:rPr>
        <w:t>Шульги</w:t>
      </w:r>
      <w:r w:rsidR="00D037F9">
        <w:rPr>
          <w:color w:val="000000"/>
        </w:rPr>
        <w:t>нова</w:t>
      </w:r>
      <w:r w:rsidR="00D037F9" w:rsidRPr="00A81F9F">
        <w:rPr>
          <w:color w:val="000000"/>
        </w:rPr>
        <w:t xml:space="preserve"> Н.И. и др.</w:t>
      </w:r>
      <w:r w:rsidR="00D037F9">
        <w:rPr>
          <w:color w:val="000000"/>
        </w:rPr>
        <w:t xml:space="preserve"> для расчета</w:t>
      </w:r>
      <w:r w:rsidR="006A1A3F">
        <w:rPr>
          <w:color w:val="000000"/>
        </w:rPr>
        <w:t xml:space="preserve"> прогноза значения</w:t>
      </w:r>
      <w:r w:rsidR="00D037F9">
        <w:rPr>
          <w:color w:val="000000"/>
        </w:rPr>
        <w:t xml:space="preserve"> максимума электрической нагрузки</w:t>
      </w:r>
      <w:r w:rsidR="006A1A3F">
        <w:rPr>
          <w:color w:val="000000"/>
        </w:rPr>
        <w:t xml:space="preserve"> в Московском регионе</w:t>
      </w:r>
      <w:r w:rsidR="00D037F9">
        <w:rPr>
          <w:color w:val="000000"/>
        </w:rPr>
        <w:t xml:space="preserve"> в </w:t>
      </w:r>
      <w:r w:rsidR="0021609D">
        <w:rPr>
          <w:color w:val="000000"/>
        </w:rPr>
        <w:t xml:space="preserve">стандартных условиях. </w:t>
      </w:r>
    </w:p>
    <w:p w:rsidR="00C05084" w:rsidRPr="00A81F9F" w:rsidRDefault="00C05084" w:rsidP="004A096F">
      <w:pPr>
        <w:pStyle w:val="af1"/>
        <w:shd w:val="clear" w:color="auto" w:fill="FFFFFF"/>
        <w:spacing w:before="0" w:beforeAutospacing="0" w:after="0" w:afterAutospacing="0"/>
        <w:ind w:firstLine="720"/>
        <w:jc w:val="both"/>
        <w:rPr>
          <w:color w:val="000000"/>
        </w:rPr>
      </w:pPr>
      <w:r w:rsidRPr="00A81F9F">
        <w:rPr>
          <w:color w:val="000000"/>
        </w:rPr>
        <w:t>На</w:t>
      </w:r>
      <w:r>
        <w:rPr>
          <w:color w:val="000000"/>
        </w:rPr>
        <w:t xml:space="preserve"> рис.</w:t>
      </w:r>
      <w:r w:rsidR="00265234">
        <w:rPr>
          <w:color w:val="000000"/>
        </w:rPr>
        <w:t xml:space="preserve"> </w:t>
      </w:r>
      <w:r>
        <w:rPr>
          <w:color w:val="000000"/>
        </w:rPr>
        <w:t>8</w:t>
      </w:r>
      <w:r w:rsidR="006B1248">
        <w:rPr>
          <w:color w:val="000000"/>
        </w:rPr>
        <w:t>2</w:t>
      </w:r>
      <w:r w:rsidRPr="00A81F9F">
        <w:rPr>
          <w:color w:val="000000"/>
        </w:rPr>
        <w:t xml:space="preserve"> </w:t>
      </w:r>
      <w:r>
        <w:rPr>
          <w:color w:val="000000"/>
        </w:rPr>
        <w:t>показаны</w:t>
      </w:r>
      <w:r w:rsidRPr="00A81F9F">
        <w:rPr>
          <w:color w:val="000000"/>
        </w:rPr>
        <w:t xml:space="preserve"> </w:t>
      </w:r>
      <w:r w:rsidR="0026742F">
        <w:rPr>
          <w:color w:val="000000"/>
        </w:rPr>
        <w:t>прогнозные значения</w:t>
      </w:r>
      <w:r w:rsidR="0026742F" w:rsidRPr="00A81F9F">
        <w:rPr>
          <w:color w:val="000000"/>
        </w:rPr>
        <w:t xml:space="preserve"> </w:t>
      </w:r>
      <w:r w:rsidRPr="00A81F9F">
        <w:rPr>
          <w:color w:val="000000"/>
        </w:rPr>
        <w:t>максима</w:t>
      </w:r>
      <w:r>
        <w:rPr>
          <w:color w:val="000000"/>
        </w:rPr>
        <w:t>льной</w:t>
      </w:r>
      <w:r w:rsidRPr="00A81F9F">
        <w:rPr>
          <w:color w:val="000000"/>
        </w:rPr>
        <w:t xml:space="preserve"> эле</w:t>
      </w:r>
      <w:r w:rsidR="0026742F">
        <w:rPr>
          <w:color w:val="000000"/>
        </w:rPr>
        <w:t>ктрической нагрузки в Московском</w:t>
      </w:r>
      <w:r w:rsidRPr="00A81F9F">
        <w:rPr>
          <w:color w:val="000000"/>
        </w:rPr>
        <w:t xml:space="preserve"> </w:t>
      </w:r>
      <w:r w:rsidR="0026742F">
        <w:rPr>
          <w:color w:val="000000"/>
        </w:rPr>
        <w:t>регионе</w:t>
      </w:r>
      <w:r w:rsidRPr="00A81F9F">
        <w:rPr>
          <w:color w:val="000000"/>
        </w:rPr>
        <w:t xml:space="preserve">  в </w:t>
      </w:r>
      <w:r w:rsidR="0026742F">
        <w:rPr>
          <w:color w:val="000000"/>
        </w:rPr>
        <w:t>2012-2020 гг.</w:t>
      </w:r>
      <w:r w:rsidR="00F60A51">
        <w:rPr>
          <w:color w:val="000000"/>
        </w:rPr>
        <w:t>(2012 год-факт) в стандартных условиях</w:t>
      </w:r>
      <w:r w:rsidR="006A1A3F">
        <w:rPr>
          <w:color w:val="000000"/>
        </w:rPr>
        <w:t>, рассчитанные для различных сценариев электропотребления в Московском регионе</w:t>
      </w:r>
      <w:r w:rsidR="00F11EA0">
        <w:rPr>
          <w:color w:val="000000"/>
        </w:rPr>
        <w:t xml:space="preserve"> (см. рис. 7</w:t>
      </w:r>
      <w:r w:rsidR="004A096F">
        <w:rPr>
          <w:color w:val="000000"/>
        </w:rPr>
        <w:t>8</w:t>
      </w:r>
      <w:r w:rsidR="00F11EA0">
        <w:rPr>
          <w:color w:val="000000"/>
        </w:rPr>
        <w:t>).</w:t>
      </w:r>
      <w:r w:rsidR="0026742F">
        <w:rPr>
          <w:color w:val="000000"/>
        </w:rPr>
        <w:t xml:space="preserve"> </w:t>
      </w:r>
    </w:p>
    <w:p w:rsidR="00594B99" w:rsidRDefault="006B1248" w:rsidP="0063374C">
      <w:pPr>
        <w:pStyle w:val="af1"/>
        <w:shd w:val="clear" w:color="auto" w:fill="FFFFFF"/>
        <w:spacing w:before="0" w:beforeAutospacing="0" w:after="0" w:afterAutospacing="0"/>
        <w:ind w:firstLine="709"/>
        <w:jc w:val="both"/>
        <w:rPr>
          <w:color w:val="000000"/>
        </w:rPr>
      </w:pPr>
      <w:r w:rsidRPr="006B1248">
        <w:rPr>
          <w:noProof/>
          <w:color w:val="000000"/>
        </w:rPr>
        <w:drawing>
          <wp:inline distT="0" distB="0" distL="0" distR="0">
            <wp:extent cx="5772150" cy="7151914"/>
            <wp:effectExtent l="19050" t="0" r="19050" b="0"/>
            <wp:docPr id="46"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94B99" w:rsidRDefault="00594B99" w:rsidP="0063374C">
      <w:pPr>
        <w:pStyle w:val="af1"/>
        <w:shd w:val="clear" w:color="auto" w:fill="FFFFFF"/>
        <w:spacing w:before="0" w:beforeAutospacing="0" w:after="0" w:afterAutospacing="0"/>
        <w:ind w:firstLine="709"/>
        <w:jc w:val="both"/>
        <w:rPr>
          <w:color w:val="000000"/>
        </w:rPr>
      </w:pPr>
    </w:p>
    <w:p w:rsidR="00BD4BDE" w:rsidRDefault="00594B99" w:rsidP="00280351">
      <w:pPr>
        <w:pStyle w:val="af1"/>
        <w:shd w:val="clear" w:color="auto" w:fill="FFFFFF"/>
        <w:spacing w:before="0" w:beforeAutospacing="0" w:after="0" w:afterAutospacing="0"/>
        <w:ind w:firstLine="709"/>
        <w:jc w:val="both"/>
        <w:rPr>
          <w:color w:val="000000"/>
        </w:rPr>
      </w:pPr>
      <w:r>
        <w:rPr>
          <w:color w:val="000000"/>
        </w:rPr>
        <w:t xml:space="preserve"> </w:t>
      </w:r>
      <w:r w:rsidR="00BD4BDE">
        <w:rPr>
          <w:color w:val="000000"/>
        </w:rPr>
        <w:t>Рис.8</w:t>
      </w:r>
      <w:r w:rsidR="004A096F">
        <w:rPr>
          <w:color w:val="000000"/>
        </w:rPr>
        <w:t>2.</w:t>
      </w:r>
      <w:r w:rsidR="00BD4BDE">
        <w:rPr>
          <w:color w:val="000000"/>
        </w:rPr>
        <w:t xml:space="preserve"> Динамика максимальной электрической нагрузки в Московском регионе в период</w:t>
      </w:r>
      <w:r w:rsidR="00A17D3D">
        <w:rPr>
          <w:color w:val="000000"/>
        </w:rPr>
        <w:t xml:space="preserve"> 2011-2020 гг. по различным прогнозным сценариям электропотребления</w:t>
      </w:r>
      <w:r w:rsidR="00E04640">
        <w:rPr>
          <w:color w:val="000000"/>
        </w:rPr>
        <w:t xml:space="preserve"> в стандартных условиях</w:t>
      </w:r>
      <w:r w:rsidR="00535593">
        <w:rPr>
          <w:color w:val="000000"/>
        </w:rPr>
        <w:t xml:space="preserve"> </w:t>
      </w:r>
      <w:r w:rsidR="00E04640">
        <w:rPr>
          <w:color w:val="000000"/>
        </w:rPr>
        <w:t>(на 1ГВт максимальной электрической нагрузки приходится 5,72млрд.кВт.ч. электр</w:t>
      </w:r>
      <w:r w:rsidR="004A096F">
        <w:rPr>
          <w:color w:val="000000"/>
        </w:rPr>
        <w:t>опотребления).</w:t>
      </w:r>
    </w:p>
    <w:p w:rsidR="004A096F" w:rsidRDefault="004A096F" w:rsidP="00280351">
      <w:pPr>
        <w:pStyle w:val="af1"/>
        <w:shd w:val="clear" w:color="auto" w:fill="FFFFFF"/>
        <w:spacing w:before="0" w:beforeAutospacing="0" w:after="0" w:afterAutospacing="0"/>
        <w:ind w:firstLine="709"/>
        <w:jc w:val="both"/>
        <w:rPr>
          <w:color w:val="000000"/>
        </w:rPr>
      </w:pPr>
    </w:p>
    <w:p w:rsidR="00273DD0" w:rsidRDefault="00273DD0" w:rsidP="004A096F">
      <w:pPr>
        <w:pStyle w:val="af1"/>
        <w:shd w:val="clear" w:color="auto" w:fill="FFFFFF"/>
        <w:spacing w:before="0" w:beforeAutospacing="0" w:after="0" w:afterAutospacing="0"/>
        <w:ind w:firstLine="720"/>
        <w:jc w:val="both"/>
        <w:rPr>
          <w:color w:val="000000"/>
        </w:rPr>
      </w:pPr>
      <w:r>
        <w:rPr>
          <w:color w:val="000000"/>
        </w:rPr>
        <w:t>Видно, что</w:t>
      </w:r>
      <w:r w:rsidR="00535593">
        <w:rPr>
          <w:color w:val="000000"/>
        </w:rPr>
        <w:t xml:space="preserve"> в 2020г.</w:t>
      </w:r>
      <w:r>
        <w:rPr>
          <w:color w:val="000000"/>
        </w:rPr>
        <w:t xml:space="preserve"> </w:t>
      </w:r>
      <w:r w:rsidR="00535593">
        <w:rPr>
          <w:color w:val="000000"/>
        </w:rPr>
        <w:t>для</w:t>
      </w:r>
      <w:r>
        <w:rPr>
          <w:color w:val="000000"/>
        </w:rPr>
        <w:t xml:space="preserve"> наиболее вероятн</w:t>
      </w:r>
      <w:r w:rsidR="00EE4621">
        <w:rPr>
          <w:color w:val="000000"/>
        </w:rPr>
        <w:t>ого</w:t>
      </w:r>
      <w:r>
        <w:rPr>
          <w:color w:val="000000"/>
        </w:rPr>
        <w:t xml:space="preserve"> сценари</w:t>
      </w:r>
      <w:r w:rsidR="00EE4621">
        <w:rPr>
          <w:color w:val="000000"/>
        </w:rPr>
        <w:t>я</w:t>
      </w:r>
      <w:r w:rsidR="00535593">
        <w:rPr>
          <w:color w:val="000000"/>
        </w:rPr>
        <w:t xml:space="preserve"> </w:t>
      </w:r>
      <w:r w:rsidR="00EE4621">
        <w:rPr>
          <w:color w:val="000000"/>
        </w:rPr>
        <w:t xml:space="preserve">электропотребления в Московском регионе, который </w:t>
      </w:r>
      <w:r w:rsidR="00106F7F">
        <w:rPr>
          <w:color w:val="000000"/>
        </w:rPr>
        <w:t>находит</w:t>
      </w:r>
      <w:r w:rsidR="00EE4621">
        <w:rPr>
          <w:color w:val="000000"/>
        </w:rPr>
        <w:t>ся между</w:t>
      </w:r>
      <w:r w:rsidR="00E970E4">
        <w:rPr>
          <w:color w:val="000000"/>
        </w:rPr>
        <w:t xml:space="preserve"> </w:t>
      </w:r>
      <w:r>
        <w:rPr>
          <w:color w:val="000000"/>
        </w:rPr>
        <w:t>консервативно-оптимистичн</w:t>
      </w:r>
      <w:r w:rsidR="00EE4621">
        <w:rPr>
          <w:color w:val="000000"/>
        </w:rPr>
        <w:t>ым</w:t>
      </w:r>
      <w:r>
        <w:rPr>
          <w:color w:val="000000"/>
        </w:rPr>
        <w:t xml:space="preserve">  и консервативн</w:t>
      </w:r>
      <w:r w:rsidR="00EE4621">
        <w:rPr>
          <w:color w:val="000000"/>
        </w:rPr>
        <w:t xml:space="preserve">ым </w:t>
      </w:r>
      <w:r>
        <w:rPr>
          <w:color w:val="000000"/>
        </w:rPr>
        <w:t>базовы</w:t>
      </w:r>
      <w:r w:rsidR="00EE4621">
        <w:rPr>
          <w:color w:val="000000"/>
        </w:rPr>
        <w:t>м</w:t>
      </w:r>
      <w:r w:rsidR="00535593">
        <w:rPr>
          <w:color w:val="000000"/>
        </w:rPr>
        <w:t xml:space="preserve">, </w:t>
      </w:r>
      <w:r w:rsidR="00EE4621">
        <w:rPr>
          <w:color w:val="000000"/>
        </w:rPr>
        <w:t xml:space="preserve">соответственно, максимальная электрическая нагрузка </w:t>
      </w:r>
      <w:r w:rsidR="00106F7F">
        <w:rPr>
          <w:color w:val="000000"/>
        </w:rPr>
        <w:t>находит</w:t>
      </w:r>
      <w:r w:rsidR="00EE4621">
        <w:rPr>
          <w:color w:val="000000"/>
        </w:rPr>
        <w:t>ся между 19,6ГВт и 20ГВт</w:t>
      </w:r>
      <w:r w:rsidR="00E970E4">
        <w:rPr>
          <w:color w:val="000000"/>
        </w:rPr>
        <w:t>.</w:t>
      </w:r>
      <w:r w:rsidR="00E448F1">
        <w:rPr>
          <w:color w:val="000000"/>
        </w:rPr>
        <w:t xml:space="preserve"> У всех остальных сценариев, максимум электрической нагрузки </w:t>
      </w:r>
      <w:r w:rsidR="00E3490E">
        <w:rPr>
          <w:color w:val="000000"/>
        </w:rPr>
        <w:t>выше консервативно-оптимистичного</w:t>
      </w:r>
      <w:r w:rsidR="00794DEE">
        <w:rPr>
          <w:color w:val="000000"/>
        </w:rPr>
        <w:t xml:space="preserve"> </w:t>
      </w:r>
      <w:r w:rsidR="00E3490E">
        <w:rPr>
          <w:color w:val="000000"/>
        </w:rPr>
        <w:t>на 4,2, 2,4, 1,7 и 1,2 ГВт</w:t>
      </w:r>
      <w:r w:rsidR="00794DEE">
        <w:rPr>
          <w:color w:val="000000"/>
        </w:rPr>
        <w:t>, соответственно</w:t>
      </w:r>
      <w:r w:rsidR="00E3490E">
        <w:rPr>
          <w:color w:val="000000"/>
        </w:rPr>
        <w:t xml:space="preserve">. </w:t>
      </w:r>
    </w:p>
    <w:p w:rsidR="00794DEE" w:rsidRDefault="009478DB" w:rsidP="004A096F">
      <w:pPr>
        <w:pStyle w:val="af1"/>
        <w:shd w:val="clear" w:color="auto" w:fill="FFFFFF"/>
        <w:spacing w:before="0" w:beforeAutospacing="0" w:after="0" w:afterAutospacing="0"/>
        <w:ind w:firstLine="720"/>
        <w:rPr>
          <w:color w:val="000000"/>
        </w:rPr>
      </w:pPr>
      <w:r w:rsidRPr="00A81F9F">
        <w:rPr>
          <w:color w:val="000000"/>
        </w:rPr>
        <w:t>В 201</w:t>
      </w:r>
      <w:r w:rsidR="00280351">
        <w:rPr>
          <w:color w:val="000000"/>
        </w:rPr>
        <w:t>2</w:t>
      </w:r>
      <w:r w:rsidRPr="00A81F9F">
        <w:rPr>
          <w:color w:val="000000"/>
        </w:rPr>
        <w:t xml:space="preserve">г. максимум электрической нагрузки в Московской энергосистеме составил </w:t>
      </w:r>
      <w:r w:rsidR="00280351">
        <w:rPr>
          <w:color w:val="000000"/>
        </w:rPr>
        <w:t>18,05</w:t>
      </w:r>
      <w:r w:rsidRPr="00A81F9F">
        <w:rPr>
          <w:color w:val="000000"/>
        </w:rPr>
        <w:t xml:space="preserve"> ГВт</w:t>
      </w:r>
      <w:r w:rsidR="00794DEE">
        <w:rPr>
          <w:color w:val="000000"/>
        </w:rPr>
        <w:t>.</w:t>
      </w:r>
    </w:p>
    <w:p w:rsidR="001A7F4B" w:rsidRPr="00A81F9F" w:rsidRDefault="009478DB" w:rsidP="00C60FE7">
      <w:pPr>
        <w:pStyle w:val="af1"/>
        <w:shd w:val="clear" w:color="auto" w:fill="FFFFFF"/>
        <w:spacing w:before="0" w:beforeAutospacing="0" w:after="0" w:afterAutospacing="0"/>
        <w:ind w:firstLine="709"/>
        <w:jc w:val="both"/>
        <w:rPr>
          <w:color w:val="000000"/>
        </w:rPr>
      </w:pPr>
      <w:r w:rsidRPr="00A81F9F">
        <w:rPr>
          <w:color w:val="000000"/>
        </w:rPr>
        <w:t>Важно рассмотреть максимум электрической нагрузки при экстремальном сценарии при те</w:t>
      </w:r>
      <w:r w:rsidR="001A7F4B">
        <w:rPr>
          <w:color w:val="000000"/>
        </w:rPr>
        <w:t>мпературе наружного воздуха -28</w:t>
      </w:r>
      <w:r w:rsidR="001A7F4B">
        <w:rPr>
          <w:rFonts w:ascii="Calibri" w:hAnsi="Calibri" w:cs="Calibri"/>
          <w:color w:val="000000"/>
        </w:rPr>
        <w:t>°</w:t>
      </w:r>
      <w:r w:rsidRPr="00A81F9F">
        <w:rPr>
          <w:color w:val="000000"/>
        </w:rPr>
        <w:t xml:space="preserve">С. </w:t>
      </w:r>
      <w:r w:rsidR="0031264C">
        <w:rPr>
          <w:color w:val="000000"/>
        </w:rPr>
        <w:t xml:space="preserve">Для этого условия </w:t>
      </w:r>
      <w:r w:rsidR="00794DEE">
        <w:rPr>
          <w:color w:val="000000"/>
        </w:rPr>
        <w:t>примем, что на 1ГВт максимальной электрической нагрузки приходится</w:t>
      </w:r>
      <w:r w:rsidR="00794DEE" w:rsidRPr="00CD799F">
        <w:rPr>
          <w:color w:val="000000"/>
        </w:rPr>
        <w:t xml:space="preserve"> </w:t>
      </w:r>
      <w:r w:rsidR="00794DEE">
        <w:rPr>
          <w:color w:val="000000"/>
        </w:rPr>
        <w:t xml:space="preserve">с запасом </w:t>
      </w:r>
      <w:r w:rsidR="00794DEE" w:rsidRPr="00FE0990">
        <w:rPr>
          <w:b/>
          <w:color w:val="000000"/>
        </w:rPr>
        <w:t>5,3</w:t>
      </w:r>
      <w:r w:rsidR="00794DEE">
        <w:rPr>
          <w:b/>
          <w:color w:val="000000"/>
        </w:rPr>
        <w:t>6</w:t>
      </w:r>
      <w:r w:rsidR="00794DEE">
        <w:rPr>
          <w:color w:val="000000"/>
        </w:rPr>
        <w:t xml:space="preserve"> </w:t>
      </w:r>
      <w:r w:rsidR="00794DEE" w:rsidRPr="00FE0990">
        <w:rPr>
          <w:b/>
          <w:color w:val="000000"/>
        </w:rPr>
        <w:t>млрд.кВт.ч</w:t>
      </w:r>
      <w:r w:rsidR="00794DEE">
        <w:rPr>
          <w:color w:val="000000"/>
        </w:rPr>
        <w:t>.(и это с запасом) (см.рис</w:t>
      </w:r>
      <w:r w:rsidR="004A096F">
        <w:rPr>
          <w:color w:val="000000"/>
        </w:rPr>
        <w:t xml:space="preserve"> 80</w:t>
      </w:r>
      <w:r w:rsidR="00794DEE">
        <w:rPr>
          <w:color w:val="000000"/>
        </w:rPr>
        <w:t>)</w:t>
      </w:r>
      <w:r w:rsidR="0031264C">
        <w:rPr>
          <w:color w:val="000000"/>
        </w:rPr>
        <w:t>.</w:t>
      </w:r>
      <w:r w:rsidR="00794DEE">
        <w:rPr>
          <w:color w:val="000000"/>
        </w:rPr>
        <w:t xml:space="preserve"> Эта величина получена </w:t>
      </w:r>
      <w:r w:rsidR="0031264C">
        <w:rPr>
          <w:color w:val="000000"/>
        </w:rPr>
        <w:t>так же и</w:t>
      </w:r>
      <w:r w:rsidR="00794DEE">
        <w:rPr>
          <w:color w:val="000000"/>
        </w:rPr>
        <w:t xml:space="preserve"> по данным статьи </w:t>
      </w:r>
      <w:r w:rsidR="00794DEE" w:rsidRPr="00A81F9F">
        <w:rPr>
          <w:color w:val="000000"/>
        </w:rPr>
        <w:t>Шульги</w:t>
      </w:r>
      <w:r w:rsidR="00794DEE">
        <w:rPr>
          <w:color w:val="000000"/>
        </w:rPr>
        <w:t>нова</w:t>
      </w:r>
      <w:r w:rsidR="00794DEE" w:rsidRPr="00A81F9F">
        <w:rPr>
          <w:color w:val="000000"/>
        </w:rPr>
        <w:t xml:space="preserve"> Н.И. и др. «Перспективы развития высоковольтных сетей на примере Московского региона»</w:t>
      </w:r>
      <w:r w:rsidR="00794DEE">
        <w:rPr>
          <w:color w:val="000000"/>
        </w:rPr>
        <w:t>,</w:t>
      </w:r>
      <w:r w:rsidR="00794DEE" w:rsidRPr="00832B37">
        <w:rPr>
          <w:color w:val="000000"/>
        </w:rPr>
        <w:t xml:space="preserve"> </w:t>
      </w:r>
      <w:r w:rsidR="00794DEE">
        <w:rPr>
          <w:color w:val="000000"/>
        </w:rPr>
        <w:t>(</w:t>
      </w:r>
      <w:r w:rsidR="00794DEE" w:rsidRPr="00A81F9F">
        <w:rPr>
          <w:color w:val="000000"/>
        </w:rPr>
        <w:t>журнал «Электроэнергия. Пер</w:t>
      </w:r>
      <w:r w:rsidR="00794DEE">
        <w:rPr>
          <w:color w:val="000000"/>
        </w:rPr>
        <w:t>едача и распределение», №6 2011).</w:t>
      </w:r>
      <w:r w:rsidR="001A7F4B">
        <w:rPr>
          <w:color w:val="000000"/>
        </w:rPr>
        <w:t xml:space="preserve"> </w:t>
      </w:r>
      <w:r w:rsidR="001A7F4B" w:rsidRPr="00A81F9F">
        <w:rPr>
          <w:color w:val="000000"/>
        </w:rPr>
        <w:t>Где по базовому сценарию она равнялась 5,40 млрд. кВт.ч, а по региональ</w:t>
      </w:r>
      <w:r w:rsidR="007B6179">
        <w:rPr>
          <w:color w:val="000000"/>
        </w:rPr>
        <w:t xml:space="preserve">ному – 5,32 млрд. кВт.ч. Тогда в среднем, эта величина равняется 5,36 млрд. кВт.ч. </w:t>
      </w:r>
    </w:p>
    <w:p w:rsidR="0031264C" w:rsidRPr="00A81F9F" w:rsidRDefault="0031264C" w:rsidP="00C60FE7">
      <w:pPr>
        <w:pStyle w:val="af1"/>
        <w:shd w:val="clear" w:color="auto" w:fill="FFFFFF"/>
        <w:spacing w:before="0" w:beforeAutospacing="0" w:after="0" w:afterAutospacing="0"/>
        <w:ind w:firstLine="720"/>
        <w:jc w:val="both"/>
        <w:rPr>
          <w:color w:val="000000"/>
        </w:rPr>
      </w:pPr>
      <w:r w:rsidRPr="00A81F9F">
        <w:rPr>
          <w:color w:val="000000"/>
        </w:rPr>
        <w:t>На</w:t>
      </w:r>
      <w:r>
        <w:rPr>
          <w:color w:val="000000"/>
        </w:rPr>
        <w:t xml:space="preserve"> рис.</w:t>
      </w:r>
      <w:r w:rsidR="004A096F">
        <w:rPr>
          <w:color w:val="000000"/>
        </w:rPr>
        <w:t xml:space="preserve"> </w:t>
      </w:r>
      <w:r>
        <w:rPr>
          <w:color w:val="000000"/>
        </w:rPr>
        <w:t>8</w:t>
      </w:r>
      <w:r w:rsidR="004A096F">
        <w:rPr>
          <w:color w:val="000000"/>
        </w:rPr>
        <w:t>3</w:t>
      </w:r>
      <w:r w:rsidR="00C60FE7">
        <w:rPr>
          <w:color w:val="000000"/>
        </w:rPr>
        <w:t xml:space="preserve"> </w:t>
      </w:r>
      <w:r>
        <w:rPr>
          <w:color w:val="000000"/>
        </w:rPr>
        <w:t>показаны</w:t>
      </w:r>
      <w:r w:rsidRPr="00A81F9F">
        <w:rPr>
          <w:color w:val="000000"/>
        </w:rPr>
        <w:t xml:space="preserve"> </w:t>
      </w:r>
      <w:r>
        <w:rPr>
          <w:color w:val="000000"/>
        </w:rPr>
        <w:t>прогнозные значения</w:t>
      </w:r>
      <w:r w:rsidRPr="00A81F9F">
        <w:rPr>
          <w:color w:val="000000"/>
        </w:rPr>
        <w:t xml:space="preserve"> максима</w:t>
      </w:r>
      <w:r>
        <w:rPr>
          <w:color w:val="000000"/>
        </w:rPr>
        <w:t>льной</w:t>
      </w:r>
      <w:r w:rsidRPr="00A81F9F">
        <w:rPr>
          <w:color w:val="000000"/>
        </w:rPr>
        <w:t xml:space="preserve"> эле</w:t>
      </w:r>
      <w:r>
        <w:rPr>
          <w:color w:val="000000"/>
        </w:rPr>
        <w:t>ктрической нагрузки в Московском</w:t>
      </w:r>
      <w:r w:rsidRPr="00A81F9F">
        <w:rPr>
          <w:color w:val="000000"/>
        </w:rPr>
        <w:t xml:space="preserve"> </w:t>
      </w:r>
      <w:r>
        <w:rPr>
          <w:color w:val="000000"/>
        </w:rPr>
        <w:t>регионе</w:t>
      </w:r>
      <w:r w:rsidRPr="00A81F9F">
        <w:rPr>
          <w:color w:val="000000"/>
        </w:rPr>
        <w:t xml:space="preserve">  в </w:t>
      </w:r>
      <w:r>
        <w:rPr>
          <w:color w:val="000000"/>
        </w:rPr>
        <w:t>2012-2020 гг.</w:t>
      </w:r>
      <w:r w:rsidR="001A7F4B">
        <w:rPr>
          <w:color w:val="000000"/>
        </w:rPr>
        <w:t>(2012 год-факт)  при температуре наружного воздуха -28</w:t>
      </w:r>
      <w:r w:rsidR="001A7F4B">
        <w:rPr>
          <w:rFonts w:ascii="Calibri" w:hAnsi="Calibri" w:cs="Calibri"/>
          <w:color w:val="000000"/>
        </w:rPr>
        <w:t>°</w:t>
      </w:r>
      <w:r w:rsidR="001A7F4B">
        <w:rPr>
          <w:color w:val="000000"/>
        </w:rPr>
        <w:t>С</w:t>
      </w:r>
      <w:r>
        <w:rPr>
          <w:color w:val="000000"/>
        </w:rPr>
        <w:t>, рассчитанные для различных сценариев электропотребления в Московском регионе (см. рис. 7</w:t>
      </w:r>
      <w:r w:rsidR="00C60FE7">
        <w:rPr>
          <w:color w:val="000000"/>
        </w:rPr>
        <w:t>8</w:t>
      </w:r>
      <w:r>
        <w:rPr>
          <w:color w:val="000000"/>
        </w:rPr>
        <w:t xml:space="preserve">). </w:t>
      </w:r>
    </w:p>
    <w:p w:rsidR="00280351" w:rsidRPr="00A81F9F" w:rsidRDefault="00280351" w:rsidP="0063374C">
      <w:pPr>
        <w:pStyle w:val="af1"/>
        <w:shd w:val="clear" w:color="auto" w:fill="FFFFFF"/>
        <w:spacing w:before="0" w:beforeAutospacing="0" w:after="0" w:afterAutospacing="0"/>
        <w:ind w:firstLine="709"/>
        <w:jc w:val="both"/>
        <w:rPr>
          <w:color w:val="000000"/>
        </w:rPr>
      </w:pPr>
    </w:p>
    <w:p w:rsidR="009478DB" w:rsidRPr="00A81F9F" w:rsidRDefault="00CE782A" w:rsidP="0063374C">
      <w:pPr>
        <w:pStyle w:val="af1"/>
        <w:shd w:val="clear" w:color="auto" w:fill="FFFFFF"/>
        <w:spacing w:before="0" w:beforeAutospacing="0" w:after="0" w:afterAutospacing="0"/>
        <w:jc w:val="center"/>
        <w:rPr>
          <w:color w:val="000000"/>
        </w:rPr>
      </w:pPr>
      <w:r w:rsidRPr="00CE782A">
        <w:rPr>
          <w:noProof/>
          <w:color w:val="000000"/>
        </w:rPr>
        <w:drawing>
          <wp:inline distT="0" distB="0" distL="0" distR="0">
            <wp:extent cx="5113564" cy="5687785"/>
            <wp:effectExtent l="19050" t="0" r="10886" b="8165"/>
            <wp:docPr id="47"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9478DB" w:rsidRPr="00A81F9F" w:rsidRDefault="009478DB" w:rsidP="0063374C">
      <w:pPr>
        <w:pStyle w:val="af1"/>
        <w:shd w:val="clear" w:color="auto" w:fill="FFFFFF"/>
        <w:spacing w:before="0" w:beforeAutospacing="0" w:after="0" w:afterAutospacing="0"/>
        <w:jc w:val="both"/>
        <w:rPr>
          <w:color w:val="000000"/>
        </w:rPr>
      </w:pPr>
    </w:p>
    <w:p w:rsidR="009478DB" w:rsidRPr="00A81F9F" w:rsidRDefault="00834D58" w:rsidP="0063374C">
      <w:pPr>
        <w:pStyle w:val="af1"/>
        <w:shd w:val="clear" w:color="auto" w:fill="FFFFFF"/>
        <w:spacing w:before="0" w:beforeAutospacing="0" w:after="0" w:afterAutospacing="0"/>
        <w:ind w:firstLine="709"/>
        <w:jc w:val="both"/>
        <w:rPr>
          <w:color w:val="000000"/>
        </w:rPr>
      </w:pPr>
      <w:r>
        <w:rPr>
          <w:color w:val="000000"/>
        </w:rPr>
        <w:t>Рис. 8</w:t>
      </w:r>
      <w:r w:rsidR="00C60FE7">
        <w:rPr>
          <w:color w:val="000000"/>
        </w:rPr>
        <w:t>3</w:t>
      </w:r>
      <w:r w:rsidR="009478DB" w:rsidRPr="00A81F9F">
        <w:rPr>
          <w:color w:val="000000"/>
        </w:rPr>
        <w:t xml:space="preserve">. Максимум электрической нагрузки в Московском регионе в период 2000-2010 гг., с прогнозом по различным сценариям до </w:t>
      </w:r>
      <w:smartTag w:uri="urn:schemas-microsoft-com:office:smarttags" w:element="metricconverter">
        <w:smartTagPr>
          <w:attr w:name="ProductID" w:val="2020 г"/>
        </w:smartTagPr>
        <w:r w:rsidR="009478DB" w:rsidRPr="00A81F9F">
          <w:rPr>
            <w:color w:val="000000"/>
          </w:rPr>
          <w:t>2020 г</w:t>
        </w:r>
      </w:smartTag>
      <w:r w:rsidR="009478DB" w:rsidRPr="00A81F9F">
        <w:rPr>
          <w:color w:val="000000"/>
        </w:rPr>
        <w:t>. при температуре наружного возд</w:t>
      </w:r>
      <w:r w:rsidR="00220A58">
        <w:rPr>
          <w:color w:val="000000"/>
        </w:rPr>
        <w:t>уха -28</w:t>
      </w:r>
      <w:r w:rsidR="00220A58">
        <w:rPr>
          <w:rFonts w:ascii="Calibri" w:hAnsi="Calibri" w:cs="Calibri"/>
          <w:color w:val="000000"/>
        </w:rPr>
        <w:t>°</w:t>
      </w:r>
      <w:r w:rsidR="00220A58">
        <w:rPr>
          <w:color w:val="000000"/>
        </w:rPr>
        <w:t xml:space="preserve">С </w:t>
      </w:r>
      <w:r w:rsidR="00E04640">
        <w:rPr>
          <w:color w:val="000000"/>
        </w:rPr>
        <w:t>(на 1ГВт максимальной электрической нагрузки приходится 5,32млрд.кВт.ч. электропотребления)</w:t>
      </w:r>
    </w:p>
    <w:p w:rsidR="00C60FE7" w:rsidRDefault="00C60FE7" w:rsidP="00C60FE7">
      <w:pPr>
        <w:pStyle w:val="af1"/>
        <w:shd w:val="clear" w:color="auto" w:fill="FFFFFF"/>
        <w:spacing w:before="0" w:beforeAutospacing="0" w:after="0" w:afterAutospacing="0"/>
        <w:ind w:firstLine="720"/>
        <w:rPr>
          <w:color w:val="000000"/>
        </w:rPr>
      </w:pPr>
    </w:p>
    <w:p w:rsidR="00220A58" w:rsidRDefault="00220A58" w:rsidP="00C60FE7">
      <w:pPr>
        <w:pStyle w:val="af1"/>
        <w:shd w:val="clear" w:color="auto" w:fill="FFFFFF"/>
        <w:spacing w:before="0" w:beforeAutospacing="0" w:after="0" w:afterAutospacing="0"/>
        <w:ind w:firstLine="720"/>
        <w:jc w:val="both"/>
        <w:rPr>
          <w:color w:val="000000"/>
        </w:rPr>
      </w:pPr>
      <w:r>
        <w:rPr>
          <w:color w:val="000000"/>
        </w:rPr>
        <w:t xml:space="preserve">Видно, что в 2020г. для наиболее вероятного сценария электропотребления в Московском регионе, который </w:t>
      </w:r>
      <w:r w:rsidR="00106F7F">
        <w:rPr>
          <w:color w:val="000000"/>
        </w:rPr>
        <w:t>находит</w:t>
      </w:r>
      <w:r>
        <w:rPr>
          <w:color w:val="000000"/>
        </w:rPr>
        <w:t>ся между консервативно-оптимистичным  и консервативным базовым, соответственно, максимальная электрическая нагрузка находится между 21,0 ГВт и 21,5 ГВт. У всех остальных сценариев, максимум электрической нагрузки выше консервативно-оптимистичного на 4</w:t>
      </w:r>
      <w:r w:rsidR="00910A69">
        <w:rPr>
          <w:color w:val="000000"/>
        </w:rPr>
        <w:t>,5</w:t>
      </w:r>
      <w:r>
        <w:rPr>
          <w:color w:val="000000"/>
        </w:rPr>
        <w:t>, 2,</w:t>
      </w:r>
      <w:r w:rsidR="00910A69">
        <w:rPr>
          <w:color w:val="000000"/>
        </w:rPr>
        <w:t>5</w:t>
      </w:r>
      <w:r>
        <w:rPr>
          <w:color w:val="000000"/>
        </w:rPr>
        <w:t xml:space="preserve">, </w:t>
      </w:r>
      <w:r w:rsidR="00910A69">
        <w:rPr>
          <w:color w:val="000000"/>
        </w:rPr>
        <w:t>1,8</w:t>
      </w:r>
      <w:r>
        <w:rPr>
          <w:color w:val="000000"/>
        </w:rPr>
        <w:t xml:space="preserve"> и 1,</w:t>
      </w:r>
      <w:r w:rsidR="00910A69">
        <w:rPr>
          <w:color w:val="000000"/>
        </w:rPr>
        <w:t>3</w:t>
      </w:r>
      <w:r>
        <w:rPr>
          <w:color w:val="000000"/>
        </w:rPr>
        <w:t xml:space="preserve"> ГВт, соответственно.</w:t>
      </w:r>
    </w:p>
    <w:p w:rsidR="00106F7F" w:rsidRDefault="00D474C7" w:rsidP="00106F7F">
      <w:pPr>
        <w:pStyle w:val="af1"/>
        <w:shd w:val="clear" w:color="auto" w:fill="FFFFFF"/>
        <w:spacing w:before="0" w:beforeAutospacing="0" w:after="0" w:afterAutospacing="0"/>
        <w:ind w:firstLine="720"/>
        <w:jc w:val="both"/>
        <w:rPr>
          <w:color w:val="000000"/>
        </w:rPr>
      </w:pPr>
      <w:r>
        <w:rPr>
          <w:color w:val="000000"/>
        </w:rPr>
        <w:t>В 2</w:t>
      </w:r>
      <w:r w:rsidR="00106F7F">
        <w:rPr>
          <w:color w:val="000000"/>
        </w:rPr>
        <w:t>012г. установленная мощность в М</w:t>
      </w:r>
      <w:r>
        <w:rPr>
          <w:color w:val="000000"/>
        </w:rPr>
        <w:t xml:space="preserve">осковской энергосистеме составляла </w:t>
      </w:r>
      <w:r w:rsidRPr="00106F7F">
        <w:rPr>
          <w:b/>
          <w:color w:val="000000"/>
        </w:rPr>
        <w:t>17,2ГВт.</w:t>
      </w:r>
      <w:r>
        <w:rPr>
          <w:color w:val="000000"/>
        </w:rPr>
        <w:t xml:space="preserve"> </w:t>
      </w:r>
      <w:r w:rsidR="005F3E64">
        <w:rPr>
          <w:color w:val="000000"/>
        </w:rPr>
        <w:t>Тогда для консервативно-оптимистичного сценария электропотребления (наиболее вероятного)</w:t>
      </w:r>
      <w:r w:rsidR="00C979CE" w:rsidRPr="00C979CE">
        <w:rPr>
          <w:color w:val="000000"/>
        </w:rPr>
        <w:t xml:space="preserve"> </w:t>
      </w:r>
      <w:r w:rsidR="00C979CE">
        <w:rPr>
          <w:color w:val="000000"/>
        </w:rPr>
        <w:t>дефицит мощности</w:t>
      </w:r>
      <w:r w:rsidR="005F3E64">
        <w:rPr>
          <w:color w:val="000000"/>
        </w:rPr>
        <w:t xml:space="preserve"> для стандартных условий составит</w:t>
      </w:r>
      <w:r w:rsidR="00106F7F">
        <w:rPr>
          <w:color w:val="000000"/>
        </w:rPr>
        <w:t xml:space="preserve"> всего</w:t>
      </w:r>
      <w:r w:rsidR="005F3E64">
        <w:rPr>
          <w:color w:val="000000"/>
        </w:rPr>
        <w:t xml:space="preserve"> </w:t>
      </w:r>
    </w:p>
    <w:p w:rsidR="00306E00" w:rsidRDefault="005F3E64" w:rsidP="00106F7F">
      <w:pPr>
        <w:pStyle w:val="af1"/>
        <w:shd w:val="clear" w:color="auto" w:fill="FFFFFF"/>
        <w:spacing w:before="0" w:beforeAutospacing="0" w:after="0" w:afterAutospacing="0"/>
        <w:jc w:val="both"/>
        <w:rPr>
          <w:color w:val="000000"/>
        </w:rPr>
      </w:pPr>
      <w:r>
        <w:rPr>
          <w:color w:val="000000"/>
        </w:rPr>
        <w:t>20</w:t>
      </w:r>
      <w:r w:rsidR="00C979CE">
        <w:rPr>
          <w:color w:val="000000"/>
        </w:rPr>
        <w:t>ГВт</w:t>
      </w:r>
      <w:r>
        <w:rPr>
          <w:color w:val="000000"/>
        </w:rPr>
        <w:t xml:space="preserve"> - 17,2</w:t>
      </w:r>
      <w:r w:rsidR="00C979CE">
        <w:rPr>
          <w:color w:val="000000"/>
        </w:rPr>
        <w:t>ГВт</w:t>
      </w:r>
      <w:r>
        <w:rPr>
          <w:color w:val="000000"/>
        </w:rPr>
        <w:t>=</w:t>
      </w:r>
      <w:r w:rsidRPr="00AD0255">
        <w:rPr>
          <w:b/>
          <w:color w:val="000000"/>
        </w:rPr>
        <w:t>2,8ГВт</w:t>
      </w:r>
      <w:r>
        <w:rPr>
          <w:color w:val="000000"/>
        </w:rPr>
        <w:t xml:space="preserve">, а </w:t>
      </w:r>
      <w:r w:rsidR="00C979CE">
        <w:rPr>
          <w:color w:val="000000"/>
        </w:rPr>
        <w:t>для условий, когда</w:t>
      </w:r>
      <w:r>
        <w:rPr>
          <w:color w:val="000000"/>
        </w:rPr>
        <w:t xml:space="preserve"> температур</w:t>
      </w:r>
      <w:r w:rsidR="00C979CE">
        <w:rPr>
          <w:color w:val="000000"/>
        </w:rPr>
        <w:t>а</w:t>
      </w:r>
      <w:r>
        <w:rPr>
          <w:color w:val="000000"/>
        </w:rPr>
        <w:t xml:space="preserve"> наружного воздуха -28</w:t>
      </w:r>
      <w:r>
        <w:rPr>
          <w:rFonts w:ascii="Calibri" w:hAnsi="Calibri" w:cs="Calibri"/>
          <w:color w:val="000000"/>
        </w:rPr>
        <w:t>°</w:t>
      </w:r>
      <w:r>
        <w:rPr>
          <w:color w:val="000000"/>
        </w:rPr>
        <w:t>С</w:t>
      </w:r>
      <w:r w:rsidR="00C979CE">
        <w:rPr>
          <w:color w:val="000000"/>
        </w:rPr>
        <w:t xml:space="preserve">, </w:t>
      </w:r>
      <w:r>
        <w:rPr>
          <w:color w:val="000000"/>
        </w:rPr>
        <w:t>21,5</w:t>
      </w:r>
      <w:r w:rsidR="00C979CE">
        <w:rPr>
          <w:color w:val="000000"/>
        </w:rPr>
        <w:t>ГВт</w:t>
      </w:r>
      <w:r>
        <w:rPr>
          <w:color w:val="000000"/>
        </w:rPr>
        <w:t xml:space="preserve"> - 17,2</w:t>
      </w:r>
      <w:r w:rsidR="00C979CE">
        <w:rPr>
          <w:color w:val="000000"/>
        </w:rPr>
        <w:t>ГВт</w:t>
      </w:r>
      <w:r>
        <w:rPr>
          <w:color w:val="000000"/>
        </w:rPr>
        <w:t>=</w:t>
      </w:r>
      <w:r w:rsidRPr="00AD0255">
        <w:rPr>
          <w:b/>
          <w:color w:val="000000"/>
        </w:rPr>
        <w:t>4,3ГВт</w:t>
      </w:r>
      <w:r>
        <w:rPr>
          <w:color w:val="000000"/>
        </w:rPr>
        <w:t>.</w:t>
      </w:r>
      <w:r w:rsidR="00C979CE">
        <w:rPr>
          <w:color w:val="000000"/>
        </w:rPr>
        <w:t xml:space="preserve"> Что существенно ниже</w:t>
      </w:r>
      <w:r w:rsidR="00FA47AA">
        <w:rPr>
          <w:color w:val="000000"/>
        </w:rPr>
        <w:t xml:space="preserve"> </w:t>
      </w:r>
      <w:r w:rsidR="00FA47AA" w:rsidRPr="00FA47AA">
        <w:rPr>
          <w:b/>
          <w:color w:val="000000"/>
        </w:rPr>
        <w:t>5,2 ГВт</w:t>
      </w:r>
      <w:r w:rsidR="00FA47AA">
        <w:rPr>
          <w:color w:val="000000"/>
        </w:rPr>
        <w:t xml:space="preserve"> и </w:t>
      </w:r>
      <w:r w:rsidR="00FA47AA" w:rsidRPr="00FA47AA">
        <w:rPr>
          <w:b/>
          <w:color w:val="000000"/>
        </w:rPr>
        <w:t>6,8 ГВт</w:t>
      </w:r>
      <w:r w:rsidR="00FA47AA">
        <w:rPr>
          <w:color w:val="000000"/>
        </w:rPr>
        <w:t>, соответственно, как это прогнозируется для базового сценария</w:t>
      </w:r>
      <w:r w:rsidR="009478DB" w:rsidRPr="00A81F9F">
        <w:rPr>
          <w:color w:val="000000"/>
        </w:rPr>
        <w:t xml:space="preserve"> в статье Шульгин</w:t>
      </w:r>
      <w:r w:rsidR="00F3752E">
        <w:rPr>
          <w:color w:val="000000"/>
        </w:rPr>
        <w:t>ова</w:t>
      </w:r>
      <w:r w:rsidR="009478DB" w:rsidRPr="00A81F9F">
        <w:rPr>
          <w:color w:val="000000"/>
        </w:rPr>
        <w:t xml:space="preserve"> Н.</w:t>
      </w:r>
      <w:r w:rsidR="009A22DD">
        <w:rPr>
          <w:color w:val="000000"/>
        </w:rPr>
        <w:t>И.</w:t>
      </w:r>
      <w:r w:rsidR="009478DB" w:rsidRPr="00A81F9F">
        <w:rPr>
          <w:color w:val="000000"/>
        </w:rPr>
        <w:t xml:space="preserve"> и др. Отсюда </w:t>
      </w:r>
      <w:r w:rsidR="009478DB" w:rsidRPr="00A81F9F">
        <w:rPr>
          <w:b/>
          <w:bCs/>
          <w:color w:val="000000"/>
        </w:rPr>
        <w:t>снимается</w:t>
      </w:r>
      <w:r w:rsidR="009478DB" w:rsidRPr="00A81F9F">
        <w:rPr>
          <w:color w:val="000000"/>
        </w:rPr>
        <w:t xml:space="preserve"> вопрос о сооружении в Московском регионе Петровской ГРЭС, как минимум, до 2020г.</w:t>
      </w:r>
    </w:p>
    <w:p w:rsidR="007B0C01" w:rsidRDefault="00A3118A" w:rsidP="00306E00">
      <w:pPr>
        <w:pStyle w:val="af1"/>
        <w:shd w:val="clear" w:color="auto" w:fill="FFFFFF"/>
        <w:spacing w:before="0" w:beforeAutospacing="0" w:after="0" w:afterAutospacing="0"/>
        <w:ind w:firstLine="720"/>
        <w:jc w:val="both"/>
        <w:rPr>
          <w:color w:val="000000"/>
        </w:rPr>
      </w:pPr>
      <w:r>
        <w:rPr>
          <w:color w:val="000000"/>
        </w:rPr>
        <w:t>В обсуждаемой статье Шульгинова Н.И. и др. рассмотрены также</w:t>
      </w:r>
      <w:r w:rsidR="009478DB" w:rsidRPr="00A81F9F">
        <w:rPr>
          <w:color w:val="000000"/>
        </w:rPr>
        <w:t xml:space="preserve"> принципы по развитию высоковольтных электрических сетей Московского региона, </w:t>
      </w:r>
      <w:r>
        <w:rPr>
          <w:color w:val="000000"/>
        </w:rPr>
        <w:t>которые можно считать</w:t>
      </w:r>
      <w:r w:rsidR="009478DB" w:rsidRPr="00A81F9F">
        <w:rPr>
          <w:color w:val="000000"/>
        </w:rPr>
        <w:t xml:space="preserve">, </w:t>
      </w:r>
      <w:r w:rsidR="009478DB" w:rsidRPr="00A81F9F">
        <w:rPr>
          <w:b/>
          <w:bCs/>
          <w:color w:val="000000"/>
        </w:rPr>
        <w:t>вполне приемлемы</w:t>
      </w:r>
      <w:r>
        <w:rPr>
          <w:b/>
          <w:bCs/>
          <w:color w:val="000000"/>
        </w:rPr>
        <w:t>ми</w:t>
      </w:r>
      <w:r w:rsidR="00AD0255">
        <w:rPr>
          <w:color w:val="000000"/>
        </w:rPr>
        <w:t>. Здесь уместно их привести:</w:t>
      </w:r>
      <w:r w:rsidR="009478DB" w:rsidRPr="00A81F9F">
        <w:rPr>
          <w:color w:val="000000"/>
        </w:rPr>
        <w:br/>
        <w:t>• формирование перспективной схемы электрической сети Московской энергосистемы по принципу «N-1», исключение использования ПА при отключении одного электросетевого элемента;</w:t>
      </w:r>
      <w:r w:rsidR="009478DB" w:rsidRPr="00A81F9F">
        <w:rPr>
          <w:color w:val="000000"/>
        </w:rPr>
        <w:br/>
        <w:t>• покрытие дефицита мощности и энергии Московской энергосистемы за счёт сооружения новых генерирующих источников в Московском регионе (ТЭС на газе и угле, ГАЭС) в комплексе с осуществлением внешнего электроснабжения от электростанций (АЭС, ТЭС) ОЭС Центра по ЛЭП высокого напряжения и технического перевооружения действующих электростанций;</w:t>
      </w:r>
      <w:r w:rsidR="009478DB" w:rsidRPr="00A81F9F">
        <w:rPr>
          <w:color w:val="000000"/>
        </w:rPr>
        <w:br/>
        <w:t>• техническое перевооружение электрических сетей — повышение пропускной способности, в том числе путём перевода ВЛ и ПС на более высокий класс напряжения;</w:t>
      </w:r>
      <w:r w:rsidR="009478DB" w:rsidRPr="00A81F9F">
        <w:rPr>
          <w:color w:val="000000"/>
        </w:rPr>
        <w:br/>
        <w:t>• широкое использование кабельных сетей высокой пропускной способности и закрытых ПС с применением в РУ высшего напряжения элегазового оборудования в городских районах массовой застройки;</w:t>
      </w:r>
    </w:p>
    <w:p w:rsidR="007B0C01" w:rsidRDefault="009478DB" w:rsidP="007B0C01">
      <w:pPr>
        <w:pStyle w:val="af1"/>
        <w:shd w:val="clear" w:color="auto" w:fill="FFFFFF"/>
        <w:spacing w:before="0" w:beforeAutospacing="0" w:after="0" w:afterAutospacing="0"/>
        <w:jc w:val="both"/>
        <w:rPr>
          <w:color w:val="000000"/>
        </w:rPr>
      </w:pPr>
      <w:r w:rsidRPr="00A81F9F">
        <w:rPr>
          <w:color w:val="000000"/>
        </w:rPr>
        <w:t>• проведение реконструкции ПС 500—110 кВ открытого типа и ВЛ, проходящих в черте города, — сооружение на месте существующих ПС по новейшим технологиям ПС закрытого типа той же мощности либо расширяемых. Реконструкция ВЛ путём перевода их в кабельные линии;</w:t>
      </w:r>
    </w:p>
    <w:p w:rsidR="007B0C01" w:rsidRDefault="009478DB" w:rsidP="007B0C01">
      <w:pPr>
        <w:pStyle w:val="af1"/>
        <w:shd w:val="clear" w:color="auto" w:fill="FFFFFF"/>
        <w:spacing w:before="0" w:beforeAutospacing="0" w:after="0" w:afterAutospacing="0"/>
        <w:jc w:val="both"/>
        <w:rPr>
          <w:color w:val="000000"/>
        </w:rPr>
      </w:pPr>
      <w:r w:rsidRPr="00A81F9F">
        <w:rPr>
          <w:color w:val="000000"/>
        </w:rPr>
        <w:t>• отказ от развития электрических сетей напряжением 110 кВ как системообразующих. Электрические сети данных напряжений будут поддерживаться в рабочем состоянии там, где невозможен их перевод на напряжение 220 кВ;</w:t>
      </w:r>
    </w:p>
    <w:p w:rsidR="007B0C01" w:rsidRDefault="009478DB" w:rsidP="007B0C01">
      <w:pPr>
        <w:pStyle w:val="af1"/>
        <w:shd w:val="clear" w:color="auto" w:fill="FFFFFF"/>
        <w:spacing w:before="0" w:beforeAutospacing="0" w:after="0" w:afterAutospacing="0"/>
        <w:jc w:val="both"/>
        <w:rPr>
          <w:color w:val="000000"/>
        </w:rPr>
      </w:pPr>
      <w:r w:rsidRPr="00A81F9F">
        <w:rPr>
          <w:color w:val="000000"/>
        </w:rPr>
        <w:t>• применение новых технологий и оборудования при управлении потокораспределением, уровнями напряжения;</w:t>
      </w:r>
    </w:p>
    <w:p w:rsidR="009478DB" w:rsidRPr="00306E00" w:rsidRDefault="009478DB" w:rsidP="00306E00">
      <w:pPr>
        <w:pStyle w:val="af1"/>
        <w:shd w:val="clear" w:color="auto" w:fill="FFFFFF"/>
        <w:spacing w:before="0" w:beforeAutospacing="0" w:after="0" w:afterAutospacing="0"/>
        <w:jc w:val="both"/>
        <w:rPr>
          <w:rStyle w:val="40"/>
          <w:b w:val="0"/>
          <w:bCs w:val="0"/>
          <w:color w:val="000000"/>
          <w:sz w:val="24"/>
          <w:szCs w:val="24"/>
        </w:rPr>
      </w:pPr>
      <w:r w:rsidRPr="00A81F9F">
        <w:rPr>
          <w:color w:val="000000"/>
        </w:rPr>
        <w:t>• применение новых технологий и оборудования, ограничивающего токи КЗ.</w:t>
      </w:r>
      <w:bookmarkStart w:id="87" w:name="_Toc342656902"/>
    </w:p>
    <w:p w:rsidR="009478DB" w:rsidRPr="00A81F9F" w:rsidRDefault="009478DB" w:rsidP="00726B9F">
      <w:pPr>
        <w:pStyle w:val="3"/>
        <w:ind w:firstLine="720"/>
      </w:pPr>
      <w:bookmarkStart w:id="88" w:name="_Toc370759797"/>
      <w:bookmarkStart w:id="89" w:name="_Toc374557803"/>
      <w:bookmarkEnd w:id="87"/>
      <w:r w:rsidRPr="00A81F9F">
        <w:t>9.5. Электроснабжение новых потребителей в зоне расширения г. Москвы.</w:t>
      </w:r>
      <w:bookmarkEnd w:id="88"/>
      <w:bookmarkEnd w:id="89"/>
      <w:r w:rsidRPr="00A81F9F">
        <w:rPr>
          <w:color w:val="000000"/>
        </w:rPr>
        <w:br/>
      </w:r>
    </w:p>
    <w:p w:rsidR="009478DB" w:rsidRPr="00A81F9F" w:rsidRDefault="009478DB" w:rsidP="0063374C">
      <w:pPr>
        <w:ind w:firstLine="709"/>
        <w:jc w:val="both"/>
        <w:rPr>
          <w:bCs/>
        </w:rPr>
      </w:pPr>
      <w:r w:rsidRPr="00A81F9F">
        <w:rPr>
          <w:bCs/>
        </w:rPr>
        <w:t xml:space="preserve">Современная Москва при 11 млн. населения занимает около 1,1 тыс. кв.км территорий (110 тыс. гектаров), что в 25 раз меньше других крупных городов мира. </w:t>
      </w:r>
    </w:p>
    <w:p w:rsidR="009478DB" w:rsidRPr="00A81F9F" w:rsidRDefault="009478DB" w:rsidP="0063374C">
      <w:pPr>
        <w:ind w:firstLine="709"/>
        <w:jc w:val="both"/>
        <w:rPr>
          <w:bCs/>
        </w:rPr>
      </w:pPr>
      <w:r w:rsidRPr="00A81F9F">
        <w:rPr>
          <w:bCs/>
        </w:rPr>
        <w:t>П</w:t>
      </w:r>
      <w:hyperlink r:id="rId103" w:tooltip="Плотность населения" w:history="1">
        <w:r w:rsidRPr="00A81F9F">
          <w:rPr>
            <w:bCs/>
          </w:rPr>
          <w:t>лотность населения</w:t>
        </w:r>
      </w:hyperlink>
      <w:r w:rsidRPr="00A81F9F">
        <w:rPr>
          <w:bCs/>
        </w:rPr>
        <w:t xml:space="preserve"> в Москве (свыше 10,5 тыс.чел./км²) является одной из самых высоких в мире. Разница в данном показателе с </w:t>
      </w:r>
      <w:hyperlink r:id="rId104" w:tooltip="Санкт-Петербург" w:history="1">
        <w:r w:rsidRPr="00A81F9F">
          <w:rPr>
            <w:bCs/>
          </w:rPr>
          <w:t>Санкт-Петербургом</w:t>
        </w:r>
      </w:hyperlink>
      <w:r w:rsidRPr="00A81F9F">
        <w:rPr>
          <w:bCs/>
        </w:rPr>
        <w:t xml:space="preserve"> составляет более чем в 2,5 раза (3,4 тыс.чел./км² в </w:t>
      </w:r>
      <w:smartTag w:uri="urn:schemas-microsoft-com:office:smarttags" w:element="metricconverter">
        <w:smartTagPr>
          <w:attr w:name="ProductID" w:val="2011 г"/>
        </w:smartTagPr>
        <w:r w:rsidRPr="00A81F9F">
          <w:rPr>
            <w:bCs/>
          </w:rPr>
          <w:t>2011 г</w:t>
        </w:r>
      </w:smartTag>
      <w:r w:rsidRPr="00A81F9F">
        <w:rPr>
          <w:bCs/>
        </w:rPr>
        <w:t>.).</w:t>
      </w:r>
    </w:p>
    <w:p w:rsidR="009478DB" w:rsidRPr="00A81F9F" w:rsidRDefault="009478DB" w:rsidP="0063374C">
      <w:pPr>
        <w:autoSpaceDE w:val="0"/>
        <w:autoSpaceDN w:val="0"/>
        <w:adjustRightInd w:val="0"/>
        <w:ind w:firstLine="709"/>
        <w:jc w:val="both"/>
      </w:pPr>
      <w:r w:rsidRPr="00A81F9F">
        <w:rPr>
          <w:bCs/>
        </w:rPr>
        <w:t>Территория города Москвы будет расширена в 2,39 раза на 148 тысяч гектаров.</w:t>
      </w:r>
      <w:r w:rsidRPr="00A81F9F">
        <w:t xml:space="preserve"> </w:t>
      </w:r>
    </w:p>
    <w:p w:rsidR="009478DB" w:rsidRPr="00A81F9F" w:rsidRDefault="009478DB" w:rsidP="0063374C">
      <w:pPr>
        <w:ind w:firstLine="709"/>
        <w:jc w:val="both"/>
      </w:pPr>
      <w:r w:rsidRPr="00A81F9F">
        <w:rPr>
          <w:color w:val="000000"/>
        </w:rPr>
        <w:t>На присоедин</w:t>
      </w:r>
      <w:r w:rsidRPr="00A81F9F">
        <w:t xml:space="preserve">яемой к г. Москва территории в настоящее время постоянно проживают 250 тыс.человек. Карта г. Москвы в новых границах приведена </w:t>
      </w:r>
      <w:r w:rsidR="00244129">
        <w:t>на рис.</w:t>
      </w:r>
      <w:r w:rsidRPr="00A81F9F">
        <w:t xml:space="preserve"> </w:t>
      </w:r>
      <w:r w:rsidR="005441BB">
        <w:t>67</w:t>
      </w:r>
      <w:r w:rsidRPr="00A81F9F">
        <w:t>.</w:t>
      </w:r>
    </w:p>
    <w:p w:rsidR="009478DB" w:rsidRPr="00A81F9F" w:rsidRDefault="009478DB" w:rsidP="0063374C">
      <w:pPr>
        <w:ind w:firstLine="709"/>
        <w:jc w:val="both"/>
      </w:pPr>
      <w:r w:rsidRPr="00A81F9F">
        <w:t xml:space="preserve">Более 40 тыс. гектар присоединяемой к Москве территории планируется отдать под строительство - административное, деловое, строительство образовательных учреждений и жилья. Потенциал строительства объектов на новой территории площадью 105 млн. кв. м, включая 60 млн. кв. м жилья. </w:t>
      </w:r>
    </w:p>
    <w:p w:rsidR="009478DB" w:rsidRPr="00A81F9F" w:rsidRDefault="009478DB" w:rsidP="0063374C">
      <w:pPr>
        <w:ind w:firstLine="709"/>
        <w:jc w:val="both"/>
      </w:pPr>
    </w:p>
    <w:p w:rsidR="009478DB" w:rsidRPr="00A81F9F" w:rsidRDefault="007C1ADE" w:rsidP="008D7DF3">
      <w:pPr>
        <w:jc w:val="both"/>
      </w:pPr>
      <w:r>
        <w:rPr>
          <w:noProof/>
        </w:rPr>
        <w:drawing>
          <wp:inline distT="0" distB="0" distL="0" distR="0">
            <wp:extent cx="5562600" cy="7724775"/>
            <wp:effectExtent l="38100" t="19050" r="19050" b="28575"/>
            <wp:docPr id="90" name="Рисунок 90" descr="http://s.mos.ru/common/upload/borders_moscow%5b1%5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mos.ru/common/upload/borders_moscow%5b1%5d.gif"/>
                    <pic:cNvPicPr>
                      <a:picLocks noChangeAspect="1" noChangeArrowheads="1"/>
                    </pic:cNvPicPr>
                  </pic:nvPicPr>
                  <pic:blipFill>
                    <a:blip r:embed="rId105" cstate="print"/>
                    <a:srcRect/>
                    <a:stretch>
                      <a:fillRect/>
                    </a:stretch>
                  </pic:blipFill>
                  <pic:spPr bwMode="auto">
                    <a:xfrm>
                      <a:off x="0" y="0"/>
                      <a:ext cx="5562600" cy="7724775"/>
                    </a:xfrm>
                    <a:prstGeom prst="rect">
                      <a:avLst/>
                    </a:prstGeom>
                    <a:noFill/>
                    <a:ln w="6350" cmpd="sng">
                      <a:solidFill>
                        <a:srgbClr val="000000"/>
                      </a:solidFill>
                      <a:miter lim="800000"/>
                      <a:headEnd/>
                      <a:tailEnd/>
                    </a:ln>
                    <a:effectLst/>
                  </pic:spPr>
                </pic:pic>
              </a:graphicData>
            </a:graphic>
          </wp:inline>
        </w:drawing>
      </w:r>
    </w:p>
    <w:p w:rsidR="009478DB" w:rsidRPr="00A81F9F" w:rsidRDefault="009478DB" w:rsidP="0063374C">
      <w:pPr>
        <w:ind w:firstLine="709"/>
        <w:jc w:val="both"/>
      </w:pPr>
    </w:p>
    <w:p w:rsidR="009478DB" w:rsidRPr="00A81F9F" w:rsidRDefault="009478DB" w:rsidP="00306E00">
      <w:pPr>
        <w:ind w:firstLine="709"/>
        <w:jc w:val="both"/>
      </w:pPr>
      <w:r w:rsidRPr="00A81F9F">
        <w:t>Рис</w:t>
      </w:r>
      <w:r w:rsidR="005441BB">
        <w:t>.</w:t>
      </w:r>
      <w:r w:rsidRPr="00A81F9F">
        <w:t xml:space="preserve"> </w:t>
      </w:r>
      <w:r w:rsidR="00306E00">
        <w:t>84</w:t>
      </w:r>
      <w:r w:rsidRPr="00A81F9F">
        <w:t>. Карта г.Москвы в новых границах.</w:t>
      </w:r>
    </w:p>
    <w:p w:rsidR="009478DB" w:rsidRPr="00A81F9F" w:rsidRDefault="009478DB" w:rsidP="0063374C">
      <w:pPr>
        <w:jc w:val="both"/>
        <w:rPr>
          <w:b/>
        </w:rPr>
      </w:pPr>
    </w:p>
    <w:p w:rsidR="009478DB" w:rsidRPr="00A81F9F" w:rsidRDefault="009478DB" w:rsidP="0063374C">
      <w:pPr>
        <w:jc w:val="both"/>
        <w:rPr>
          <w:b/>
        </w:rPr>
      </w:pPr>
    </w:p>
    <w:p w:rsidR="009478DB" w:rsidRPr="00A81F9F" w:rsidRDefault="009478DB" w:rsidP="0063374C">
      <w:pPr>
        <w:jc w:val="both"/>
        <w:rPr>
          <w:b/>
        </w:rPr>
      </w:pPr>
    </w:p>
    <w:p w:rsidR="009478DB" w:rsidRPr="00A81F9F" w:rsidRDefault="009478DB" w:rsidP="0063374C">
      <w:pPr>
        <w:jc w:val="both"/>
        <w:rPr>
          <w:b/>
        </w:rPr>
      </w:pPr>
    </w:p>
    <w:p w:rsidR="009478DB" w:rsidRPr="00A81F9F" w:rsidRDefault="009478DB" w:rsidP="0063374C">
      <w:pPr>
        <w:jc w:val="both"/>
        <w:rPr>
          <w:b/>
        </w:rPr>
      </w:pPr>
    </w:p>
    <w:p w:rsidR="009478DB" w:rsidRPr="00A81F9F" w:rsidRDefault="009478DB" w:rsidP="00306E00">
      <w:pPr>
        <w:pStyle w:val="3"/>
        <w:ind w:firstLine="851"/>
      </w:pPr>
      <w:bookmarkStart w:id="90" w:name="_Toc370759798"/>
      <w:bookmarkStart w:id="91" w:name="_Toc374557804"/>
      <w:r w:rsidRPr="00A81F9F">
        <w:t>9.</w:t>
      </w:r>
      <w:r w:rsidR="000028D0">
        <w:t>6</w:t>
      </w:r>
      <w:r w:rsidRPr="00A81F9F">
        <w:t>. Анализ экспертной оценки перспективного спроса на электрическую энергию и уровня потребления мощности по г.Москве с учетом расширения границ города, рассмотренной в программе Минэнерго 2012г.</w:t>
      </w:r>
      <w:bookmarkEnd w:id="90"/>
      <w:bookmarkEnd w:id="91"/>
    </w:p>
    <w:p w:rsidR="009478DB" w:rsidRPr="00A81F9F" w:rsidRDefault="009478DB" w:rsidP="0063374C">
      <w:pPr>
        <w:jc w:val="both"/>
      </w:pPr>
    </w:p>
    <w:p w:rsidR="009478DB" w:rsidRPr="00A81F9F" w:rsidRDefault="009478DB" w:rsidP="0063374C">
      <w:pPr>
        <w:ind w:firstLine="709"/>
        <w:jc w:val="both"/>
      </w:pPr>
      <w:r w:rsidRPr="00A81F9F">
        <w:t xml:space="preserve">В программе Минэнерго - </w:t>
      </w:r>
      <w:smartTag w:uri="urn:schemas-microsoft-com:office:smarttags" w:element="metricconverter">
        <w:smartTagPr>
          <w:attr w:name="ProductID" w:val="2012 г"/>
        </w:smartTagPr>
        <w:r w:rsidRPr="00A81F9F">
          <w:t>2012 г</w:t>
        </w:r>
      </w:smartTag>
      <w:r w:rsidRPr="00A81F9F">
        <w:t xml:space="preserve">. дополнительная потребность в электроэнергии (предварительно)  основывается на следующих предположениях: прирост численности населения в размере 2 млн.чел. и строительство новых площадей в объеме 105 млн.кв.м, в том числе </w:t>
      </w:r>
      <w:r w:rsidRPr="00A81F9F">
        <w:rPr>
          <w:rStyle w:val="af5"/>
          <w:rFonts w:eastAsia="Calibri"/>
          <w:sz w:val="30"/>
        </w:rPr>
        <w:t>60 млн.кв.м</w:t>
      </w:r>
      <w:r w:rsidRPr="00A81F9F">
        <w:t xml:space="preserve"> - на жилищное строительство и 45 – на общественно-деловые здания (для справки – общий объем жилищного фонда в г. Москве равнялся </w:t>
      </w:r>
      <w:r w:rsidRPr="00A81F9F">
        <w:rPr>
          <w:rStyle w:val="af5"/>
          <w:rFonts w:eastAsia="Calibri"/>
          <w:sz w:val="30"/>
        </w:rPr>
        <w:t xml:space="preserve">216 млн.кв.м. </w:t>
      </w:r>
      <w:r w:rsidRPr="00A81F9F">
        <w:t xml:space="preserve">в </w:t>
      </w:r>
      <w:smartTag w:uri="urn:schemas-microsoft-com:office:smarttags" w:element="metricconverter">
        <w:smartTagPr>
          <w:attr w:name="ProductID" w:val="2010 г"/>
        </w:smartTagPr>
        <w:r w:rsidRPr="00A81F9F">
          <w:t>2010 г</w:t>
        </w:r>
      </w:smartTag>
      <w:r w:rsidRPr="00A81F9F">
        <w:rPr>
          <w:rStyle w:val="af5"/>
          <w:rFonts w:eastAsia="Calibri"/>
          <w:sz w:val="30"/>
        </w:rPr>
        <w:t xml:space="preserve">., </w:t>
      </w:r>
      <w:r w:rsidRPr="00A81F9F">
        <w:t xml:space="preserve">т.е. предполагается, что на новых территориях будет построено почти 30% общего объема уже имеющегося жилья г. Москвы). Планируется, что в основном новое жилье будет представлено в виде малоэтажной застройки – коттеджей, таунхаусов. А во вновь построенных общественно-деловые зданиях предполагается размещение федеральных органов государственной власти, органов власти города Москвы, объектов международного финансового центра, научно-образовательных, инновационных и промышленных кластеров. </w:t>
      </w:r>
    </w:p>
    <w:p w:rsidR="009478DB" w:rsidRPr="00A81F9F" w:rsidRDefault="009478DB" w:rsidP="0063374C">
      <w:pPr>
        <w:ind w:firstLine="709"/>
        <w:jc w:val="both"/>
      </w:pPr>
      <w:r w:rsidRPr="00A81F9F">
        <w:t xml:space="preserve">Согласно оценке дополнительная потребность в электроэнергии  по г. Москве может достичь </w:t>
      </w:r>
      <w:r w:rsidRPr="00A81F9F">
        <w:rPr>
          <w:rStyle w:val="af5"/>
          <w:rFonts w:eastAsia="Calibri"/>
          <w:sz w:val="30"/>
        </w:rPr>
        <w:t>20 млрд. кВт.ч</w:t>
      </w:r>
      <w:r w:rsidRPr="00A81F9F">
        <w:t>., в т.ч.:</w:t>
      </w:r>
    </w:p>
    <w:p w:rsidR="009478DB" w:rsidRPr="00A81F9F" w:rsidRDefault="009478DB" w:rsidP="0063374C">
      <w:pPr>
        <w:numPr>
          <w:ilvl w:val="0"/>
          <w:numId w:val="20"/>
        </w:numPr>
        <w:tabs>
          <w:tab w:val="clear" w:pos="1429"/>
          <w:tab w:val="num" w:pos="360"/>
        </w:tabs>
        <w:ind w:left="540" w:firstLine="551"/>
        <w:jc w:val="both"/>
      </w:pPr>
      <w:r w:rsidRPr="00A81F9F">
        <w:t xml:space="preserve">Дополнительная потребность на новые жилые комплексы составит около </w:t>
      </w:r>
      <w:r w:rsidRPr="00A81F9F">
        <w:rPr>
          <w:rStyle w:val="af5"/>
          <w:rFonts w:eastAsia="Calibri"/>
          <w:sz w:val="30"/>
        </w:rPr>
        <w:t>8-10 млрд. кВт.ч</w:t>
      </w:r>
      <w:r w:rsidRPr="00A81F9F">
        <w:t xml:space="preserve">. Это соответствует удельному на одного жителя в объеме 4–5 тыс.кВт.ч. в год и находится на современном уровне развитых стран (США, Канада, Швеция и др.). </w:t>
      </w:r>
    </w:p>
    <w:p w:rsidR="009478DB" w:rsidRPr="00A81F9F" w:rsidRDefault="009478DB" w:rsidP="0063374C">
      <w:pPr>
        <w:numPr>
          <w:ilvl w:val="0"/>
          <w:numId w:val="20"/>
        </w:numPr>
        <w:tabs>
          <w:tab w:val="clear" w:pos="1429"/>
          <w:tab w:val="num" w:pos="360"/>
        </w:tabs>
        <w:ind w:left="540" w:firstLine="551"/>
        <w:jc w:val="both"/>
      </w:pPr>
      <w:r w:rsidRPr="00A81F9F">
        <w:t xml:space="preserve">Электропотребление на нужды учреждений управления, здравоохранения, образования, торговли и прочих предприятий сферы услуг оценивается на уровне </w:t>
      </w:r>
      <w:r w:rsidRPr="00A81F9F">
        <w:rPr>
          <w:rStyle w:val="af5"/>
          <w:rFonts w:eastAsia="Calibri"/>
          <w:sz w:val="30"/>
        </w:rPr>
        <w:t>9-10 млрд. кВт.ч.</w:t>
      </w:r>
      <w:r w:rsidRPr="00A81F9F">
        <w:t xml:space="preserve"> </w:t>
      </w:r>
    </w:p>
    <w:p w:rsidR="009478DB" w:rsidRPr="00A81F9F" w:rsidRDefault="009478DB" w:rsidP="0063374C">
      <w:pPr>
        <w:numPr>
          <w:ilvl w:val="0"/>
          <w:numId w:val="20"/>
        </w:numPr>
        <w:tabs>
          <w:tab w:val="clear" w:pos="1429"/>
          <w:tab w:val="num" w:pos="360"/>
        </w:tabs>
        <w:ind w:left="540" w:firstLine="551"/>
        <w:jc w:val="both"/>
        <w:rPr>
          <w:rStyle w:val="af5"/>
          <w:rFonts w:eastAsia="Calibri"/>
          <w:sz w:val="30"/>
        </w:rPr>
      </w:pPr>
      <w:r w:rsidRPr="00A81F9F">
        <w:t xml:space="preserve">Кроме того, считается, что в новых жилых массивах будут строиться небольшие предприятия пищевой промышленности (хлебопекарни, молочные заводы и др.) с электропотреблением </w:t>
      </w:r>
    </w:p>
    <w:p w:rsidR="009478DB" w:rsidRPr="00A81F9F" w:rsidRDefault="009478DB" w:rsidP="0063374C">
      <w:pPr>
        <w:ind w:left="540"/>
        <w:jc w:val="both"/>
        <w:rPr>
          <w:b/>
          <w:bCs/>
        </w:rPr>
      </w:pPr>
      <w:r w:rsidRPr="00A81F9F">
        <w:rPr>
          <w:b/>
          <w:bCs/>
        </w:rPr>
        <w:t>2 -3 млрд. кВт.ч.</w:t>
      </w:r>
    </w:p>
    <w:p w:rsidR="009478DB" w:rsidRPr="00A81F9F" w:rsidRDefault="009478DB" w:rsidP="0063374C">
      <w:pPr>
        <w:ind w:firstLine="709"/>
        <w:jc w:val="both"/>
      </w:pPr>
      <w:r w:rsidRPr="00A81F9F">
        <w:t xml:space="preserve">При этом, прирост электрической нагрузки оценен в размере </w:t>
      </w:r>
      <w:r w:rsidRPr="00A81F9F">
        <w:rPr>
          <w:rStyle w:val="af5"/>
          <w:rFonts w:eastAsia="Calibri"/>
          <w:sz w:val="30"/>
        </w:rPr>
        <w:t xml:space="preserve">4,5 ГВт </w:t>
      </w:r>
      <w:r w:rsidRPr="00A81F9F">
        <w:t xml:space="preserve">на шинах 0,4 кВ без учета коэффициента участия в максимуме электрической нагрузки. </w:t>
      </w:r>
    </w:p>
    <w:p w:rsidR="009478DB" w:rsidRPr="00A81F9F" w:rsidRDefault="009478DB" w:rsidP="0063374C">
      <w:pPr>
        <w:ind w:firstLine="709"/>
        <w:jc w:val="both"/>
      </w:pPr>
      <w:r w:rsidRPr="00A81F9F">
        <w:t>На рис. 6</w:t>
      </w:r>
      <w:r w:rsidR="005441BB">
        <w:t>8</w:t>
      </w:r>
      <w:r w:rsidRPr="00A81F9F">
        <w:t xml:space="preserve"> представлен прогноз динамики спроса на электроэнергию в Москве в соответствие с программой Минэнерго </w:t>
      </w:r>
      <w:smartTag w:uri="urn:schemas-microsoft-com:office:smarttags" w:element="metricconverter">
        <w:smartTagPr>
          <w:attr w:name="ProductID" w:val="2012 г"/>
        </w:smartTagPr>
        <w:r w:rsidRPr="00A81F9F">
          <w:t>2012 г</w:t>
        </w:r>
      </w:smartTag>
      <w:r w:rsidRPr="00A81F9F">
        <w:t>.</w:t>
      </w:r>
    </w:p>
    <w:p w:rsidR="009478DB" w:rsidRPr="00A81F9F" w:rsidRDefault="007C1ADE" w:rsidP="0063374C">
      <w:pPr>
        <w:ind w:firstLine="709"/>
        <w:jc w:val="both"/>
      </w:pPr>
      <w:r>
        <w:rPr>
          <w:noProof/>
        </w:rPr>
        <w:drawing>
          <wp:inline distT="0" distB="0" distL="0" distR="0">
            <wp:extent cx="4705350" cy="40005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6" cstate="print"/>
                    <a:srcRect/>
                    <a:stretch>
                      <a:fillRect/>
                    </a:stretch>
                  </pic:blipFill>
                  <pic:spPr bwMode="auto">
                    <a:xfrm>
                      <a:off x="0" y="0"/>
                      <a:ext cx="4705350" cy="4000500"/>
                    </a:xfrm>
                    <a:prstGeom prst="rect">
                      <a:avLst/>
                    </a:prstGeom>
                    <a:noFill/>
                    <a:ln w="9525">
                      <a:noFill/>
                      <a:miter lim="800000"/>
                      <a:headEnd/>
                      <a:tailEnd/>
                    </a:ln>
                  </pic:spPr>
                </pic:pic>
              </a:graphicData>
            </a:graphic>
          </wp:inline>
        </w:drawing>
      </w:r>
    </w:p>
    <w:p w:rsidR="009478DB" w:rsidRPr="00A81F9F" w:rsidRDefault="009478DB" w:rsidP="0063374C">
      <w:pPr>
        <w:jc w:val="center"/>
      </w:pPr>
    </w:p>
    <w:p w:rsidR="009478DB" w:rsidRPr="00A81F9F" w:rsidRDefault="00786EAA" w:rsidP="00786EAA">
      <w:pPr>
        <w:ind w:firstLine="851"/>
      </w:pPr>
      <w:r>
        <w:t>Рис. 85</w:t>
      </w:r>
      <w:r w:rsidR="009478DB" w:rsidRPr="00A81F9F">
        <w:t xml:space="preserve">. Прогноз электропотребления по г. Москве  по трем сценариям: базовый, базовый с учетом развития новых территорий по Минэнерго </w:t>
      </w:r>
      <w:smartTag w:uri="urn:schemas-microsoft-com:office:smarttags" w:element="metricconverter">
        <w:smartTagPr>
          <w:attr w:name="ProductID" w:val="2012 г"/>
        </w:smartTagPr>
        <w:r w:rsidR="009478DB" w:rsidRPr="00A81F9F">
          <w:t>2012 г</w:t>
        </w:r>
      </w:smartTag>
      <w:r w:rsidR="009478DB" w:rsidRPr="00A81F9F">
        <w:t xml:space="preserve">. и </w:t>
      </w:r>
      <w:r w:rsidR="001A6B77">
        <w:t>СПЭ</w:t>
      </w:r>
      <w:r w:rsidR="009478DB" w:rsidRPr="00A81F9F">
        <w:t xml:space="preserve"> (сценарий «Москва-мировой город»).</w:t>
      </w:r>
    </w:p>
    <w:p w:rsidR="009478DB" w:rsidRPr="00A81F9F" w:rsidRDefault="009478DB" w:rsidP="0063374C">
      <w:pPr>
        <w:ind w:firstLine="284"/>
        <w:jc w:val="center"/>
      </w:pPr>
    </w:p>
    <w:p w:rsidR="009478DB" w:rsidRPr="00A81F9F" w:rsidRDefault="009478DB" w:rsidP="007E0F99">
      <w:pPr>
        <w:ind w:firstLine="709"/>
        <w:jc w:val="both"/>
      </w:pPr>
      <w:r w:rsidRPr="00A81F9F">
        <w:t xml:space="preserve">На рис. </w:t>
      </w:r>
      <w:r w:rsidR="00786EAA">
        <w:t>85</w:t>
      </w:r>
      <w:r w:rsidRPr="00A81F9F">
        <w:t xml:space="preserve"> показан базовый прогноз Минэнерго (среднегодовой темп роста электропотребления - 2,73%) и он же, но с учетом прироста электропотребления за счет расширения территории Москвы, а также максимальный из предложенных </w:t>
      </w:r>
      <w:r w:rsidR="001A6B77">
        <w:t>СПЭ</w:t>
      </w:r>
      <w:r w:rsidRPr="00A81F9F">
        <w:t xml:space="preserve"> сценариев «Москва - мировой город», которому соответствует темп роста электропотребления  2,0% в год.</w:t>
      </w:r>
    </w:p>
    <w:p w:rsidR="009478DB" w:rsidRPr="00A81F9F" w:rsidRDefault="009478DB" w:rsidP="00786EAA">
      <w:pPr>
        <w:ind w:firstLine="720"/>
        <w:jc w:val="both"/>
      </w:pPr>
      <w:r w:rsidRPr="00A81F9F">
        <w:t xml:space="preserve">Из рис. </w:t>
      </w:r>
      <w:r w:rsidR="00786EAA">
        <w:t>85</w:t>
      </w:r>
      <w:r w:rsidRPr="00A81F9F">
        <w:t xml:space="preserve"> видно, что в период 2011-2020 гг. по программе Минэнерго 2012 электропотребление будет динамично расти и достигнет проектной величины к </w:t>
      </w:r>
      <w:smartTag w:uri="urn:schemas-microsoft-com:office:smarttags" w:element="metricconverter">
        <w:smartTagPr>
          <w:attr w:name="ProductID" w:val="2020 г"/>
        </w:smartTagPr>
        <w:r w:rsidRPr="00A81F9F">
          <w:t>2020 г</w:t>
        </w:r>
      </w:smartTag>
      <w:r w:rsidRPr="00A81F9F">
        <w:t xml:space="preserve">., т.е. практически </w:t>
      </w:r>
      <w:r w:rsidRPr="00A81F9F">
        <w:rPr>
          <w:rStyle w:val="af5"/>
          <w:rFonts w:eastAsia="Calibri"/>
          <w:sz w:val="30"/>
        </w:rPr>
        <w:t xml:space="preserve">за 10 лет. </w:t>
      </w:r>
      <w:r w:rsidRPr="00A81F9F">
        <w:t xml:space="preserve">А это значит, что весь объем строительства должен также завершиться за эти 10 лет. </w:t>
      </w:r>
    </w:p>
    <w:p w:rsidR="009478DB" w:rsidRPr="00A81F9F" w:rsidRDefault="009478DB" w:rsidP="0063374C">
      <w:pPr>
        <w:ind w:firstLine="709"/>
        <w:jc w:val="both"/>
      </w:pPr>
      <w:r w:rsidRPr="00A81F9F">
        <w:t xml:space="preserve">Ниже будет доказано, что вся вышеприведенная оценка носит </w:t>
      </w:r>
      <w:r w:rsidRPr="00A81F9F">
        <w:rPr>
          <w:rStyle w:val="af5"/>
          <w:rFonts w:eastAsia="Calibri"/>
          <w:sz w:val="30"/>
        </w:rPr>
        <w:t xml:space="preserve">фантастический </w:t>
      </w:r>
      <w:r w:rsidRPr="00A81F9F">
        <w:t xml:space="preserve">характер и </w:t>
      </w:r>
      <w:r w:rsidRPr="00A81F9F">
        <w:rPr>
          <w:rStyle w:val="af5"/>
          <w:rFonts w:eastAsia="Calibri"/>
          <w:sz w:val="30"/>
        </w:rPr>
        <w:t xml:space="preserve">не соответствует </w:t>
      </w:r>
      <w:r w:rsidRPr="00A81F9F">
        <w:t>существующим реалиям.</w:t>
      </w:r>
    </w:p>
    <w:p w:rsidR="009478DB" w:rsidRPr="00A81F9F" w:rsidRDefault="009478DB" w:rsidP="0063374C">
      <w:pPr>
        <w:ind w:firstLine="709"/>
        <w:jc w:val="both"/>
      </w:pPr>
      <w:r w:rsidRPr="00A81F9F">
        <w:t>Для определения дополнительного роста электропотребления на расширяемой части Москвы необходимо оценивать следующие ограничители:</w:t>
      </w:r>
    </w:p>
    <w:p w:rsidR="009478DB" w:rsidRPr="00A81F9F" w:rsidRDefault="009478DB" w:rsidP="0063374C">
      <w:pPr>
        <w:ind w:firstLine="709"/>
        <w:jc w:val="both"/>
      </w:pPr>
      <w:r w:rsidRPr="00A81F9F">
        <w:t xml:space="preserve">1) потенциальный объем рынка потребителей и динамика его расширения по годам; </w:t>
      </w:r>
    </w:p>
    <w:p w:rsidR="009478DB" w:rsidRPr="00A81F9F" w:rsidRDefault="009478DB" w:rsidP="0063374C">
      <w:pPr>
        <w:ind w:firstLine="709"/>
        <w:jc w:val="both"/>
      </w:pPr>
      <w:r w:rsidRPr="00A81F9F">
        <w:t xml:space="preserve">2) потенциальный объем инвестиций по годам для обеспечения строительства на новой территории;  </w:t>
      </w:r>
    </w:p>
    <w:p w:rsidR="009478DB" w:rsidRPr="00A81F9F" w:rsidRDefault="009478DB" w:rsidP="0063374C">
      <w:pPr>
        <w:ind w:firstLine="709"/>
        <w:jc w:val="both"/>
      </w:pPr>
      <w:r w:rsidRPr="00A81F9F">
        <w:t>3) потенциальные возможности строительного комплекса Московского региона выполнить физические объемы строительства.</w:t>
      </w:r>
    </w:p>
    <w:p w:rsidR="00057A80" w:rsidRDefault="00057A80" w:rsidP="0063374C">
      <w:pPr>
        <w:ind w:firstLine="709"/>
        <w:rPr>
          <w:u w:val="single"/>
        </w:rPr>
      </w:pPr>
    </w:p>
    <w:p w:rsidR="009478DB" w:rsidRPr="00A81F9F" w:rsidRDefault="009478DB" w:rsidP="0063374C">
      <w:pPr>
        <w:ind w:firstLine="709"/>
        <w:rPr>
          <w:u w:val="single"/>
        </w:rPr>
      </w:pPr>
      <w:r w:rsidRPr="00A81F9F">
        <w:rPr>
          <w:u w:val="single"/>
        </w:rPr>
        <w:t>Потенциальный объем рынка потребителей и динамика его расширения по годам</w:t>
      </w:r>
    </w:p>
    <w:p w:rsidR="009478DB" w:rsidRPr="00A81F9F" w:rsidRDefault="009478DB" w:rsidP="0063374C">
      <w:pPr>
        <w:ind w:firstLine="709"/>
        <w:jc w:val="both"/>
      </w:pPr>
    </w:p>
    <w:p w:rsidR="009478DB" w:rsidRPr="00A81F9F" w:rsidRDefault="009478DB" w:rsidP="00786EAA">
      <w:pPr>
        <w:ind w:firstLine="709"/>
        <w:jc w:val="both"/>
      </w:pPr>
      <w:r w:rsidRPr="00A81F9F">
        <w:t xml:space="preserve">В связи с отсутствием концепции развития присоединяемой территории г. Москвы и генерального плана развития этой территории экспертная оценка величины потребления мощности новой  территории г. Москвы в программе Минэнерго </w:t>
      </w:r>
      <w:smartTag w:uri="urn:schemas-microsoft-com:office:smarttags" w:element="metricconverter">
        <w:smartTagPr>
          <w:attr w:name="ProductID" w:val="2012 г"/>
        </w:smartTagPr>
        <w:r w:rsidRPr="00A81F9F">
          <w:t>2012 г</w:t>
        </w:r>
      </w:smartTag>
      <w:r w:rsidRPr="00A81F9F">
        <w:t>. проводилась по укрупненным  удельным расчетным показателям в соответствии с Инструкцией по проектированию городских электрических сетей (далее - Инструкция).</w:t>
      </w:r>
    </w:p>
    <w:p w:rsidR="009478DB" w:rsidRPr="00A81F9F" w:rsidRDefault="009478DB" w:rsidP="0063374C">
      <w:pPr>
        <w:ind w:firstLine="709"/>
        <w:jc w:val="both"/>
      </w:pPr>
      <w:r w:rsidRPr="00A81F9F">
        <w:t xml:space="preserve">В программе Минэнерго </w:t>
      </w:r>
      <w:smartTag w:uri="urn:schemas-microsoft-com:office:smarttags" w:element="metricconverter">
        <w:smartTagPr>
          <w:attr w:name="ProductID" w:val="2012 г"/>
        </w:smartTagPr>
        <w:r w:rsidRPr="00A81F9F">
          <w:t>2012 г</w:t>
        </w:r>
      </w:smartTag>
      <w:r w:rsidRPr="00A81F9F">
        <w:t>. принято, что основное строительство на новых территориях будет состоять из коттеджей и таунхаусов с площадью  150-</w:t>
      </w:r>
      <w:smartTag w:uri="urn:schemas-microsoft-com:office:smarttags" w:element="metricconverter">
        <w:smartTagPr>
          <w:attr w:name="ProductID" w:val="600 кв. м"/>
        </w:smartTagPr>
        <w:r w:rsidRPr="00A81F9F">
          <w:t>600 кв. м</w:t>
        </w:r>
      </w:smartTag>
      <w:r w:rsidRPr="00A81F9F">
        <w:t xml:space="preserve">.   на семью, состоящую в среднем из 3,1 чел. Для последующих оценок примем, что средняя площадь коттеджа на семью будет равняться </w:t>
      </w:r>
      <w:smartTag w:uri="urn:schemas-microsoft-com:office:smarttags" w:element="metricconverter">
        <w:smartTagPr>
          <w:attr w:name="ProductID" w:val="300 кв. м"/>
        </w:smartTagPr>
        <w:r w:rsidRPr="00A81F9F">
          <w:t>300 кв. м</w:t>
        </w:r>
      </w:smartTag>
      <w:r w:rsidRPr="00A81F9F">
        <w:t xml:space="preserve">., а таунхауса – </w:t>
      </w:r>
      <w:smartTag w:uri="urn:schemas-microsoft-com:office:smarttags" w:element="metricconverter">
        <w:smartTagPr>
          <w:attr w:name="ProductID" w:val="200 кв. м"/>
        </w:smartTagPr>
        <w:r w:rsidRPr="00A81F9F">
          <w:t>200 кв. м</w:t>
        </w:r>
      </w:smartTag>
      <w:r w:rsidRPr="00A81F9F">
        <w:t xml:space="preserve">. Предположим, что одна  половина от всей площади будет застроена коттеджами, а другая половина – таунхаусами.  Это значит, что общее количество коттеджей, которое возможно построить на новой территориях 30 млн. кв. м/300 кв.м =100 тыс. коттеджей с общей численностью проживающих в 100 тыс. коттеджей* 3,1 чел.= 310 тыс. чел. А общее количество таунхаусов составит  30 млн. кв.м./200 кв.м.=150 тыс. таунхаусов, с общей численностью проживающих  в 150 тыс. таунхаусов*3,1 =460 тыс. чел. Тогда, суммарная численность проживающих на новых территориях должна составить </w:t>
      </w:r>
      <w:r w:rsidRPr="00A81F9F">
        <w:rPr>
          <w:rStyle w:val="af5"/>
          <w:rFonts w:eastAsia="Calibri"/>
          <w:sz w:val="30"/>
        </w:rPr>
        <w:t>770 тыс. чел</w:t>
      </w:r>
      <w:r w:rsidRPr="00A81F9F">
        <w:t xml:space="preserve">. </w:t>
      </w:r>
    </w:p>
    <w:p w:rsidR="009478DB" w:rsidRPr="00A81F9F" w:rsidRDefault="009478DB" w:rsidP="0063374C">
      <w:pPr>
        <w:ind w:firstLine="709"/>
        <w:jc w:val="both"/>
      </w:pPr>
      <w:r w:rsidRPr="00A81F9F">
        <w:t xml:space="preserve">Во-первых, это более чем в 2,5 раза меньше величины в 2 млн. чел, которая предполагается в исходных данных. Во-вторых, ниже будет показано, что в Москве нет даже такого количества обеспеченных семей, которые будут готовы переехать с основной территории Москвы в ближайшие 10 лет. </w:t>
      </w:r>
    </w:p>
    <w:p w:rsidR="009478DB" w:rsidRPr="00A81F9F" w:rsidRDefault="009478DB" w:rsidP="0063374C">
      <w:pPr>
        <w:ind w:firstLine="720"/>
        <w:jc w:val="both"/>
        <w:rPr>
          <w:color w:val="222222"/>
          <w:shd w:val="clear" w:color="auto" w:fill="FFFFFF"/>
        </w:rPr>
      </w:pPr>
      <w:r w:rsidRPr="00A81F9F">
        <w:rPr>
          <w:color w:val="222222"/>
          <w:shd w:val="clear" w:color="auto" w:fill="FFFFFF"/>
        </w:rPr>
        <w:t xml:space="preserve">По данным экспертов </w:t>
      </w:r>
      <w:r w:rsidRPr="00A81F9F">
        <w:t>(http://www.prodam-kvartiru.ru/news/market-news/novaya-riga-stala-samym-dorogim-napravleniem-podmoskovya-kashirka-samym-deshevym/)</w:t>
      </w:r>
      <w:r w:rsidRPr="00A81F9F">
        <w:rPr>
          <w:color w:val="222222"/>
          <w:shd w:val="clear" w:color="auto" w:fill="FFFFFF"/>
        </w:rPr>
        <w:t xml:space="preserve">, в южном и юго-западном направлении средняя стоимость 1 кв.м в загородных домах составляет $3200-4900 долл. за </w:t>
      </w:r>
      <w:smartTag w:uri="urn:schemas-microsoft-com:office:smarttags" w:element="metricconverter">
        <w:smartTagPr>
          <w:attr w:name="ProductID" w:val="1 кв. м"/>
        </w:smartTagPr>
        <w:r w:rsidRPr="00A81F9F">
          <w:rPr>
            <w:color w:val="222222"/>
            <w:shd w:val="clear" w:color="auto" w:fill="FFFFFF"/>
          </w:rPr>
          <w:t>1 кв. м</w:t>
        </w:r>
      </w:smartTag>
      <w:r w:rsidRPr="00A81F9F">
        <w:rPr>
          <w:color w:val="222222"/>
          <w:shd w:val="clear" w:color="auto" w:fill="FFFFFF"/>
        </w:rPr>
        <w:t xml:space="preserve">. или в среднем $4000.  – этому уровню соответствует </w:t>
      </w:r>
      <w:smartTag w:uri="urn:schemas-microsoft-com:office:smarttags" w:element="metricconverter">
        <w:smartTagPr>
          <w:attr w:name="ProductID" w:val="1 кв. м"/>
        </w:smartTagPr>
        <w:r w:rsidRPr="00A81F9F">
          <w:rPr>
            <w:color w:val="222222"/>
            <w:shd w:val="clear" w:color="auto" w:fill="FFFFFF"/>
          </w:rPr>
          <w:t>1 кв. м</w:t>
        </w:r>
      </w:smartTag>
      <w:r w:rsidRPr="00A81F9F">
        <w:rPr>
          <w:color w:val="222222"/>
          <w:shd w:val="clear" w:color="auto" w:fill="FFFFFF"/>
        </w:rPr>
        <w:t xml:space="preserve">. таунхауса с отделкой. Для оценки снизу примем стоимость </w:t>
      </w:r>
      <w:smartTag w:uri="urn:schemas-microsoft-com:office:smarttags" w:element="metricconverter">
        <w:smartTagPr>
          <w:attr w:name="ProductID" w:val="1 кв. м"/>
        </w:smartTagPr>
        <w:r w:rsidRPr="00A81F9F">
          <w:rPr>
            <w:color w:val="222222"/>
            <w:shd w:val="clear" w:color="auto" w:fill="FFFFFF"/>
          </w:rPr>
          <w:t>1 кв. м</w:t>
        </w:r>
      </w:smartTag>
      <w:r w:rsidRPr="00A81F9F">
        <w:rPr>
          <w:color w:val="222222"/>
          <w:shd w:val="clear" w:color="auto" w:fill="FFFFFF"/>
        </w:rPr>
        <w:t xml:space="preserve"> на уровне $3200. Тогда, коттедж будет стоить около </w:t>
      </w:r>
      <w:r w:rsidRPr="00A81F9F">
        <w:rPr>
          <w:b/>
          <w:bCs/>
          <w:color w:val="222222"/>
          <w:shd w:val="clear" w:color="auto" w:fill="FFFFFF"/>
        </w:rPr>
        <w:t>$ 1 млн</w:t>
      </w:r>
      <w:r w:rsidRPr="00A81F9F">
        <w:rPr>
          <w:color w:val="222222"/>
          <w:shd w:val="clear" w:color="auto" w:fill="FFFFFF"/>
        </w:rPr>
        <w:t xml:space="preserve">. или 30 млн. руб. Сегодня это стоимость элитной квартиры в Москве площадью </w:t>
      </w:r>
      <w:smartTag w:uri="urn:schemas-microsoft-com:office:smarttags" w:element="metricconverter">
        <w:smartTagPr>
          <w:attr w:name="ProductID" w:val="100 кв. м"/>
        </w:smartTagPr>
        <w:r w:rsidRPr="00A81F9F">
          <w:rPr>
            <w:color w:val="222222"/>
            <w:shd w:val="clear" w:color="auto" w:fill="FFFFFF"/>
          </w:rPr>
          <w:t>100 кв. м</w:t>
        </w:r>
      </w:smartTag>
      <w:r w:rsidRPr="00A81F9F">
        <w:rPr>
          <w:color w:val="222222"/>
          <w:shd w:val="clear" w:color="auto" w:fill="FFFFFF"/>
        </w:rPr>
        <w:t xml:space="preserve">. Таунхаус площадью </w:t>
      </w:r>
      <w:smartTag w:uri="urn:schemas-microsoft-com:office:smarttags" w:element="metricconverter">
        <w:smartTagPr>
          <w:attr w:name="ProductID" w:val="200 кв. м"/>
        </w:smartTagPr>
        <w:r w:rsidRPr="00A81F9F">
          <w:rPr>
            <w:color w:val="222222"/>
            <w:shd w:val="clear" w:color="auto" w:fill="FFFFFF"/>
          </w:rPr>
          <w:t>200 кв. м</w:t>
        </w:r>
      </w:smartTag>
      <w:r w:rsidRPr="00A81F9F">
        <w:rPr>
          <w:color w:val="222222"/>
          <w:shd w:val="clear" w:color="auto" w:fill="FFFFFF"/>
        </w:rPr>
        <w:t xml:space="preserve">. с отделкой стоит не менее </w:t>
      </w:r>
      <w:r w:rsidRPr="00A81F9F">
        <w:rPr>
          <w:b/>
          <w:bCs/>
          <w:color w:val="222222"/>
          <w:shd w:val="clear" w:color="auto" w:fill="FFFFFF"/>
        </w:rPr>
        <w:t>15 млн. руб</w:t>
      </w:r>
      <w:r w:rsidRPr="00A81F9F">
        <w:rPr>
          <w:color w:val="222222"/>
          <w:shd w:val="clear" w:color="auto" w:fill="FFFFFF"/>
        </w:rPr>
        <w:t>., что, в свою очередь, соответствует стоимости квартиры бизнес-класса с площадью 120-140 кв.м.</w:t>
      </w:r>
    </w:p>
    <w:p w:rsidR="009478DB" w:rsidRPr="00A81F9F" w:rsidRDefault="009478DB" w:rsidP="0063374C">
      <w:pPr>
        <w:ind w:firstLine="720"/>
        <w:jc w:val="both"/>
        <w:rPr>
          <w:color w:val="222222"/>
          <w:shd w:val="clear" w:color="auto" w:fill="FFFFFF"/>
        </w:rPr>
      </w:pPr>
      <w:r w:rsidRPr="00A81F9F">
        <w:rPr>
          <w:color w:val="222222"/>
          <w:shd w:val="clear" w:color="auto" w:fill="FFFFFF"/>
        </w:rPr>
        <w:t xml:space="preserve">По данным агентства </w:t>
      </w:r>
      <w:r w:rsidRPr="00A81F9F">
        <w:rPr>
          <w:color w:val="222222"/>
          <w:shd w:val="clear" w:color="auto" w:fill="FFFFFF"/>
          <w:lang w:val="en-US"/>
        </w:rPr>
        <w:t>Contact</w:t>
      </w:r>
      <w:r w:rsidRPr="00A81F9F">
        <w:rPr>
          <w:color w:val="222222"/>
          <w:shd w:val="clear" w:color="auto" w:fill="FFFFFF"/>
        </w:rPr>
        <w:t xml:space="preserve"> </w:t>
      </w:r>
      <w:r w:rsidRPr="00A81F9F">
        <w:rPr>
          <w:color w:val="222222"/>
          <w:shd w:val="clear" w:color="auto" w:fill="FFFFFF"/>
          <w:lang w:val="en-US"/>
        </w:rPr>
        <w:t>Real</w:t>
      </w:r>
      <w:r w:rsidRPr="00A81F9F">
        <w:rPr>
          <w:color w:val="222222"/>
          <w:shd w:val="clear" w:color="auto" w:fill="FFFFFF"/>
        </w:rPr>
        <w:t xml:space="preserve"> </w:t>
      </w:r>
      <w:r w:rsidRPr="00A81F9F">
        <w:rPr>
          <w:color w:val="222222"/>
          <w:shd w:val="clear" w:color="auto" w:fill="FFFFFF"/>
          <w:lang w:val="en-US"/>
        </w:rPr>
        <w:t>Estat</w:t>
      </w:r>
      <w:r w:rsidRPr="00A81F9F">
        <w:rPr>
          <w:color w:val="222222"/>
          <w:shd w:val="clear" w:color="auto" w:fill="FFFFFF"/>
        </w:rPr>
        <w:t xml:space="preserve">  по итогам </w:t>
      </w:r>
      <w:smartTag w:uri="urn:schemas-microsoft-com:office:smarttags" w:element="metricconverter">
        <w:smartTagPr>
          <w:attr w:name="ProductID" w:val="2011 г"/>
        </w:smartTagPr>
        <w:r w:rsidRPr="00A81F9F">
          <w:rPr>
            <w:color w:val="222222"/>
            <w:shd w:val="clear" w:color="auto" w:fill="FFFFFF"/>
          </w:rPr>
          <w:t>2011 г</w:t>
        </w:r>
      </w:smartTag>
      <w:r w:rsidRPr="00A81F9F">
        <w:rPr>
          <w:color w:val="222222"/>
          <w:shd w:val="clear" w:color="auto" w:fill="FFFFFF"/>
        </w:rPr>
        <w:t>. в Москве объем первичного предложения элитных квартир составил 1167 квартир (</w:t>
      </w:r>
      <w:smartTag w:uri="urn:schemas-microsoft-com:office:smarttags" w:element="metricconverter">
        <w:smartTagPr>
          <w:attr w:name="ProductID" w:val="180 700 кв. м"/>
        </w:smartTagPr>
        <w:r w:rsidRPr="00A81F9F">
          <w:rPr>
            <w:color w:val="222222"/>
            <w:shd w:val="clear" w:color="auto" w:fill="FFFFFF"/>
          </w:rPr>
          <w:t>180 700 кв. м</w:t>
        </w:r>
      </w:smartTag>
      <w:r w:rsidRPr="00A81F9F">
        <w:rPr>
          <w:color w:val="222222"/>
          <w:shd w:val="clear" w:color="auto" w:fill="FFFFFF"/>
        </w:rPr>
        <w:t xml:space="preserve">), а всего продано – 657 квартир, т.е. около половины. В денежном выражении это составило около </w:t>
      </w:r>
      <w:r w:rsidRPr="00A81F9F">
        <w:rPr>
          <w:b/>
          <w:bCs/>
          <w:color w:val="222222"/>
          <w:shd w:val="clear" w:color="auto" w:fill="FFFFFF"/>
        </w:rPr>
        <w:t xml:space="preserve">$1,1 млрд. </w:t>
      </w:r>
      <w:r w:rsidRPr="00A81F9F">
        <w:rPr>
          <w:color w:val="222222"/>
          <w:shd w:val="clear" w:color="auto" w:fill="FFFFFF"/>
        </w:rPr>
        <w:t xml:space="preserve">Таким образом, годовой объем продаж элитных квартир в Москве составит не более </w:t>
      </w:r>
      <w:r w:rsidRPr="00A81F9F">
        <w:rPr>
          <w:b/>
          <w:bCs/>
          <w:color w:val="222222"/>
          <w:shd w:val="clear" w:color="auto" w:fill="FFFFFF"/>
        </w:rPr>
        <w:t>1000 квартир</w:t>
      </w:r>
      <w:r w:rsidRPr="00A81F9F">
        <w:rPr>
          <w:color w:val="222222"/>
          <w:shd w:val="clear" w:color="auto" w:fill="FFFFFF"/>
        </w:rPr>
        <w:t xml:space="preserve"> с общей площадью около 150 тыс. кв.м. (оценка сверху). Нет никаких предпосылок, что ситуация будет иной и при реализации коттеджей на новых территориях. По стоимости это соответствует 1 тысяче коттеджей с общей площадью 300 тыс. кв. м.</w:t>
      </w:r>
    </w:p>
    <w:p w:rsidR="009478DB" w:rsidRPr="00A81F9F" w:rsidRDefault="009478DB" w:rsidP="0063374C">
      <w:pPr>
        <w:ind w:firstLine="720"/>
        <w:jc w:val="both"/>
        <w:rPr>
          <w:b/>
          <w:bCs/>
          <w:color w:val="000000"/>
        </w:rPr>
      </w:pPr>
      <w:r w:rsidRPr="00A81F9F">
        <w:rPr>
          <w:color w:val="222222"/>
          <w:shd w:val="clear" w:color="auto" w:fill="FFFFFF"/>
        </w:rPr>
        <w:t xml:space="preserve">Что касается квартир бизнес-класса, то </w:t>
      </w:r>
      <w:r w:rsidRPr="00A81F9F">
        <w:t xml:space="preserve">за 8 месяцев </w:t>
      </w:r>
      <w:smartTag w:uri="urn:schemas-microsoft-com:office:smarttags" w:element="metricconverter">
        <w:smartTagPr>
          <w:attr w:name="ProductID" w:val="2012 г"/>
        </w:smartTagPr>
        <w:r w:rsidRPr="00A81F9F">
          <w:t>2012 г</w:t>
        </w:r>
      </w:smartTag>
      <w:r w:rsidRPr="00A81F9F">
        <w:t xml:space="preserve">. по данным </w:t>
      </w:r>
      <w:hyperlink r:id="rId107" w:history="1">
        <w:r w:rsidRPr="00A81F9F">
          <w:rPr>
            <w:rStyle w:val="a4"/>
          </w:rPr>
          <w:t>http://realty.lenta.ru/news/2012/09/04/sdelki/</w:t>
        </w:r>
      </w:hyperlink>
      <w:r w:rsidRPr="00A81F9F">
        <w:t xml:space="preserve"> было продано 1175 квартир бизнес-класса со средней площадью </w:t>
      </w:r>
      <w:r w:rsidRPr="00A81F9F">
        <w:rPr>
          <w:color w:val="000000"/>
        </w:rPr>
        <w:t xml:space="preserve">105 кв.м. и стоимостью - 640 тысяч долларов. Это значит, что в год продается не более </w:t>
      </w:r>
      <w:r w:rsidRPr="00A81F9F">
        <w:rPr>
          <w:b/>
          <w:bCs/>
          <w:color w:val="000000"/>
        </w:rPr>
        <w:t>2000 квартир</w:t>
      </w:r>
      <w:r w:rsidRPr="00A81F9F">
        <w:rPr>
          <w:color w:val="000000"/>
        </w:rPr>
        <w:t xml:space="preserve"> общей площадью </w:t>
      </w:r>
      <w:smartTag w:uri="urn:schemas-microsoft-com:office:smarttags" w:element="metricconverter">
        <w:smartTagPr>
          <w:attr w:name="ProductID" w:val="100 кв. м"/>
        </w:smartTagPr>
        <w:r w:rsidRPr="00A81F9F">
          <w:rPr>
            <w:color w:val="000000"/>
          </w:rPr>
          <w:t>100 кв. м</w:t>
        </w:r>
      </w:smartTag>
      <w:r w:rsidRPr="00A81F9F">
        <w:rPr>
          <w:color w:val="000000"/>
        </w:rPr>
        <w:t xml:space="preserve">.* 2000= </w:t>
      </w:r>
      <w:smartTag w:uri="urn:schemas-microsoft-com:office:smarttags" w:element="metricconverter">
        <w:smartTagPr>
          <w:attr w:name="ProductID" w:val="200 000 кв. м"/>
        </w:smartTagPr>
        <w:r w:rsidRPr="00A81F9F">
          <w:rPr>
            <w:color w:val="000000"/>
          </w:rPr>
          <w:t>200 000 кв. м</w:t>
        </w:r>
      </w:smartTag>
      <w:r w:rsidRPr="00A81F9F">
        <w:rPr>
          <w:color w:val="000000"/>
        </w:rPr>
        <w:t>. и  стоимостью 2000 квартир*$640 тыс.</w:t>
      </w:r>
      <w:r w:rsidRPr="00A81F9F">
        <w:rPr>
          <w:b/>
          <w:bCs/>
          <w:color w:val="000000"/>
        </w:rPr>
        <w:t xml:space="preserve">≈$ 1,3 млрд. </w:t>
      </w:r>
      <w:r w:rsidRPr="00A81F9F">
        <w:rPr>
          <w:color w:val="222222"/>
          <w:shd w:val="clear" w:color="auto" w:fill="FFFFFF"/>
        </w:rPr>
        <w:t xml:space="preserve">По стоимости </w:t>
      </w:r>
      <w:r w:rsidRPr="00A81F9F">
        <w:rPr>
          <w:color w:val="000000"/>
        </w:rPr>
        <w:t>это соответствует 2000 таунхаусов с общей площадью 400 тыс. кв.м.</w:t>
      </w:r>
    </w:p>
    <w:p w:rsidR="009478DB" w:rsidRPr="00A81F9F" w:rsidRDefault="009478DB" w:rsidP="0063374C">
      <w:pPr>
        <w:ind w:firstLine="720"/>
        <w:jc w:val="both"/>
        <w:rPr>
          <w:color w:val="222222"/>
          <w:shd w:val="clear" w:color="auto" w:fill="FFFFFF"/>
        </w:rPr>
      </w:pPr>
      <w:r w:rsidRPr="00A81F9F">
        <w:rPr>
          <w:color w:val="000000"/>
        </w:rPr>
        <w:t xml:space="preserve">Итого, в 2011-2012 гг. суммарный годовой объем продаж квартир элитного и бизнес-класса в Москве составляет </w:t>
      </w:r>
      <w:r w:rsidRPr="00A81F9F">
        <w:rPr>
          <w:b/>
          <w:bCs/>
          <w:color w:val="000000"/>
        </w:rPr>
        <w:t>350 тыс. кв. м</w:t>
      </w:r>
      <w:r w:rsidRPr="00A81F9F">
        <w:rPr>
          <w:color w:val="000000"/>
        </w:rPr>
        <w:t>. и $1,1 +$1,3</w:t>
      </w:r>
      <w:r w:rsidRPr="00A81F9F">
        <w:rPr>
          <w:b/>
          <w:bCs/>
          <w:color w:val="000000"/>
        </w:rPr>
        <w:t>=$2,4</w:t>
      </w:r>
      <w:r w:rsidRPr="00A81F9F">
        <w:rPr>
          <w:color w:val="000000"/>
        </w:rPr>
        <w:t xml:space="preserve"> млрд. или около </w:t>
      </w:r>
      <w:r w:rsidRPr="00A81F9F">
        <w:rPr>
          <w:b/>
          <w:bCs/>
          <w:color w:val="000000"/>
        </w:rPr>
        <w:t xml:space="preserve">77 млрд. руб. </w:t>
      </w:r>
      <w:r w:rsidRPr="00A81F9F">
        <w:rPr>
          <w:color w:val="000000"/>
        </w:rPr>
        <w:t xml:space="preserve">с максимальным темпом роста 10-15% в случае отсутствия экономического кризиса. По стоимости это соответствует </w:t>
      </w:r>
      <w:r w:rsidRPr="00A81F9F">
        <w:rPr>
          <w:b/>
          <w:bCs/>
          <w:color w:val="000000"/>
        </w:rPr>
        <w:t>700 тыс. кв. м.</w:t>
      </w:r>
      <w:r w:rsidRPr="00A81F9F">
        <w:rPr>
          <w:color w:val="000000"/>
        </w:rPr>
        <w:t xml:space="preserve"> коттеджей и таунхаусов в год, построенных на новых территориях. </w:t>
      </w:r>
    </w:p>
    <w:p w:rsidR="009478DB" w:rsidRPr="00A81F9F" w:rsidRDefault="009478DB" w:rsidP="006A1F57">
      <w:pPr>
        <w:ind w:firstLine="720"/>
        <w:jc w:val="both"/>
        <w:rPr>
          <w:color w:val="000000"/>
        </w:rPr>
      </w:pPr>
      <w:r w:rsidRPr="00A81F9F">
        <w:rPr>
          <w:color w:val="000000"/>
        </w:rPr>
        <w:t xml:space="preserve">Кроме того, следует отметить, что предложение по продажам и элитных, и квартир бизнес-класса существенно опережает спрос. Так, по состоянию на конец июня </w:t>
      </w:r>
      <w:smartTag w:uri="urn:schemas-microsoft-com:office:smarttags" w:element="metricconverter">
        <w:smartTagPr>
          <w:attr w:name="ProductID" w:val="2012 г"/>
        </w:smartTagPr>
        <w:r w:rsidRPr="00A81F9F">
          <w:rPr>
            <w:color w:val="000000"/>
          </w:rPr>
          <w:t>2012 г</w:t>
        </w:r>
      </w:smartTag>
      <w:r w:rsidRPr="00A81F9F">
        <w:rPr>
          <w:color w:val="000000"/>
        </w:rPr>
        <w:t xml:space="preserve">. продажи велись в 36 комплексах бизнес-класса, включающих в совокупности более </w:t>
      </w:r>
      <w:r w:rsidRPr="00A81F9F">
        <w:rPr>
          <w:b/>
          <w:bCs/>
          <w:color w:val="000000"/>
        </w:rPr>
        <w:t>15,5 тысячи квартир</w:t>
      </w:r>
      <w:r w:rsidRPr="00A81F9F">
        <w:rPr>
          <w:color w:val="000000"/>
        </w:rPr>
        <w:t xml:space="preserve"> общей площадью </w:t>
      </w:r>
      <w:r w:rsidRPr="00A81F9F">
        <w:rPr>
          <w:b/>
          <w:bCs/>
          <w:color w:val="000000"/>
        </w:rPr>
        <w:t>1,7 млн. кв. м</w:t>
      </w:r>
      <w:r w:rsidRPr="00A81F9F">
        <w:rPr>
          <w:color w:val="000000"/>
        </w:rPr>
        <w:t xml:space="preserve">. </w:t>
      </w:r>
      <w:r w:rsidR="006A1F57">
        <w:rPr>
          <w:color w:val="000000"/>
        </w:rPr>
        <w:t>(</w:t>
      </w:r>
      <w:r w:rsidRPr="00A81F9F">
        <w:t>http://realty.lenta.ru/news/2012/04/06/rosreestr/)</w:t>
      </w:r>
    </w:p>
    <w:p w:rsidR="009478DB" w:rsidRPr="00A81F9F" w:rsidRDefault="009478DB" w:rsidP="0063374C">
      <w:pPr>
        <w:jc w:val="both"/>
        <w:rPr>
          <w:u w:val="single"/>
        </w:rPr>
      </w:pPr>
    </w:p>
    <w:p w:rsidR="009478DB" w:rsidRPr="00A81F9F" w:rsidRDefault="009478DB" w:rsidP="0063374C">
      <w:pPr>
        <w:ind w:firstLine="709"/>
        <w:jc w:val="both"/>
        <w:rPr>
          <w:u w:val="single"/>
        </w:rPr>
      </w:pPr>
    </w:p>
    <w:p w:rsidR="009478DB" w:rsidRPr="00A81F9F" w:rsidRDefault="009478DB" w:rsidP="0063374C">
      <w:pPr>
        <w:ind w:firstLine="709"/>
        <w:jc w:val="both"/>
        <w:rPr>
          <w:u w:val="single"/>
        </w:rPr>
      </w:pPr>
      <w:r w:rsidRPr="00A81F9F">
        <w:rPr>
          <w:u w:val="single"/>
        </w:rPr>
        <w:t>Потенциальный объем инвестиций по годам на застройку новых территорий</w:t>
      </w:r>
    </w:p>
    <w:p w:rsidR="009478DB" w:rsidRPr="00A81F9F" w:rsidRDefault="009478DB" w:rsidP="0063374C">
      <w:pPr>
        <w:ind w:firstLine="709"/>
        <w:jc w:val="both"/>
      </w:pPr>
    </w:p>
    <w:p w:rsidR="009478DB" w:rsidRPr="00A81F9F" w:rsidRDefault="009478DB" w:rsidP="0063374C">
      <w:pPr>
        <w:ind w:firstLine="709"/>
        <w:jc w:val="both"/>
      </w:pPr>
      <w:r w:rsidRPr="00A81F9F">
        <w:t xml:space="preserve">Для последующего анализа примем, что коэффициент эластичности ВРП к ИОК на горизонт времени до </w:t>
      </w:r>
      <w:smartTag w:uri="urn:schemas-microsoft-com:office:smarttags" w:element="metricconverter">
        <w:smartTagPr>
          <w:attr w:name="ProductID" w:val="2020 г"/>
        </w:smartTagPr>
        <w:r w:rsidRPr="00A81F9F">
          <w:t>2020 г</w:t>
        </w:r>
      </w:smartTag>
      <w:r w:rsidRPr="00A81F9F">
        <w:t>. будет равняться 1,05, как в предыдущий период. Это значит, что, для того чтобы поддержать среднегодовой темп роста ВРП 5,1% по сценарию «Москва-мировой город» (самый оптимистичный темп роста ВРП), необходим ежегодный темп роста ИОК 5,6%. Тогда, при общем объеме ИОК, равном 843 млрд. руб., (</w:t>
      </w:r>
      <w:smartTag w:uri="urn:schemas-microsoft-com:office:smarttags" w:element="metricconverter">
        <w:smartTagPr>
          <w:attr w:name="ProductID" w:val="2011 г"/>
        </w:smartTagPr>
        <w:r w:rsidRPr="00A81F9F">
          <w:t>2011 г</w:t>
        </w:r>
      </w:smartTag>
      <w:r w:rsidRPr="00A81F9F">
        <w:t xml:space="preserve">.) объем инвестиций в </w:t>
      </w:r>
      <w:smartTag w:uri="urn:schemas-microsoft-com:office:smarttags" w:element="metricconverter">
        <w:smartTagPr>
          <w:attr w:name="ProductID" w:val="2012 г"/>
        </w:smartTagPr>
        <w:r w:rsidRPr="00A81F9F">
          <w:t>2012 г</w:t>
        </w:r>
      </w:smartTag>
      <w:r w:rsidRPr="00A81F9F">
        <w:t>. должен увеличиться на 47 млрд. руб., а в период 2011-2020 гг. ежегодный прирост объема инвестиций увеличится с 47 млрд. руб. до 77 млрд. руб. без учета инфляции, т.е. в среднем – 62 млрд. руб. в год.</w:t>
      </w:r>
    </w:p>
    <w:p w:rsidR="009478DB" w:rsidRPr="00A81F9F" w:rsidRDefault="009478DB" w:rsidP="0063374C">
      <w:pPr>
        <w:ind w:firstLine="709"/>
        <w:jc w:val="both"/>
      </w:pPr>
      <w:r w:rsidRPr="00A81F9F">
        <w:t xml:space="preserve">Предположим, (оценка сверху), что весь ежегодный рост ИОК будет направлен на строительство и обустройство новой территории Москвы. Одна треть из этих инвестиций, т.е. около 20 млрд. руб. в год должно пойти на обустройство территории и строительство общественно-деловых зданий, а две третьих  - 40 млрд. руб. – на строительство жилья. </w:t>
      </w:r>
    </w:p>
    <w:p w:rsidR="009478DB" w:rsidRPr="00A81F9F" w:rsidRDefault="009478DB" w:rsidP="009A623D">
      <w:pPr>
        <w:ind w:firstLine="709"/>
        <w:jc w:val="both"/>
      </w:pPr>
      <w:r w:rsidRPr="00A81F9F">
        <w:t xml:space="preserve">По данным </w:t>
      </w:r>
      <w:hyperlink r:id="rId108" w:history="1">
        <w:r w:rsidRPr="00A81F9F">
          <w:rPr>
            <w:rStyle w:val="a4"/>
          </w:rPr>
          <w:t>http://www.gdeetotdom.ru/living/articles/1854415/</w:t>
        </w:r>
      </w:hyperlink>
      <w:r w:rsidRPr="00A81F9F">
        <w:rPr>
          <w:sz w:val="28"/>
          <w:szCs w:val="28"/>
        </w:rPr>
        <w:t xml:space="preserve"> </w:t>
      </w:r>
      <w:r w:rsidRPr="00A81F9F">
        <w:t>средняя</w:t>
      </w:r>
      <w:r w:rsidR="009A623D">
        <w:t xml:space="preserve"> </w:t>
      </w:r>
      <w:r w:rsidRPr="00A81F9F">
        <w:t xml:space="preserve">себестоимость строительства массового жилья в Москве составляет всего 65,9 тыс. рублей за 1 кв. м,, а себестоимость строительства кв.м жилья в Подмосковье - 55,3 тыс. рублей за кв.м, (февраль </w:t>
      </w:r>
      <w:smartTag w:uri="urn:schemas-microsoft-com:office:smarttags" w:element="metricconverter">
        <w:smartTagPr>
          <w:attr w:name="ProductID" w:val="2012 г"/>
        </w:smartTagPr>
        <w:r w:rsidRPr="00A81F9F">
          <w:t>2012 г</w:t>
        </w:r>
      </w:smartTag>
      <w:r w:rsidRPr="00A81F9F">
        <w:t>.), или в среднем 60 тыс.руб. или $ 2 тыс. Это значит, что на 40 млрд. руб. можно построить 40млрд руб./60 тыс. руб. ≈</w:t>
      </w:r>
      <w:r w:rsidRPr="00A81F9F">
        <w:rPr>
          <w:rStyle w:val="af5"/>
          <w:rFonts w:eastAsia="Calibri"/>
          <w:sz w:val="30"/>
        </w:rPr>
        <w:t xml:space="preserve">700 тыс. кв. м. </w:t>
      </w:r>
      <w:r w:rsidRPr="00A81F9F">
        <w:t xml:space="preserve">в год. </w:t>
      </w:r>
    </w:p>
    <w:p w:rsidR="009478DB" w:rsidRPr="00A81F9F" w:rsidRDefault="009478DB" w:rsidP="0063374C">
      <w:pPr>
        <w:ind w:firstLine="720"/>
        <w:jc w:val="both"/>
      </w:pPr>
    </w:p>
    <w:p w:rsidR="009478DB" w:rsidRPr="00A81F9F" w:rsidRDefault="009478DB" w:rsidP="0063374C">
      <w:pPr>
        <w:ind w:firstLine="709"/>
        <w:jc w:val="both"/>
        <w:rPr>
          <w:u w:val="single"/>
        </w:rPr>
      </w:pPr>
      <w:r w:rsidRPr="00A81F9F">
        <w:rPr>
          <w:u w:val="single"/>
        </w:rPr>
        <w:t>Потенциальные возможности строительного комплекса Московского региона по выполнению физических объемов строительства</w:t>
      </w:r>
    </w:p>
    <w:p w:rsidR="009478DB" w:rsidRPr="00A81F9F" w:rsidRDefault="009478DB" w:rsidP="0063374C">
      <w:pPr>
        <w:ind w:firstLine="709"/>
        <w:jc w:val="both"/>
        <w:rPr>
          <w:u w:val="single"/>
        </w:rPr>
      </w:pPr>
    </w:p>
    <w:p w:rsidR="009478DB" w:rsidRPr="00A81F9F" w:rsidRDefault="009478DB" w:rsidP="0063374C">
      <w:pPr>
        <w:ind w:firstLine="720"/>
        <w:jc w:val="both"/>
      </w:pPr>
      <w:r w:rsidRPr="00A81F9F">
        <w:t xml:space="preserve">По данным </w:t>
      </w:r>
      <w:hyperlink r:id="rId109" w:history="1">
        <w:r w:rsidRPr="00A81F9F">
          <w:rPr>
            <w:rStyle w:val="a4"/>
          </w:rPr>
          <w:t>http://realty.newsru.ru/article/08feb2012/vvod_zhilya</w:t>
        </w:r>
      </w:hyperlink>
      <w:r w:rsidRPr="00A81F9F">
        <w:t xml:space="preserve"> в </w:t>
      </w:r>
      <w:smartTag w:uri="urn:schemas-microsoft-com:office:smarttags" w:element="metricconverter">
        <w:smartTagPr>
          <w:attr w:name="ProductID" w:val="2011 г"/>
        </w:smartTagPr>
        <w:r w:rsidRPr="00A81F9F">
          <w:t>2011 г</w:t>
        </w:r>
      </w:smartTag>
      <w:r w:rsidRPr="00A81F9F">
        <w:t xml:space="preserve">. было введено почти 7 млн. кв. м. различной недвижимости, в т.ч. 2,1 млн. кв. м.  – жилья. Или на 1 млн. кв. м. больше, чем в </w:t>
      </w:r>
      <w:smartTag w:uri="urn:schemas-microsoft-com:office:smarttags" w:element="metricconverter">
        <w:smartTagPr>
          <w:attr w:name="ProductID" w:val="2010 г"/>
        </w:smartTagPr>
        <w:r w:rsidRPr="00A81F9F">
          <w:t>2010 г</w:t>
        </w:r>
      </w:smartTag>
      <w:r w:rsidRPr="00A81F9F">
        <w:t xml:space="preserve">. – рост 14%. Стоит отметить, что 822 тыс. кВ м. из них было передано под заселение очередниками и переселение граждан из ветхого и аварийного жилья. </w:t>
      </w:r>
    </w:p>
    <w:p w:rsidR="009478DB" w:rsidRDefault="009478DB" w:rsidP="005441BB">
      <w:pPr>
        <w:ind w:firstLine="720"/>
        <w:jc w:val="both"/>
      </w:pPr>
      <w:r w:rsidRPr="00A81F9F">
        <w:t>На рис.</w:t>
      </w:r>
      <w:r w:rsidR="00625C4E">
        <w:t xml:space="preserve"> 86 </w:t>
      </w:r>
      <w:r w:rsidRPr="00A81F9F">
        <w:t>показана динамика ввода в действие жилья в тыс. кв. м. в Москве, Московской области и в сумме по Московскому региону.</w:t>
      </w:r>
    </w:p>
    <w:p w:rsidR="00625C4E" w:rsidRDefault="00625C4E" w:rsidP="005441BB">
      <w:pPr>
        <w:ind w:firstLine="720"/>
        <w:jc w:val="both"/>
      </w:pPr>
    </w:p>
    <w:p w:rsidR="00625C4E" w:rsidRPr="00A81F9F" w:rsidRDefault="00625C4E" w:rsidP="005441BB">
      <w:pPr>
        <w:ind w:firstLine="720"/>
        <w:jc w:val="both"/>
      </w:pPr>
    </w:p>
    <w:p w:rsidR="009478DB" w:rsidRPr="00A81F9F" w:rsidRDefault="007C1ADE" w:rsidP="0063374C">
      <w:pPr>
        <w:ind w:firstLine="720"/>
        <w:jc w:val="both"/>
      </w:pPr>
      <w:r>
        <w:rPr>
          <w:noProof/>
        </w:rPr>
        <w:drawing>
          <wp:inline distT="0" distB="0" distL="0" distR="0">
            <wp:extent cx="4914900" cy="3571875"/>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0" cstate="print"/>
                    <a:srcRect/>
                    <a:stretch>
                      <a:fillRect/>
                    </a:stretch>
                  </pic:blipFill>
                  <pic:spPr bwMode="auto">
                    <a:xfrm>
                      <a:off x="0" y="0"/>
                      <a:ext cx="4914900" cy="3571875"/>
                    </a:xfrm>
                    <a:prstGeom prst="rect">
                      <a:avLst/>
                    </a:prstGeom>
                    <a:noFill/>
                    <a:ln w="9525">
                      <a:noFill/>
                      <a:miter lim="800000"/>
                      <a:headEnd/>
                      <a:tailEnd/>
                    </a:ln>
                  </pic:spPr>
                </pic:pic>
              </a:graphicData>
            </a:graphic>
          </wp:inline>
        </w:drawing>
      </w:r>
    </w:p>
    <w:p w:rsidR="00625C4E" w:rsidRDefault="00625C4E" w:rsidP="00625C4E">
      <w:pPr>
        <w:ind w:firstLine="720"/>
        <w:jc w:val="both"/>
      </w:pPr>
    </w:p>
    <w:p w:rsidR="009478DB" w:rsidRPr="00A81F9F" w:rsidRDefault="009478DB" w:rsidP="00625C4E">
      <w:pPr>
        <w:ind w:firstLine="720"/>
        <w:jc w:val="both"/>
      </w:pPr>
      <w:r w:rsidRPr="00A81F9F">
        <w:t>Рис.</w:t>
      </w:r>
      <w:r w:rsidR="00625C4E">
        <w:t xml:space="preserve"> 86.</w:t>
      </w:r>
      <w:r w:rsidRPr="00A81F9F">
        <w:t xml:space="preserve"> Динамика вводов жилья в Москве, Московской области и Московскому региону в целом в период 1970-2011 гг., по данным Росстата</w:t>
      </w:r>
      <w:r w:rsidR="00625C4E">
        <w:t>.</w:t>
      </w:r>
    </w:p>
    <w:p w:rsidR="009478DB" w:rsidRPr="00A81F9F" w:rsidRDefault="009478DB" w:rsidP="0063374C">
      <w:pPr>
        <w:ind w:firstLine="720"/>
        <w:jc w:val="both"/>
      </w:pPr>
    </w:p>
    <w:p w:rsidR="009478DB" w:rsidRPr="00A81F9F" w:rsidRDefault="0053264E" w:rsidP="0063374C">
      <w:pPr>
        <w:ind w:firstLine="720"/>
        <w:jc w:val="both"/>
      </w:pPr>
      <w:r>
        <w:t>Из рис.</w:t>
      </w:r>
      <w:r w:rsidR="00625C4E">
        <w:t xml:space="preserve"> 86 </w:t>
      </w:r>
      <w:r w:rsidR="009478DB" w:rsidRPr="00A81F9F">
        <w:t xml:space="preserve">видно, что, начиная с </w:t>
      </w:r>
      <w:smartTag w:uri="urn:schemas-microsoft-com:office:smarttags" w:element="metricconverter">
        <w:smartTagPr>
          <w:attr w:name="ProductID" w:val="2007 г"/>
        </w:smartTagPr>
        <w:r w:rsidR="009478DB" w:rsidRPr="00A81F9F">
          <w:t>2007 г</w:t>
        </w:r>
      </w:smartTag>
      <w:r w:rsidR="009478DB" w:rsidRPr="00A81F9F">
        <w:t xml:space="preserve">., темп ввода жилья в Московской области остается на постоянном уровне 8 млн. кв. м в год и, по-видимому, на этом уровне будет держаться дальше, тогда как  в Москве  общий объем ввода  жилья упал с 4,8 до 2,1 млн.кв. м в год. Отсюда следует, что строительный комплекс Москвы потенциально имеет возможность дополнительно вводить около 2 млн. кв. м. жилья в год. Но даже в этом случае чтобы построить 60 млн. кв.м. жилья понадобится </w:t>
      </w:r>
    </w:p>
    <w:p w:rsidR="009478DB" w:rsidRPr="00A81F9F" w:rsidRDefault="009478DB" w:rsidP="0063374C">
      <w:pPr>
        <w:jc w:val="both"/>
      </w:pPr>
      <w:r w:rsidRPr="00A81F9F">
        <w:t>60 млн. кв. м./2 млн. кВ. м =</w:t>
      </w:r>
      <w:r w:rsidRPr="00A81F9F">
        <w:rPr>
          <w:rStyle w:val="af5"/>
          <w:rFonts w:eastAsia="Calibri"/>
          <w:sz w:val="30"/>
        </w:rPr>
        <w:t>30 лет</w:t>
      </w:r>
      <w:r w:rsidRPr="00A81F9F">
        <w:t xml:space="preserve">, </w:t>
      </w:r>
      <w:r w:rsidRPr="00A81F9F">
        <w:rPr>
          <w:rStyle w:val="af5"/>
          <w:rFonts w:eastAsia="Calibri"/>
          <w:sz w:val="30"/>
        </w:rPr>
        <w:t>но никак не 10 лет</w:t>
      </w:r>
      <w:r w:rsidRPr="00A81F9F">
        <w:t xml:space="preserve">, как это принято в программе Минэнерго </w:t>
      </w:r>
      <w:smartTag w:uri="urn:schemas-microsoft-com:office:smarttags" w:element="metricconverter">
        <w:smartTagPr>
          <w:attr w:name="ProductID" w:val="2012 г"/>
        </w:smartTagPr>
        <w:r w:rsidRPr="00A81F9F">
          <w:t>2012 г</w:t>
        </w:r>
      </w:smartTag>
      <w:r w:rsidRPr="00A81F9F">
        <w:t>.</w:t>
      </w:r>
    </w:p>
    <w:p w:rsidR="009478DB" w:rsidRPr="00A81F9F" w:rsidRDefault="009478DB" w:rsidP="0063374C">
      <w:pPr>
        <w:ind w:firstLine="720"/>
        <w:jc w:val="both"/>
      </w:pPr>
      <w:r w:rsidRPr="00A81F9F">
        <w:t xml:space="preserve">Таким образом,  рост жилищного строительства на новых территориях будет ограничиваться: максимум 700 тыс. кв. м. жилья в год, как по возможному спросу, так и по ограниченности инвестиционных ресурсов. По-видимому, примерно столько же может вводиться  объектов общественно-делового назначения. Итого, максимум 1,4 млн. кв. м. в год, что составляет 10% от общего ввода площадей 14,8 млн. кв. м различной недвижимости в Московском регионе в </w:t>
      </w:r>
      <w:smartTag w:uri="urn:schemas-microsoft-com:office:smarttags" w:element="metricconverter">
        <w:smartTagPr>
          <w:attr w:name="ProductID" w:val="2010 г"/>
        </w:smartTagPr>
        <w:r w:rsidRPr="00A81F9F">
          <w:t>2010 г</w:t>
        </w:r>
      </w:smartTag>
      <w:r w:rsidRPr="00A81F9F">
        <w:t xml:space="preserve">. Отсюда следует, что дополнительный рост электропотребления за счет объектов, построенных на новых территориях </w:t>
      </w:r>
      <w:r w:rsidRPr="00A81F9F">
        <w:rPr>
          <w:rStyle w:val="af5"/>
          <w:rFonts w:eastAsia="Calibri"/>
          <w:sz w:val="30"/>
        </w:rPr>
        <w:t xml:space="preserve">будет несущественным. </w:t>
      </w:r>
      <w:r w:rsidRPr="00A81F9F">
        <w:t xml:space="preserve">Тем более, что, в основном, переезд жителей на новые территории будет происходить внутри Москвы и Московской области, естественно, переезжающие уменьшат свое электропотребление на старых квартирах. </w:t>
      </w:r>
    </w:p>
    <w:p w:rsidR="009478DB" w:rsidRPr="00A81F9F" w:rsidRDefault="009478DB" w:rsidP="0063374C">
      <w:pPr>
        <w:ind w:firstLine="720"/>
        <w:jc w:val="both"/>
      </w:pPr>
      <w:r w:rsidRPr="00A81F9F">
        <w:t xml:space="preserve">Можно рассмотреть также исходя из удельных показателей. При ежегодном заселении будет 1000 коттеджей и 2000 таунхаусов – 3000 семей общая численность проживающих составит:3000*3,1 =9 300 чел. Тогда, при удельном потреблении электроэнергии 5 000 кВт.ч. в год суммарное электропотребление составит </w:t>
      </w:r>
    </w:p>
    <w:p w:rsidR="009478DB" w:rsidRPr="00A81F9F" w:rsidRDefault="009478DB" w:rsidP="0063374C">
      <w:pPr>
        <w:ind w:firstLine="720"/>
        <w:jc w:val="both"/>
      </w:pPr>
      <w:r w:rsidRPr="00A81F9F">
        <w:t xml:space="preserve">9300* 5000=46,5 млн. кВт.ч в год. За 10 лет за счет переселенцев на новые территории 46,5*10 = 465 млн. кВт.ч. И в 2 раза больше -  за счет объектов общественно-делового назначения. Итого, суммарно – не более </w:t>
      </w:r>
      <w:r w:rsidRPr="00A81F9F">
        <w:rPr>
          <w:rStyle w:val="af5"/>
          <w:rFonts w:eastAsia="Calibri"/>
          <w:sz w:val="30"/>
        </w:rPr>
        <w:t>1,5 млрд. кВт.ч.</w:t>
      </w:r>
      <w:r w:rsidRPr="00A81F9F">
        <w:t xml:space="preserve"> Эта величина вполне укладывается в разброс между различными сценариями электропотребления  до </w:t>
      </w:r>
      <w:smartTag w:uri="urn:schemas-microsoft-com:office:smarttags" w:element="metricconverter">
        <w:smartTagPr>
          <w:attr w:name="ProductID" w:val="2020 г"/>
        </w:smartTagPr>
        <w:r w:rsidRPr="00A81F9F">
          <w:t>2020 г</w:t>
        </w:r>
      </w:smartTag>
      <w:r w:rsidRPr="00A81F9F">
        <w:t xml:space="preserve">., рассмотренными в данной работе </w:t>
      </w:r>
      <w:r>
        <w:t>(см. рис.</w:t>
      </w:r>
      <w:r w:rsidR="005441BB">
        <w:t>6</w:t>
      </w:r>
      <w:r w:rsidR="00057A80">
        <w:t>8</w:t>
      </w:r>
      <w:r w:rsidRPr="00A81F9F">
        <w:t xml:space="preserve">). </w:t>
      </w:r>
    </w:p>
    <w:p w:rsidR="009478DB" w:rsidRPr="00A81F9F" w:rsidRDefault="009478DB" w:rsidP="0063374C">
      <w:pPr>
        <w:ind w:firstLine="720"/>
        <w:jc w:val="both"/>
      </w:pPr>
      <w:r w:rsidRPr="00A81F9F">
        <w:t xml:space="preserve">Полученные оценки показывают, что заложенное в программе Минэнерго </w:t>
      </w:r>
      <w:smartTag w:uri="urn:schemas-microsoft-com:office:smarttags" w:element="metricconverter">
        <w:smartTagPr>
          <w:attr w:name="ProductID" w:val="2012 г"/>
        </w:smartTagPr>
        <w:r w:rsidRPr="00A81F9F">
          <w:t>2012 г</w:t>
        </w:r>
      </w:smartTag>
      <w:r w:rsidRPr="00A81F9F">
        <w:t xml:space="preserve">. увеличение электропотребления на 20 млрд. кВт.ч. до </w:t>
      </w:r>
      <w:smartTag w:uri="urn:schemas-microsoft-com:office:smarttags" w:element="metricconverter">
        <w:smartTagPr>
          <w:attr w:name="ProductID" w:val="2020 г"/>
        </w:smartTagPr>
        <w:r w:rsidRPr="00A81F9F">
          <w:t>2020 г</w:t>
        </w:r>
      </w:smartTag>
      <w:r w:rsidRPr="00A81F9F">
        <w:t xml:space="preserve">. в Москве за счет освоения новых территорий является </w:t>
      </w:r>
      <w:r w:rsidRPr="00FA47AA">
        <w:rPr>
          <w:b/>
          <w:u w:val="single"/>
        </w:rPr>
        <w:t>абсурдным</w:t>
      </w:r>
      <w:r w:rsidRPr="00A81F9F">
        <w:t xml:space="preserve">. Аналогом такого абсурда является  Генеральная схема размещения объектов электроэнергетики в России до </w:t>
      </w:r>
      <w:smartTag w:uri="urn:schemas-microsoft-com:office:smarttags" w:element="metricconverter">
        <w:smartTagPr>
          <w:attr w:name="ProductID" w:val="2020 г"/>
        </w:smartTagPr>
        <w:r w:rsidRPr="00A81F9F">
          <w:t>2020 г</w:t>
        </w:r>
      </w:smartTag>
      <w:r w:rsidRPr="00A81F9F">
        <w:t>., предложенн</w:t>
      </w:r>
      <w:r w:rsidR="0068490C">
        <w:t>ая</w:t>
      </w:r>
      <w:r w:rsidRPr="00A81F9F">
        <w:t xml:space="preserve"> РАО ЕЭС (А. Чубайс) и Росатомом (С. Кириенко) </w:t>
      </w:r>
      <w:r w:rsidR="0068490C">
        <w:t xml:space="preserve">и одобренная Правительством РФ </w:t>
      </w:r>
      <w:r w:rsidRPr="00A81F9F">
        <w:t>в</w:t>
      </w:r>
      <w:r w:rsidR="0068490C">
        <w:t xml:space="preserve"> марте</w:t>
      </w:r>
      <w:r w:rsidRPr="00A81F9F">
        <w:t xml:space="preserve"> </w:t>
      </w:r>
      <w:smartTag w:uri="urn:schemas-microsoft-com:office:smarttags" w:element="metricconverter">
        <w:smartTagPr>
          <w:attr w:name="ProductID" w:val="2008 г"/>
        </w:smartTagPr>
        <w:r w:rsidRPr="00A81F9F">
          <w:t>2008 г</w:t>
        </w:r>
      </w:smartTag>
      <w:r w:rsidR="0068490C">
        <w:t>.</w:t>
      </w:r>
      <w:r w:rsidR="00C60C9E">
        <w:t>,</w:t>
      </w:r>
      <w:r w:rsidRPr="00A81F9F">
        <w:t xml:space="preserve"> где было </w:t>
      </w:r>
      <w:r w:rsidR="00C60C9E">
        <w:t>заявлено</w:t>
      </w:r>
      <w:r w:rsidRPr="00A81F9F">
        <w:t xml:space="preserve"> </w:t>
      </w:r>
      <w:r w:rsidR="00C60C9E">
        <w:t>строительство</w:t>
      </w:r>
      <w:r w:rsidRPr="00A81F9F">
        <w:t xml:space="preserve"> 200 ГВт новых генерирующих мощностей за 12 лет.</w:t>
      </w:r>
    </w:p>
    <w:p w:rsidR="009478DB" w:rsidRPr="00A81F9F" w:rsidRDefault="00801933" w:rsidP="00212929">
      <w:pPr>
        <w:pStyle w:val="2"/>
      </w:pPr>
      <w:r>
        <w:br w:type="page"/>
      </w:r>
      <w:bookmarkStart w:id="92" w:name="_Toc370759799"/>
      <w:bookmarkStart w:id="93" w:name="_Toc374557805"/>
      <w:r w:rsidR="009478DB" w:rsidRPr="00A81F9F">
        <w:t>По Разделу 10. Оценка необходимых объемов капитальных вложений в сооружение электростанций и электросетевых объектов напряжением 220 кВ и выше на 201</w:t>
      </w:r>
      <w:r w:rsidR="00542AE8">
        <w:t>3</w:t>
      </w:r>
      <w:r w:rsidR="009478DB" w:rsidRPr="00A81F9F">
        <w:t>-201</w:t>
      </w:r>
      <w:r w:rsidR="00542AE8">
        <w:t>9</w:t>
      </w:r>
      <w:r w:rsidR="009478DB" w:rsidRPr="00A81F9F">
        <w:t xml:space="preserve"> гг.</w:t>
      </w:r>
      <w:bookmarkEnd w:id="92"/>
      <w:bookmarkEnd w:id="93"/>
      <w:r w:rsidR="009478DB" w:rsidRPr="00A81F9F">
        <w:t xml:space="preserve"> </w:t>
      </w:r>
    </w:p>
    <w:p w:rsidR="009478DB" w:rsidRPr="00A81F9F" w:rsidRDefault="009478DB" w:rsidP="00EE1A61">
      <w:pPr>
        <w:ind w:firstLine="709"/>
        <w:jc w:val="both"/>
      </w:pPr>
    </w:p>
    <w:p w:rsidR="009478DB" w:rsidRPr="00A81F9F" w:rsidRDefault="009478DB" w:rsidP="00EE1A61">
      <w:pPr>
        <w:ind w:firstLine="709"/>
        <w:jc w:val="both"/>
      </w:pPr>
      <w:r w:rsidRPr="00A81F9F">
        <w:t xml:space="preserve">Инвестиционная программа ЕЭС России по прогнозам Минэнерго 2011г. в период 2011-2017гг. составила 3,796 трлн. руб., в т.ч. по объектам генерации – 2,2678 трлн. руб.; электрическим сетям – 1,5292 трлн. руб. в базовых российских ценах на 01.01.2010г., будем считать, что включается НДС (18%). Однако в самом тексте об этом не говорится. </w:t>
      </w:r>
    </w:p>
    <w:p w:rsidR="009478DB" w:rsidRPr="00A81F9F" w:rsidRDefault="009478DB" w:rsidP="00EE1A61">
      <w:pPr>
        <w:ind w:firstLine="709"/>
        <w:jc w:val="both"/>
      </w:pPr>
      <w:r w:rsidRPr="00A81F9F">
        <w:t xml:space="preserve">Инновационная программа ЕЭС России в прогнозе Минэнерго </w:t>
      </w:r>
      <w:smartTag w:uri="urn:schemas-microsoft-com:office:smarttags" w:element="metricconverter">
        <w:smartTagPr>
          <w:attr w:name="ProductID" w:val="2012 г"/>
        </w:smartTagPr>
        <w:r w:rsidRPr="00A81F9F">
          <w:t>2012 г</w:t>
        </w:r>
      </w:smartTag>
      <w:r w:rsidRPr="00A81F9F">
        <w:t xml:space="preserve">. в прогнозных ценах, с учетом НДС (18%) и инфляционным удорожанием </w:t>
      </w:r>
      <w:r w:rsidR="00F80151">
        <w:t>в период 201</w:t>
      </w:r>
      <w:r w:rsidR="00861E25">
        <w:t>2</w:t>
      </w:r>
      <w:r w:rsidR="00F80151">
        <w:t>-201</w:t>
      </w:r>
      <w:r w:rsidR="00861E25">
        <w:t>8</w:t>
      </w:r>
      <w:r w:rsidRPr="00A81F9F">
        <w:t xml:space="preserve"> гг. Прогнозные цены рассчитывались на основе индексов дефляторов, представленных в сценарных условиях развития электроэнергетики на период до 2030г. </w:t>
      </w:r>
    </w:p>
    <w:p w:rsidR="002222D9" w:rsidRDefault="009478DB" w:rsidP="00EE1A61">
      <w:pPr>
        <w:ind w:firstLine="709"/>
        <w:jc w:val="both"/>
      </w:pPr>
      <w:r w:rsidRPr="00A81F9F">
        <w:t>Ниже в Таблице 1</w:t>
      </w:r>
      <w:r w:rsidR="0003225F">
        <w:t>4</w:t>
      </w:r>
      <w:r w:rsidRPr="00A81F9F">
        <w:t xml:space="preserve"> представлены данные инвестиционной программы ЕЭС России в соответствии с прогнозом Минэнерго 2011г.</w:t>
      </w:r>
      <w:r w:rsidR="001160E0">
        <w:t xml:space="preserve"> ( в ценах 01.10.2010г.). </w:t>
      </w:r>
    </w:p>
    <w:p w:rsidR="00A2715A" w:rsidRDefault="00A2715A" w:rsidP="00A2715A">
      <w:pPr>
        <w:ind w:firstLine="709"/>
        <w:jc w:val="right"/>
      </w:pPr>
    </w:p>
    <w:p w:rsidR="003C3C5F" w:rsidRDefault="00A2715A" w:rsidP="00A2715A">
      <w:pPr>
        <w:ind w:firstLine="709"/>
        <w:jc w:val="right"/>
      </w:pPr>
      <w:r w:rsidRPr="00A81F9F">
        <w:t>Таблица 1</w:t>
      </w:r>
      <w:r w:rsidR="0003225F">
        <w:t>4</w:t>
      </w:r>
      <w:r w:rsidRPr="00A81F9F">
        <w:t>.</w:t>
      </w:r>
    </w:p>
    <w:p w:rsidR="00A2715A" w:rsidRDefault="00A2715A" w:rsidP="00A2715A">
      <w:pPr>
        <w:ind w:firstLine="709"/>
        <w:jc w:val="right"/>
      </w:pPr>
    </w:p>
    <w:p w:rsidR="002222D9" w:rsidRPr="00A81F9F" w:rsidRDefault="002222D9" w:rsidP="00A2715A">
      <w:pPr>
        <w:ind w:firstLine="709"/>
        <w:jc w:val="center"/>
      </w:pPr>
      <w:r w:rsidRPr="00A81F9F">
        <w:t xml:space="preserve">Инвестиции по прогнозу Минэнерго 2011г. в млрд. руб. </w:t>
      </w:r>
      <w:r>
        <w:t>в ценах 01.10.2010г.</w:t>
      </w:r>
    </w:p>
    <w:p w:rsidR="00F440F7" w:rsidRDefault="00F440F7" w:rsidP="003C3C5F">
      <w:pPr>
        <w:ind w:firstLine="709"/>
        <w:jc w:val="right"/>
      </w:pPr>
    </w:p>
    <w:tbl>
      <w:tblPr>
        <w:tblW w:w="110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1"/>
        <w:gridCol w:w="1182"/>
        <w:gridCol w:w="988"/>
        <w:gridCol w:w="987"/>
        <w:gridCol w:w="987"/>
        <w:gridCol w:w="987"/>
        <w:gridCol w:w="987"/>
        <w:gridCol w:w="987"/>
        <w:gridCol w:w="936"/>
        <w:gridCol w:w="1107"/>
      </w:tblGrid>
      <w:tr w:rsidR="00BA1D0F" w:rsidRPr="00A81F9F" w:rsidTr="00DB69C4">
        <w:tc>
          <w:tcPr>
            <w:tcW w:w="1881" w:type="dxa"/>
          </w:tcPr>
          <w:p w:rsidR="00BA1D0F" w:rsidRPr="00A81F9F" w:rsidRDefault="00BA1D0F" w:rsidP="001E078B">
            <w:pPr>
              <w:jc w:val="both"/>
            </w:pPr>
          </w:p>
        </w:tc>
        <w:tc>
          <w:tcPr>
            <w:tcW w:w="1182" w:type="dxa"/>
          </w:tcPr>
          <w:p w:rsidR="00BA1D0F" w:rsidRPr="00A81F9F" w:rsidRDefault="00BA1D0F" w:rsidP="001E078B">
            <w:pPr>
              <w:jc w:val="both"/>
              <w:rPr>
                <w:b/>
                <w:bCs/>
              </w:rPr>
            </w:pPr>
            <w:r w:rsidRPr="00A81F9F">
              <w:rPr>
                <w:b/>
                <w:bCs/>
              </w:rPr>
              <w:t xml:space="preserve">Тип </w:t>
            </w:r>
          </w:p>
          <w:p w:rsidR="00BA1D0F" w:rsidRPr="00A81F9F" w:rsidRDefault="00BA1D0F" w:rsidP="001E078B">
            <w:pPr>
              <w:jc w:val="both"/>
              <w:rPr>
                <w:b/>
                <w:bCs/>
              </w:rPr>
            </w:pPr>
            <w:r w:rsidRPr="00A81F9F">
              <w:rPr>
                <w:b/>
                <w:bCs/>
              </w:rPr>
              <w:t>Станции</w:t>
            </w:r>
          </w:p>
        </w:tc>
        <w:tc>
          <w:tcPr>
            <w:tcW w:w="988" w:type="dxa"/>
          </w:tcPr>
          <w:p w:rsidR="00BA1D0F" w:rsidRPr="00A81F9F" w:rsidRDefault="00BA1D0F" w:rsidP="001E078B">
            <w:pPr>
              <w:jc w:val="both"/>
              <w:rPr>
                <w:b/>
                <w:bCs/>
              </w:rPr>
            </w:pPr>
            <w:r w:rsidRPr="00A81F9F">
              <w:rPr>
                <w:b/>
                <w:bCs/>
              </w:rPr>
              <w:t xml:space="preserve">2011 </w:t>
            </w:r>
          </w:p>
        </w:tc>
        <w:tc>
          <w:tcPr>
            <w:tcW w:w="987" w:type="dxa"/>
          </w:tcPr>
          <w:p w:rsidR="00BA1D0F" w:rsidRPr="00A81F9F" w:rsidRDefault="00BA1D0F" w:rsidP="001E078B">
            <w:pPr>
              <w:jc w:val="both"/>
              <w:rPr>
                <w:b/>
                <w:bCs/>
              </w:rPr>
            </w:pPr>
            <w:r w:rsidRPr="00A81F9F">
              <w:rPr>
                <w:b/>
                <w:bCs/>
              </w:rPr>
              <w:t xml:space="preserve">2012 </w:t>
            </w:r>
          </w:p>
        </w:tc>
        <w:tc>
          <w:tcPr>
            <w:tcW w:w="987" w:type="dxa"/>
          </w:tcPr>
          <w:p w:rsidR="00BA1D0F" w:rsidRPr="00A81F9F" w:rsidRDefault="00BA1D0F" w:rsidP="001E078B">
            <w:pPr>
              <w:jc w:val="both"/>
              <w:rPr>
                <w:b/>
                <w:bCs/>
              </w:rPr>
            </w:pPr>
            <w:r w:rsidRPr="00A81F9F">
              <w:rPr>
                <w:b/>
                <w:bCs/>
              </w:rPr>
              <w:t xml:space="preserve">2013 </w:t>
            </w:r>
          </w:p>
        </w:tc>
        <w:tc>
          <w:tcPr>
            <w:tcW w:w="987" w:type="dxa"/>
          </w:tcPr>
          <w:p w:rsidR="00BA1D0F" w:rsidRPr="00A81F9F" w:rsidRDefault="00BA1D0F" w:rsidP="001E078B">
            <w:pPr>
              <w:jc w:val="both"/>
              <w:rPr>
                <w:b/>
                <w:bCs/>
              </w:rPr>
            </w:pPr>
            <w:r w:rsidRPr="00A81F9F">
              <w:rPr>
                <w:b/>
                <w:bCs/>
              </w:rPr>
              <w:t xml:space="preserve">2014 </w:t>
            </w:r>
          </w:p>
        </w:tc>
        <w:tc>
          <w:tcPr>
            <w:tcW w:w="987" w:type="dxa"/>
          </w:tcPr>
          <w:p w:rsidR="00BA1D0F" w:rsidRPr="00A81F9F" w:rsidRDefault="00BA1D0F" w:rsidP="001E078B">
            <w:pPr>
              <w:jc w:val="both"/>
              <w:rPr>
                <w:b/>
                <w:bCs/>
              </w:rPr>
            </w:pPr>
            <w:r w:rsidRPr="00A81F9F">
              <w:rPr>
                <w:b/>
                <w:bCs/>
              </w:rPr>
              <w:t xml:space="preserve">2015 </w:t>
            </w:r>
          </w:p>
        </w:tc>
        <w:tc>
          <w:tcPr>
            <w:tcW w:w="987" w:type="dxa"/>
          </w:tcPr>
          <w:p w:rsidR="00BA1D0F" w:rsidRPr="00A81F9F" w:rsidRDefault="00BA1D0F" w:rsidP="001E078B">
            <w:pPr>
              <w:jc w:val="both"/>
              <w:rPr>
                <w:b/>
                <w:bCs/>
              </w:rPr>
            </w:pPr>
            <w:r w:rsidRPr="00A81F9F">
              <w:rPr>
                <w:b/>
                <w:bCs/>
              </w:rPr>
              <w:t xml:space="preserve">2016 </w:t>
            </w:r>
          </w:p>
        </w:tc>
        <w:tc>
          <w:tcPr>
            <w:tcW w:w="936" w:type="dxa"/>
          </w:tcPr>
          <w:p w:rsidR="00BA1D0F" w:rsidRPr="00A81F9F" w:rsidRDefault="00BA1D0F" w:rsidP="001E078B">
            <w:pPr>
              <w:jc w:val="both"/>
              <w:rPr>
                <w:b/>
                <w:bCs/>
              </w:rPr>
            </w:pPr>
            <w:r w:rsidRPr="00A81F9F">
              <w:rPr>
                <w:b/>
                <w:bCs/>
              </w:rPr>
              <w:t xml:space="preserve">2017 </w:t>
            </w:r>
          </w:p>
        </w:tc>
        <w:tc>
          <w:tcPr>
            <w:tcW w:w="1107" w:type="dxa"/>
          </w:tcPr>
          <w:p w:rsidR="00BA1D0F" w:rsidRPr="00A81F9F" w:rsidRDefault="00BA1D0F" w:rsidP="001E078B">
            <w:pPr>
              <w:jc w:val="both"/>
              <w:rPr>
                <w:b/>
                <w:bCs/>
              </w:rPr>
            </w:pPr>
            <w:r w:rsidRPr="00A81F9F">
              <w:rPr>
                <w:b/>
                <w:bCs/>
              </w:rPr>
              <w:t>Итого за 2011-2017гг.</w:t>
            </w:r>
          </w:p>
        </w:tc>
      </w:tr>
      <w:tr w:rsidR="00DB69C4" w:rsidRPr="00A81F9F" w:rsidTr="00DB69C4">
        <w:tc>
          <w:tcPr>
            <w:tcW w:w="1881" w:type="dxa"/>
          </w:tcPr>
          <w:p w:rsidR="00DB69C4" w:rsidRPr="00A81F9F" w:rsidRDefault="00DB69C4" w:rsidP="001E078B">
            <w:pPr>
              <w:jc w:val="both"/>
              <w:rPr>
                <w:b/>
                <w:bCs/>
              </w:rPr>
            </w:pPr>
            <w:r w:rsidRPr="00A81F9F">
              <w:rPr>
                <w:b/>
                <w:bCs/>
              </w:rPr>
              <w:t>Генерация. Из нее:</w:t>
            </w:r>
          </w:p>
        </w:tc>
        <w:tc>
          <w:tcPr>
            <w:tcW w:w="1182" w:type="dxa"/>
          </w:tcPr>
          <w:p w:rsidR="00DB69C4" w:rsidRPr="00A81F9F" w:rsidRDefault="00DB69C4" w:rsidP="001E078B">
            <w:pPr>
              <w:jc w:val="both"/>
              <w:rPr>
                <w:b/>
                <w:bCs/>
              </w:rPr>
            </w:pPr>
          </w:p>
        </w:tc>
        <w:tc>
          <w:tcPr>
            <w:tcW w:w="988" w:type="dxa"/>
            <w:vAlign w:val="bottom"/>
          </w:tcPr>
          <w:p w:rsidR="00DB69C4" w:rsidRPr="00DB69C4" w:rsidRDefault="00DB69C4">
            <w:pPr>
              <w:jc w:val="right"/>
              <w:rPr>
                <w:bCs/>
                <w:color w:val="000000"/>
              </w:rPr>
            </w:pPr>
            <w:r w:rsidRPr="00DB69C4">
              <w:rPr>
                <w:bCs/>
                <w:color w:val="000000"/>
              </w:rPr>
              <w:t>413,9</w:t>
            </w:r>
          </w:p>
        </w:tc>
        <w:tc>
          <w:tcPr>
            <w:tcW w:w="987" w:type="dxa"/>
            <w:vAlign w:val="bottom"/>
          </w:tcPr>
          <w:p w:rsidR="00DB69C4" w:rsidRPr="00DB69C4" w:rsidRDefault="00DB69C4">
            <w:pPr>
              <w:jc w:val="right"/>
              <w:rPr>
                <w:bCs/>
                <w:color w:val="000000"/>
              </w:rPr>
            </w:pPr>
            <w:r w:rsidRPr="00DB69C4">
              <w:rPr>
                <w:bCs/>
                <w:color w:val="000000"/>
              </w:rPr>
              <w:t>439,4</w:t>
            </w:r>
          </w:p>
        </w:tc>
        <w:tc>
          <w:tcPr>
            <w:tcW w:w="987" w:type="dxa"/>
            <w:vAlign w:val="bottom"/>
          </w:tcPr>
          <w:p w:rsidR="00DB69C4" w:rsidRPr="00DB69C4" w:rsidRDefault="00DB69C4">
            <w:pPr>
              <w:jc w:val="right"/>
              <w:rPr>
                <w:bCs/>
                <w:color w:val="000000"/>
              </w:rPr>
            </w:pPr>
            <w:r w:rsidRPr="00DB69C4">
              <w:rPr>
                <w:bCs/>
                <w:color w:val="000000"/>
              </w:rPr>
              <w:t>518,8</w:t>
            </w:r>
          </w:p>
        </w:tc>
        <w:tc>
          <w:tcPr>
            <w:tcW w:w="987" w:type="dxa"/>
            <w:vAlign w:val="bottom"/>
          </w:tcPr>
          <w:p w:rsidR="00DB69C4" w:rsidRPr="00DB69C4" w:rsidRDefault="00DB69C4">
            <w:pPr>
              <w:jc w:val="right"/>
              <w:rPr>
                <w:bCs/>
                <w:color w:val="000000"/>
              </w:rPr>
            </w:pPr>
            <w:r w:rsidRPr="00DB69C4">
              <w:rPr>
                <w:bCs/>
                <w:color w:val="000000"/>
              </w:rPr>
              <w:t>463</w:t>
            </w:r>
          </w:p>
        </w:tc>
        <w:tc>
          <w:tcPr>
            <w:tcW w:w="987" w:type="dxa"/>
            <w:vAlign w:val="bottom"/>
          </w:tcPr>
          <w:p w:rsidR="00DB69C4" w:rsidRPr="00DB69C4" w:rsidRDefault="00DB69C4">
            <w:pPr>
              <w:jc w:val="right"/>
              <w:rPr>
                <w:bCs/>
                <w:color w:val="000000"/>
              </w:rPr>
            </w:pPr>
            <w:r w:rsidRPr="00DB69C4">
              <w:rPr>
                <w:bCs/>
                <w:color w:val="000000"/>
              </w:rPr>
              <w:t>266,7</w:t>
            </w:r>
          </w:p>
        </w:tc>
        <w:tc>
          <w:tcPr>
            <w:tcW w:w="987" w:type="dxa"/>
            <w:vAlign w:val="bottom"/>
          </w:tcPr>
          <w:p w:rsidR="00DB69C4" w:rsidRPr="00DB69C4" w:rsidRDefault="00DB69C4">
            <w:pPr>
              <w:jc w:val="right"/>
              <w:rPr>
                <w:bCs/>
                <w:color w:val="000000"/>
              </w:rPr>
            </w:pPr>
            <w:r w:rsidRPr="00DB69C4">
              <w:rPr>
                <w:bCs/>
                <w:color w:val="000000"/>
              </w:rPr>
              <w:t>122,3</w:t>
            </w:r>
          </w:p>
        </w:tc>
        <w:tc>
          <w:tcPr>
            <w:tcW w:w="936" w:type="dxa"/>
            <w:vAlign w:val="bottom"/>
          </w:tcPr>
          <w:p w:rsidR="00DB69C4" w:rsidRPr="00DB69C4" w:rsidRDefault="00DB69C4">
            <w:pPr>
              <w:jc w:val="right"/>
              <w:rPr>
                <w:bCs/>
                <w:color w:val="000000"/>
              </w:rPr>
            </w:pPr>
            <w:r w:rsidRPr="00DB69C4">
              <w:rPr>
                <w:bCs/>
                <w:color w:val="000000"/>
              </w:rPr>
              <w:t>42,6</w:t>
            </w:r>
          </w:p>
        </w:tc>
        <w:tc>
          <w:tcPr>
            <w:tcW w:w="1107" w:type="dxa"/>
            <w:vAlign w:val="bottom"/>
          </w:tcPr>
          <w:p w:rsidR="00DB69C4" w:rsidRDefault="00DB69C4" w:rsidP="00A008AF">
            <w:pPr>
              <w:jc w:val="center"/>
              <w:rPr>
                <w:b/>
                <w:bCs/>
                <w:color w:val="000000"/>
              </w:rPr>
            </w:pPr>
            <w:r>
              <w:rPr>
                <w:b/>
                <w:bCs/>
                <w:color w:val="000000"/>
              </w:rPr>
              <w:t>2266,8</w:t>
            </w:r>
          </w:p>
        </w:tc>
      </w:tr>
      <w:tr w:rsidR="00BA1D0F" w:rsidRPr="00A81F9F" w:rsidTr="00DB69C4">
        <w:tc>
          <w:tcPr>
            <w:tcW w:w="1881" w:type="dxa"/>
          </w:tcPr>
          <w:p w:rsidR="00BA1D0F" w:rsidRPr="00A81F9F" w:rsidRDefault="00BA1D0F" w:rsidP="001E078B">
            <w:pPr>
              <w:jc w:val="both"/>
              <w:rPr>
                <w:b/>
                <w:bCs/>
              </w:rPr>
            </w:pPr>
          </w:p>
        </w:tc>
        <w:tc>
          <w:tcPr>
            <w:tcW w:w="1182" w:type="dxa"/>
          </w:tcPr>
          <w:p w:rsidR="00BA1D0F" w:rsidRPr="00A81F9F" w:rsidRDefault="00BA1D0F" w:rsidP="001E078B">
            <w:pPr>
              <w:jc w:val="both"/>
              <w:rPr>
                <w:b/>
                <w:bCs/>
              </w:rPr>
            </w:pPr>
            <w:r w:rsidRPr="00A81F9F">
              <w:rPr>
                <w:b/>
                <w:bCs/>
              </w:rPr>
              <w:t>АЭС</w:t>
            </w:r>
          </w:p>
        </w:tc>
        <w:tc>
          <w:tcPr>
            <w:tcW w:w="988" w:type="dxa"/>
            <w:vAlign w:val="bottom"/>
          </w:tcPr>
          <w:p w:rsidR="00BA1D0F" w:rsidRPr="00DB69C4" w:rsidRDefault="00BA1D0F">
            <w:pPr>
              <w:jc w:val="right"/>
              <w:rPr>
                <w:bCs/>
                <w:color w:val="000000"/>
              </w:rPr>
            </w:pPr>
            <w:r w:rsidRPr="00DB69C4">
              <w:rPr>
                <w:bCs/>
                <w:color w:val="000000"/>
              </w:rPr>
              <w:t>146,1</w:t>
            </w:r>
          </w:p>
        </w:tc>
        <w:tc>
          <w:tcPr>
            <w:tcW w:w="987" w:type="dxa"/>
            <w:vAlign w:val="bottom"/>
          </w:tcPr>
          <w:p w:rsidR="00BA1D0F" w:rsidRPr="00DB69C4" w:rsidRDefault="00BA1D0F">
            <w:pPr>
              <w:jc w:val="right"/>
              <w:rPr>
                <w:bCs/>
                <w:color w:val="000000"/>
              </w:rPr>
            </w:pPr>
            <w:r w:rsidRPr="00DB69C4">
              <w:rPr>
                <w:bCs/>
                <w:color w:val="000000"/>
              </w:rPr>
              <w:t>167,3</w:t>
            </w:r>
          </w:p>
        </w:tc>
        <w:tc>
          <w:tcPr>
            <w:tcW w:w="987" w:type="dxa"/>
            <w:vAlign w:val="bottom"/>
          </w:tcPr>
          <w:p w:rsidR="00BA1D0F" w:rsidRPr="00DB69C4" w:rsidRDefault="00BA1D0F">
            <w:pPr>
              <w:jc w:val="right"/>
              <w:rPr>
                <w:bCs/>
                <w:color w:val="000000"/>
              </w:rPr>
            </w:pPr>
            <w:r w:rsidRPr="00DB69C4">
              <w:rPr>
                <w:bCs/>
                <w:color w:val="000000"/>
              </w:rPr>
              <w:t>159,1</w:t>
            </w:r>
          </w:p>
        </w:tc>
        <w:tc>
          <w:tcPr>
            <w:tcW w:w="987" w:type="dxa"/>
            <w:vAlign w:val="bottom"/>
          </w:tcPr>
          <w:p w:rsidR="00BA1D0F" w:rsidRPr="00DB69C4" w:rsidRDefault="00BA1D0F">
            <w:pPr>
              <w:jc w:val="right"/>
              <w:rPr>
                <w:bCs/>
                <w:color w:val="000000"/>
              </w:rPr>
            </w:pPr>
            <w:r w:rsidRPr="00DB69C4">
              <w:rPr>
                <w:bCs/>
                <w:color w:val="000000"/>
              </w:rPr>
              <w:t>123,3</w:t>
            </w:r>
          </w:p>
        </w:tc>
        <w:tc>
          <w:tcPr>
            <w:tcW w:w="987" w:type="dxa"/>
            <w:vAlign w:val="bottom"/>
          </w:tcPr>
          <w:p w:rsidR="00BA1D0F" w:rsidRPr="00DB69C4" w:rsidRDefault="00BA1D0F">
            <w:pPr>
              <w:jc w:val="right"/>
              <w:rPr>
                <w:bCs/>
                <w:color w:val="000000"/>
              </w:rPr>
            </w:pPr>
            <w:r w:rsidRPr="00DB69C4">
              <w:rPr>
                <w:bCs/>
                <w:color w:val="000000"/>
              </w:rPr>
              <w:t>75</w:t>
            </w:r>
          </w:p>
        </w:tc>
        <w:tc>
          <w:tcPr>
            <w:tcW w:w="987" w:type="dxa"/>
            <w:vAlign w:val="bottom"/>
          </w:tcPr>
          <w:p w:rsidR="00BA1D0F" w:rsidRPr="00DB69C4" w:rsidRDefault="00BA1D0F">
            <w:pPr>
              <w:jc w:val="right"/>
              <w:rPr>
                <w:bCs/>
                <w:color w:val="000000"/>
              </w:rPr>
            </w:pPr>
            <w:r w:rsidRPr="00DB69C4">
              <w:rPr>
                <w:bCs/>
                <w:color w:val="000000"/>
              </w:rPr>
              <w:t>40,5</w:t>
            </w:r>
          </w:p>
        </w:tc>
        <w:tc>
          <w:tcPr>
            <w:tcW w:w="936" w:type="dxa"/>
            <w:vAlign w:val="bottom"/>
          </w:tcPr>
          <w:p w:rsidR="00BA1D0F" w:rsidRPr="00DB69C4" w:rsidRDefault="00BA1D0F">
            <w:pPr>
              <w:jc w:val="right"/>
              <w:rPr>
                <w:bCs/>
                <w:color w:val="000000"/>
              </w:rPr>
            </w:pPr>
            <w:r w:rsidRPr="00DB69C4">
              <w:rPr>
                <w:bCs/>
                <w:color w:val="000000"/>
              </w:rPr>
              <w:t>10</w:t>
            </w:r>
          </w:p>
        </w:tc>
        <w:tc>
          <w:tcPr>
            <w:tcW w:w="1107" w:type="dxa"/>
            <w:vAlign w:val="bottom"/>
          </w:tcPr>
          <w:p w:rsidR="00BA1D0F" w:rsidRDefault="00BA1D0F" w:rsidP="00A008AF">
            <w:pPr>
              <w:jc w:val="center"/>
              <w:rPr>
                <w:b/>
                <w:bCs/>
                <w:color w:val="000000"/>
              </w:rPr>
            </w:pPr>
            <w:r>
              <w:rPr>
                <w:b/>
                <w:bCs/>
                <w:color w:val="000000"/>
              </w:rPr>
              <w:t>721</w:t>
            </w:r>
          </w:p>
        </w:tc>
      </w:tr>
      <w:tr w:rsidR="00BA1D0F" w:rsidRPr="00A81F9F" w:rsidTr="00DB69C4">
        <w:tc>
          <w:tcPr>
            <w:tcW w:w="1881" w:type="dxa"/>
          </w:tcPr>
          <w:p w:rsidR="00BA1D0F" w:rsidRPr="00A81F9F" w:rsidRDefault="00BA1D0F" w:rsidP="001E078B">
            <w:pPr>
              <w:jc w:val="both"/>
              <w:rPr>
                <w:b/>
                <w:bCs/>
              </w:rPr>
            </w:pPr>
          </w:p>
        </w:tc>
        <w:tc>
          <w:tcPr>
            <w:tcW w:w="1182" w:type="dxa"/>
          </w:tcPr>
          <w:p w:rsidR="00BA1D0F" w:rsidRPr="00A81F9F" w:rsidRDefault="00BA1D0F" w:rsidP="001E078B">
            <w:pPr>
              <w:jc w:val="both"/>
              <w:rPr>
                <w:b/>
                <w:bCs/>
              </w:rPr>
            </w:pPr>
            <w:r w:rsidRPr="00A81F9F">
              <w:rPr>
                <w:b/>
                <w:bCs/>
              </w:rPr>
              <w:t>ГЭС и</w:t>
            </w:r>
          </w:p>
          <w:p w:rsidR="00BA1D0F" w:rsidRPr="00A81F9F" w:rsidRDefault="00BA1D0F" w:rsidP="001E078B">
            <w:pPr>
              <w:jc w:val="both"/>
              <w:rPr>
                <w:b/>
                <w:bCs/>
              </w:rPr>
            </w:pPr>
            <w:r w:rsidRPr="00A81F9F">
              <w:rPr>
                <w:b/>
                <w:bCs/>
              </w:rPr>
              <w:t>ГАЭС</w:t>
            </w:r>
          </w:p>
        </w:tc>
        <w:tc>
          <w:tcPr>
            <w:tcW w:w="988" w:type="dxa"/>
            <w:vAlign w:val="bottom"/>
          </w:tcPr>
          <w:p w:rsidR="00BA1D0F" w:rsidRPr="00DB69C4" w:rsidRDefault="00BA1D0F">
            <w:pPr>
              <w:jc w:val="right"/>
              <w:rPr>
                <w:bCs/>
                <w:color w:val="000000"/>
              </w:rPr>
            </w:pPr>
            <w:r w:rsidRPr="00DB69C4">
              <w:rPr>
                <w:bCs/>
                <w:color w:val="000000"/>
              </w:rPr>
              <w:t>27</w:t>
            </w:r>
          </w:p>
        </w:tc>
        <w:tc>
          <w:tcPr>
            <w:tcW w:w="987" w:type="dxa"/>
            <w:vAlign w:val="bottom"/>
          </w:tcPr>
          <w:p w:rsidR="00BA1D0F" w:rsidRPr="00DB69C4" w:rsidRDefault="00BA1D0F">
            <w:pPr>
              <w:jc w:val="right"/>
              <w:rPr>
                <w:bCs/>
                <w:color w:val="000000"/>
              </w:rPr>
            </w:pPr>
            <w:r w:rsidRPr="00DB69C4">
              <w:rPr>
                <w:bCs/>
                <w:color w:val="000000"/>
              </w:rPr>
              <w:t>25,7</w:t>
            </w:r>
          </w:p>
        </w:tc>
        <w:tc>
          <w:tcPr>
            <w:tcW w:w="987" w:type="dxa"/>
            <w:vAlign w:val="bottom"/>
          </w:tcPr>
          <w:p w:rsidR="00BA1D0F" w:rsidRPr="00DB69C4" w:rsidRDefault="00BA1D0F">
            <w:pPr>
              <w:jc w:val="right"/>
              <w:rPr>
                <w:bCs/>
                <w:color w:val="000000"/>
              </w:rPr>
            </w:pPr>
            <w:r w:rsidRPr="00DB69C4">
              <w:rPr>
                <w:bCs/>
                <w:color w:val="000000"/>
              </w:rPr>
              <w:t>20,4</w:t>
            </w:r>
          </w:p>
        </w:tc>
        <w:tc>
          <w:tcPr>
            <w:tcW w:w="987" w:type="dxa"/>
            <w:vAlign w:val="bottom"/>
          </w:tcPr>
          <w:p w:rsidR="00BA1D0F" w:rsidRPr="00DB69C4" w:rsidRDefault="00BA1D0F">
            <w:pPr>
              <w:jc w:val="right"/>
              <w:rPr>
                <w:bCs/>
                <w:color w:val="000000"/>
              </w:rPr>
            </w:pPr>
            <w:r w:rsidRPr="00DB69C4">
              <w:rPr>
                <w:bCs/>
                <w:color w:val="000000"/>
              </w:rPr>
              <w:t>24,3</w:t>
            </w:r>
          </w:p>
        </w:tc>
        <w:tc>
          <w:tcPr>
            <w:tcW w:w="987" w:type="dxa"/>
            <w:vAlign w:val="bottom"/>
          </w:tcPr>
          <w:p w:rsidR="00BA1D0F" w:rsidRPr="00DB69C4" w:rsidRDefault="00BA1D0F">
            <w:pPr>
              <w:jc w:val="right"/>
              <w:rPr>
                <w:bCs/>
                <w:color w:val="000000"/>
              </w:rPr>
            </w:pPr>
            <w:r w:rsidRPr="00DB69C4">
              <w:rPr>
                <w:bCs/>
                <w:color w:val="000000"/>
              </w:rPr>
              <w:t>16,4</w:t>
            </w:r>
          </w:p>
        </w:tc>
        <w:tc>
          <w:tcPr>
            <w:tcW w:w="987" w:type="dxa"/>
            <w:vAlign w:val="bottom"/>
          </w:tcPr>
          <w:p w:rsidR="00BA1D0F" w:rsidRPr="00DB69C4" w:rsidRDefault="00BA1D0F">
            <w:pPr>
              <w:jc w:val="right"/>
              <w:rPr>
                <w:bCs/>
                <w:color w:val="000000"/>
              </w:rPr>
            </w:pPr>
            <w:r w:rsidRPr="00DB69C4">
              <w:rPr>
                <w:bCs/>
                <w:color w:val="000000"/>
              </w:rPr>
              <w:t>6,6</w:t>
            </w:r>
          </w:p>
        </w:tc>
        <w:tc>
          <w:tcPr>
            <w:tcW w:w="936" w:type="dxa"/>
            <w:vAlign w:val="bottom"/>
          </w:tcPr>
          <w:p w:rsidR="00BA1D0F" w:rsidRPr="00DB69C4" w:rsidRDefault="00BA1D0F">
            <w:pPr>
              <w:jc w:val="right"/>
              <w:rPr>
                <w:bCs/>
                <w:color w:val="000000"/>
              </w:rPr>
            </w:pPr>
            <w:r w:rsidRPr="00DB69C4">
              <w:rPr>
                <w:bCs/>
                <w:color w:val="000000"/>
              </w:rPr>
              <w:t>1,9</w:t>
            </w:r>
          </w:p>
        </w:tc>
        <w:tc>
          <w:tcPr>
            <w:tcW w:w="1107" w:type="dxa"/>
            <w:vAlign w:val="bottom"/>
          </w:tcPr>
          <w:p w:rsidR="00BA1D0F" w:rsidRDefault="00BA1D0F" w:rsidP="00A008AF">
            <w:pPr>
              <w:jc w:val="center"/>
              <w:rPr>
                <w:b/>
                <w:bCs/>
                <w:color w:val="000000"/>
              </w:rPr>
            </w:pPr>
            <w:r>
              <w:rPr>
                <w:b/>
                <w:bCs/>
                <w:color w:val="000000"/>
              </w:rPr>
              <w:t>122,2</w:t>
            </w:r>
          </w:p>
        </w:tc>
      </w:tr>
      <w:tr w:rsidR="00BA1D0F" w:rsidRPr="00A81F9F" w:rsidTr="00DB69C4">
        <w:tc>
          <w:tcPr>
            <w:tcW w:w="1881" w:type="dxa"/>
          </w:tcPr>
          <w:p w:rsidR="00BA1D0F" w:rsidRPr="00A81F9F" w:rsidRDefault="00BA1D0F" w:rsidP="001E078B">
            <w:pPr>
              <w:jc w:val="both"/>
              <w:rPr>
                <w:b/>
                <w:bCs/>
              </w:rPr>
            </w:pPr>
          </w:p>
        </w:tc>
        <w:tc>
          <w:tcPr>
            <w:tcW w:w="1182" w:type="dxa"/>
          </w:tcPr>
          <w:p w:rsidR="00BA1D0F" w:rsidRPr="00A81F9F" w:rsidRDefault="00BA1D0F" w:rsidP="001E078B">
            <w:pPr>
              <w:jc w:val="both"/>
              <w:rPr>
                <w:b/>
                <w:bCs/>
              </w:rPr>
            </w:pPr>
            <w:r w:rsidRPr="00A81F9F">
              <w:rPr>
                <w:b/>
                <w:bCs/>
              </w:rPr>
              <w:t>ТЭС</w:t>
            </w:r>
          </w:p>
        </w:tc>
        <w:tc>
          <w:tcPr>
            <w:tcW w:w="988" w:type="dxa"/>
            <w:vAlign w:val="bottom"/>
          </w:tcPr>
          <w:p w:rsidR="00BA1D0F" w:rsidRPr="00DB69C4" w:rsidRDefault="00BA1D0F">
            <w:pPr>
              <w:jc w:val="right"/>
              <w:rPr>
                <w:bCs/>
                <w:color w:val="000000"/>
              </w:rPr>
            </w:pPr>
            <w:r w:rsidRPr="00DB69C4">
              <w:rPr>
                <w:bCs/>
                <w:color w:val="000000"/>
              </w:rPr>
              <w:t>232,7</w:t>
            </w:r>
          </w:p>
        </w:tc>
        <w:tc>
          <w:tcPr>
            <w:tcW w:w="987" w:type="dxa"/>
            <w:vAlign w:val="bottom"/>
          </w:tcPr>
          <w:p w:rsidR="00BA1D0F" w:rsidRPr="00DB69C4" w:rsidRDefault="00BA1D0F">
            <w:pPr>
              <w:jc w:val="right"/>
              <w:rPr>
                <w:bCs/>
                <w:color w:val="000000"/>
              </w:rPr>
            </w:pPr>
            <w:r w:rsidRPr="00DB69C4">
              <w:rPr>
                <w:bCs/>
                <w:color w:val="000000"/>
              </w:rPr>
              <w:t>236,6</w:t>
            </w:r>
          </w:p>
        </w:tc>
        <w:tc>
          <w:tcPr>
            <w:tcW w:w="987" w:type="dxa"/>
            <w:vAlign w:val="bottom"/>
          </w:tcPr>
          <w:p w:rsidR="00BA1D0F" w:rsidRPr="00DB69C4" w:rsidRDefault="00BA1D0F">
            <w:pPr>
              <w:jc w:val="right"/>
              <w:rPr>
                <w:bCs/>
                <w:color w:val="000000"/>
              </w:rPr>
            </w:pPr>
            <w:r w:rsidRPr="00DB69C4">
              <w:rPr>
                <w:bCs/>
                <w:color w:val="000000"/>
              </w:rPr>
              <w:t>326</w:t>
            </w:r>
          </w:p>
        </w:tc>
        <w:tc>
          <w:tcPr>
            <w:tcW w:w="987" w:type="dxa"/>
            <w:vAlign w:val="bottom"/>
          </w:tcPr>
          <w:p w:rsidR="00BA1D0F" w:rsidRPr="00DB69C4" w:rsidRDefault="00BA1D0F">
            <w:pPr>
              <w:jc w:val="right"/>
              <w:rPr>
                <w:bCs/>
                <w:color w:val="000000"/>
              </w:rPr>
            </w:pPr>
            <w:r w:rsidRPr="00DB69C4">
              <w:rPr>
                <w:bCs/>
                <w:color w:val="000000"/>
              </w:rPr>
              <w:t>299</w:t>
            </w:r>
          </w:p>
        </w:tc>
        <w:tc>
          <w:tcPr>
            <w:tcW w:w="987" w:type="dxa"/>
            <w:vAlign w:val="bottom"/>
          </w:tcPr>
          <w:p w:rsidR="00BA1D0F" w:rsidRPr="00DB69C4" w:rsidRDefault="00BA1D0F">
            <w:pPr>
              <w:jc w:val="right"/>
              <w:rPr>
                <w:bCs/>
                <w:color w:val="000000"/>
              </w:rPr>
            </w:pPr>
            <w:r w:rsidRPr="00DB69C4">
              <w:rPr>
                <w:bCs/>
                <w:color w:val="000000"/>
              </w:rPr>
              <w:t>163,5</w:t>
            </w:r>
          </w:p>
        </w:tc>
        <w:tc>
          <w:tcPr>
            <w:tcW w:w="987" w:type="dxa"/>
            <w:vAlign w:val="bottom"/>
          </w:tcPr>
          <w:p w:rsidR="00BA1D0F" w:rsidRPr="00DB69C4" w:rsidRDefault="00BA1D0F">
            <w:pPr>
              <w:jc w:val="right"/>
              <w:rPr>
                <w:bCs/>
                <w:color w:val="000000"/>
              </w:rPr>
            </w:pPr>
            <w:r w:rsidRPr="00DB69C4">
              <w:rPr>
                <w:bCs/>
                <w:color w:val="000000"/>
              </w:rPr>
              <w:t>75,1</w:t>
            </w:r>
          </w:p>
        </w:tc>
        <w:tc>
          <w:tcPr>
            <w:tcW w:w="936" w:type="dxa"/>
            <w:vAlign w:val="bottom"/>
          </w:tcPr>
          <w:p w:rsidR="00BA1D0F" w:rsidRPr="00DB69C4" w:rsidRDefault="00BA1D0F">
            <w:pPr>
              <w:jc w:val="right"/>
              <w:rPr>
                <w:bCs/>
                <w:color w:val="000000"/>
              </w:rPr>
            </w:pPr>
            <w:r w:rsidRPr="00DB69C4">
              <w:rPr>
                <w:bCs/>
                <w:color w:val="000000"/>
              </w:rPr>
              <w:t>30,8</w:t>
            </w:r>
          </w:p>
        </w:tc>
        <w:tc>
          <w:tcPr>
            <w:tcW w:w="1107" w:type="dxa"/>
            <w:vAlign w:val="bottom"/>
          </w:tcPr>
          <w:p w:rsidR="00BA1D0F" w:rsidRDefault="00BA1D0F" w:rsidP="00A008AF">
            <w:pPr>
              <w:jc w:val="center"/>
              <w:rPr>
                <w:b/>
                <w:bCs/>
                <w:color w:val="000000"/>
              </w:rPr>
            </w:pPr>
            <w:r>
              <w:rPr>
                <w:b/>
                <w:bCs/>
                <w:color w:val="000000"/>
              </w:rPr>
              <w:t>1363,7</w:t>
            </w:r>
          </w:p>
        </w:tc>
      </w:tr>
      <w:tr w:rsidR="00BA1D0F" w:rsidRPr="00A81F9F" w:rsidTr="00DB69C4">
        <w:tc>
          <w:tcPr>
            <w:tcW w:w="1881" w:type="dxa"/>
          </w:tcPr>
          <w:p w:rsidR="00BA1D0F" w:rsidRPr="00A81F9F" w:rsidRDefault="00BA1D0F" w:rsidP="001E078B">
            <w:pPr>
              <w:jc w:val="both"/>
              <w:rPr>
                <w:b/>
                <w:bCs/>
              </w:rPr>
            </w:pPr>
          </w:p>
        </w:tc>
        <w:tc>
          <w:tcPr>
            <w:tcW w:w="1182" w:type="dxa"/>
          </w:tcPr>
          <w:p w:rsidR="00BA1D0F" w:rsidRPr="00A81F9F" w:rsidRDefault="00BA1D0F" w:rsidP="001E078B">
            <w:pPr>
              <w:jc w:val="both"/>
              <w:rPr>
                <w:b/>
                <w:bCs/>
              </w:rPr>
            </w:pPr>
            <w:r w:rsidRPr="00A81F9F">
              <w:rPr>
                <w:b/>
                <w:bCs/>
              </w:rPr>
              <w:t>ВИЭ</w:t>
            </w:r>
          </w:p>
        </w:tc>
        <w:tc>
          <w:tcPr>
            <w:tcW w:w="988" w:type="dxa"/>
            <w:vAlign w:val="bottom"/>
          </w:tcPr>
          <w:p w:rsidR="00BA1D0F" w:rsidRPr="00DB69C4" w:rsidRDefault="00BA1D0F">
            <w:pPr>
              <w:jc w:val="right"/>
              <w:rPr>
                <w:bCs/>
                <w:color w:val="000000"/>
              </w:rPr>
            </w:pPr>
            <w:r w:rsidRPr="00DB69C4">
              <w:rPr>
                <w:bCs/>
                <w:color w:val="000000"/>
              </w:rPr>
              <w:t>8,2</w:t>
            </w:r>
          </w:p>
        </w:tc>
        <w:tc>
          <w:tcPr>
            <w:tcW w:w="987" w:type="dxa"/>
            <w:vAlign w:val="bottom"/>
          </w:tcPr>
          <w:p w:rsidR="00BA1D0F" w:rsidRPr="00DB69C4" w:rsidRDefault="00BA1D0F">
            <w:pPr>
              <w:jc w:val="right"/>
              <w:rPr>
                <w:bCs/>
                <w:color w:val="000000"/>
              </w:rPr>
            </w:pPr>
            <w:r w:rsidRPr="00DB69C4">
              <w:rPr>
                <w:bCs/>
                <w:color w:val="000000"/>
              </w:rPr>
              <w:t>9,9</w:t>
            </w:r>
          </w:p>
        </w:tc>
        <w:tc>
          <w:tcPr>
            <w:tcW w:w="987" w:type="dxa"/>
            <w:vAlign w:val="bottom"/>
          </w:tcPr>
          <w:p w:rsidR="00BA1D0F" w:rsidRPr="00DB69C4" w:rsidRDefault="00BA1D0F">
            <w:pPr>
              <w:jc w:val="right"/>
              <w:rPr>
                <w:bCs/>
                <w:color w:val="000000"/>
              </w:rPr>
            </w:pPr>
            <w:r w:rsidRPr="00DB69C4">
              <w:rPr>
                <w:bCs/>
                <w:color w:val="000000"/>
              </w:rPr>
              <w:t>13,3</w:t>
            </w:r>
          </w:p>
        </w:tc>
        <w:tc>
          <w:tcPr>
            <w:tcW w:w="987" w:type="dxa"/>
            <w:vAlign w:val="bottom"/>
          </w:tcPr>
          <w:p w:rsidR="00BA1D0F" w:rsidRPr="00DB69C4" w:rsidRDefault="00BA1D0F">
            <w:pPr>
              <w:jc w:val="right"/>
              <w:rPr>
                <w:bCs/>
                <w:color w:val="000000"/>
              </w:rPr>
            </w:pPr>
            <w:r w:rsidRPr="00DB69C4">
              <w:rPr>
                <w:bCs/>
                <w:color w:val="000000"/>
              </w:rPr>
              <w:t>16,4</w:t>
            </w:r>
          </w:p>
        </w:tc>
        <w:tc>
          <w:tcPr>
            <w:tcW w:w="987" w:type="dxa"/>
            <w:vAlign w:val="bottom"/>
          </w:tcPr>
          <w:p w:rsidR="00BA1D0F" w:rsidRPr="00DB69C4" w:rsidRDefault="00BA1D0F">
            <w:pPr>
              <w:jc w:val="right"/>
              <w:rPr>
                <w:bCs/>
                <w:color w:val="000000"/>
              </w:rPr>
            </w:pPr>
            <w:r w:rsidRPr="00DB69C4">
              <w:rPr>
                <w:bCs/>
                <w:color w:val="000000"/>
              </w:rPr>
              <w:t>11,9</w:t>
            </w:r>
          </w:p>
        </w:tc>
        <w:tc>
          <w:tcPr>
            <w:tcW w:w="987" w:type="dxa"/>
            <w:vAlign w:val="bottom"/>
          </w:tcPr>
          <w:p w:rsidR="00BA1D0F" w:rsidRPr="00DB69C4" w:rsidRDefault="00BA1D0F">
            <w:pPr>
              <w:jc w:val="right"/>
              <w:rPr>
                <w:bCs/>
                <w:color w:val="000000"/>
              </w:rPr>
            </w:pPr>
            <w:r w:rsidRPr="00DB69C4">
              <w:rPr>
                <w:bCs/>
                <w:color w:val="000000"/>
              </w:rPr>
              <w:t>0</w:t>
            </w:r>
          </w:p>
        </w:tc>
        <w:tc>
          <w:tcPr>
            <w:tcW w:w="936" w:type="dxa"/>
            <w:vAlign w:val="bottom"/>
          </w:tcPr>
          <w:p w:rsidR="00BA1D0F" w:rsidRPr="00DB69C4" w:rsidRDefault="00BA1D0F">
            <w:pPr>
              <w:jc w:val="right"/>
              <w:rPr>
                <w:bCs/>
                <w:color w:val="000000"/>
              </w:rPr>
            </w:pPr>
            <w:r w:rsidRPr="00DB69C4">
              <w:rPr>
                <w:bCs/>
                <w:color w:val="000000"/>
              </w:rPr>
              <w:t>0</w:t>
            </w:r>
          </w:p>
        </w:tc>
        <w:tc>
          <w:tcPr>
            <w:tcW w:w="1107" w:type="dxa"/>
            <w:vAlign w:val="bottom"/>
          </w:tcPr>
          <w:p w:rsidR="00BA1D0F" w:rsidRDefault="00BA1D0F" w:rsidP="00A008AF">
            <w:pPr>
              <w:jc w:val="center"/>
              <w:rPr>
                <w:b/>
                <w:bCs/>
                <w:color w:val="000000"/>
              </w:rPr>
            </w:pPr>
            <w:r>
              <w:rPr>
                <w:b/>
                <w:bCs/>
                <w:color w:val="000000"/>
              </w:rPr>
              <w:t>59,6</w:t>
            </w:r>
          </w:p>
        </w:tc>
      </w:tr>
      <w:tr w:rsidR="00DB69C4" w:rsidRPr="00A81F9F" w:rsidTr="00DB69C4">
        <w:tc>
          <w:tcPr>
            <w:tcW w:w="1881" w:type="dxa"/>
          </w:tcPr>
          <w:p w:rsidR="00DB69C4" w:rsidRPr="00A81F9F" w:rsidRDefault="00DB69C4" w:rsidP="001E078B">
            <w:pPr>
              <w:jc w:val="both"/>
              <w:rPr>
                <w:b/>
                <w:bCs/>
              </w:rPr>
            </w:pPr>
            <w:r w:rsidRPr="00A81F9F">
              <w:rPr>
                <w:b/>
                <w:bCs/>
              </w:rPr>
              <w:t>Электрические сети 220 кВ и выше</w:t>
            </w:r>
          </w:p>
        </w:tc>
        <w:tc>
          <w:tcPr>
            <w:tcW w:w="1182" w:type="dxa"/>
          </w:tcPr>
          <w:p w:rsidR="00DB69C4" w:rsidRPr="00A81F9F" w:rsidRDefault="00DB69C4" w:rsidP="001E078B">
            <w:pPr>
              <w:jc w:val="both"/>
              <w:rPr>
                <w:b/>
                <w:bCs/>
              </w:rPr>
            </w:pPr>
          </w:p>
        </w:tc>
        <w:tc>
          <w:tcPr>
            <w:tcW w:w="988" w:type="dxa"/>
            <w:vAlign w:val="bottom"/>
          </w:tcPr>
          <w:p w:rsidR="00DB69C4" w:rsidRPr="00DB69C4" w:rsidRDefault="00DB69C4">
            <w:pPr>
              <w:jc w:val="right"/>
              <w:rPr>
                <w:bCs/>
                <w:color w:val="000000"/>
              </w:rPr>
            </w:pPr>
            <w:r w:rsidRPr="00DB69C4">
              <w:rPr>
                <w:bCs/>
                <w:color w:val="000000"/>
              </w:rPr>
              <w:t>259</w:t>
            </w:r>
          </w:p>
        </w:tc>
        <w:tc>
          <w:tcPr>
            <w:tcW w:w="987" w:type="dxa"/>
            <w:vAlign w:val="bottom"/>
          </w:tcPr>
          <w:p w:rsidR="00DB69C4" w:rsidRPr="00DB69C4" w:rsidRDefault="00DB69C4">
            <w:pPr>
              <w:jc w:val="right"/>
              <w:rPr>
                <w:bCs/>
                <w:color w:val="000000"/>
              </w:rPr>
            </w:pPr>
            <w:r w:rsidRPr="00DB69C4">
              <w:rPr>
                <w:bCs/>
                <w:color w:val="000000"/>
              </w:rPr>
              <w:t>277,5</w:t>
            </w:r>
          </w:p>
        </w:tc>
        <w:tc>
          <w:tcPr>
            <w:tcW w:w="987" w:type="dxa"/>
            <w:vAlign w:val="bottom"/>
          </w:tcPr>
          <w:p w:rsidR="00DB69C4" w:rsidRPr="00DB69C4" w:rsidRDefault="00DB69C4">
            <w:pPr>
              <w:jc w:val="right"/>
              <w:rPr>
                <w:bCs/>
                <w:color w:val="000000"/>
              </w:rPr>
            </w:pPr>
            <w:r w:rsidRPr="00DB69C4">
              <w:rPr>
                <w:bCs/>
                <w:color w:val="000000"/>
              </w:rPr>
              <w:t>258</w:t>
            </w:r>
          </w:p>
        </w:tc>
        <w:tc>
          <w:tcPr>
            <w:tcW w:w="987" w:type="dxa"/>
            <w:vAlign w:val="bottom"/>
          </w:tcPr>
          <w:p w:rsidR="00DB69C4" w:rsidRPr="00DB69C4" w:rsidRDefault="00DB69C4">
            <w:pPr>
              <w:jc w:val="right"/>
              <w:rPr>
                <w:bCs/>
                <w:color w:val="000000"/>
              </w:rPr>
            </w:pPr>
            <w:r w:rsidRPr="00DB69C4">
              <w:rPr>
                <w:bCs/>
                <w:color w:val="000000"/>
              </w:rPr>
              <w:t>245,3</w:t>
            </w:r>
          </w:p>
        </w:tc>
        <w:tc>
          <w:tcPr>
            <w:tcW w:w="987" w:type="dxa"/>
            <w:vAlign w:val="bottom"/>
          </w:tcPr>
          <w:p w:rsidR="00DB69C4" w:rsidRPr="00DB69C4" w:rsidRDefault="00DB69C4">
            <w:pPr>
              <w:jc w:val="right"/>
              <w:rPr>
                <w:bCs/>
                <w:color w:val="000000"/>
              </w:rPr>
            </w:pPr>
            <w:r w:rsidRPr="00DB69C4">
              <w:rPr>
                <w:bCs/>
                <w:color w:val="000000"/>
              </w:rPr>
              <w:t>223,6</w:t>
            </w:r>
          </w:p>
        </w:tc>
        <w:tc>
          <w:tcPr>
            <w:tcW w:w="987" w:type="dxa"/>
            <w:vAlign w:val="bottom"/>
          </w:tcPr>
          <w:p w:rsidR="00DB69C4" w:rsidRPr="00DB69C4" w:rsidRDefault="00DB69C4">
            <w:pPr>
              <w:jc w:val="right"/>
              <w:rPr>
                <w:bCs/>
                <w:color w:val="000000"/>
              </w:rPr>
            </w:pPr>
            <w:r w:rsidRPr="00DB69C4">
              <w:rPr>
                <w:bCs/>
                <w:color w:val="000000"/>
              </w:rPr>
              <w:t>193,8</w:t>
            </w:r>
          </w:p>
        </w:tc>
        <w:tc>
          <w:tcPr>
            <w:tcW w:w="936" w:type="dxa"/>
            <w:vAlign w:val="bottom"/>
          </w:tcPr>
          <w:p w:rsidR="00DB69C4" w:rsidRPr="00DB69C4" w:rsidRDefault="00DB69C4">
            <w:pPr>
              <w:jc w:val="right"/>
              <w:rPr>
                <w:bCs/>
                <w:color w:val="000000"/>
              </w:rPr>
            </w:pPr>
            <w:r w:rsidRPr="00DB69C4">
              <w:rPr>
                <w:bCs/>
                <w:color w:val="000000"/>
              </w:rPr>
              <w:t>72,1</w:t>
            </w:r>
          </w:p>
        </w:tc>
        <w:tc>
          <w:tcPr>
            <w:tcW w:w="1107" w:type="dxa"/>
            <w:vAlign w:val="bottom"/>
          </w:tcPr>
          <w:p w:rsidR="00DB69C4" w:rsidRDefault="00DB69C4" w:rsidP="00A008AF">
            <w:pPr>
              <w:jc w:val="center"/>
              <w:rPr>
                <w:b/>
                <w:bCs/>
                <w:color w:val="000000"/>
              </w:rPr>
            </w:pPr>
            <w:r>
              <w:rPr>
                <w:b/>
                <w:bCs/>
                <w:color w:val="000000"/>
              </w:rPr>
              <w:t>1529,2</w:t>
            </w:r>
          </w:p>
        </w:tc>
      </w:tr>
      <w:tr w:rsidR="00DB69C4" w:rsidRPr="00A81F9F" w:rsidTr="00DB69C4">
        <w:tc>
          <w:tcPr>
            <w:tcW w:w="1881" w:type="dxa"/>
          </w:tcPr>
          <w:p w:rsidR="00DB69C4" w:rsidRPr="00A81F9F" w:rsidRDefault="00DB69C4" w:rsidP="001E078B">
            <w:pPr>
              <w:jc w:val="both"/>
              <w:rPr>
                <w:b/>
                <w:bCs/>
              </w:rPr>
            </w:pPr>
            <w:r w:rsidRPr="00A81F9F">
              <w:rPr>
                <w:b/>
                <w:bCs/>
              </w:rPr>
              <w:t>Всего по Российской Федерации с учетом сетей 220 кВ и выше</w:t>
            </w:r>
          </w:p>
        </w:tc>
        <w:tc>
          <w:tcPr>
            <w:tcW w:w="1182" w:type="dxa"/>
          </w:tcPr>
          <w:p w:rsidR="00DB69C4" w:rsidRPr="00A81F9F" w:rsidRDefault="00DB69C4" w:rsidP="001E078B">
            <w:pPr>
              <w:jc w:val="both"/>
              <w:rPr>
                <w:b/>
                <w:bCs/>
              </w:rPr>
            </w:pPr>
          </w:p>
        </w:tc>
        <w:tc>
          <w:tcPr>
            <w:tcW w:w="988" w:type="dxa"/>
            <w:vAlign w:val="bottom"/>
          </w:tcPr>
          <w:p w:rsidR="00DB69C4" w:rsidRPr="00DB69C4" w:rsidRDefault="00DB69C4">
            <w:pPr>
              <w:jc w:val="right"/>
              <w:rPr>
                <w:bCs/>
                <w:color w:val="000000"/>
              </w:rPr>
            </w:pPr>
            <w:r w:rsidRPr="00DB69C4">
              <w:rPr>
                <w:bCs/>
                <w:color w:val="000000"/>
              </w:rPr>
              <w:t>672866</w:t>
            </w:r>
          </w:p>
        </w:tc>
        <w:tc>
          <w:tcPr>
            <w:tcW w:w="987" w:type="dxa"/>
            <w:vAlign w:val="bottom"/>
          </w:tcPr>
          <w:p w:rsidR="00DB69C4" w:rsidRPr="00DB69C4" w:rsidRDefault="00DB69C4">
            <w:pPr>
              <w:jc w:val="right"/>
              <w:rPr>
                <w:bCs/>
                <w:color w:val="000000"/>
              </w:rPr>
            </w:pPr>
            <w:r w:rsidRPr="00DB69C4">
              <w:rPr>
                <w:bCs/>
                <w:color w:val="000000"/>
              </w:rPr>
              <w:t>716920</w:t>
            </w:r>
          </w:p>
        </w:tc>
        <w:tc>
          <w:tcPr>
            <w:tcW w:w="987" w:type="dxa"/>
            <w:vAlign w:val="bottom"/>
          </w:tcPr>
          <w:p w:rsidR="00DB69C4" w:rsidRPr="00DB69C4" w:rsidRDefault="00DB69C4">
            <w:pPr>
              <w:jc w:val="right"/>
              <w:rPr>
                <w:bCs/>
                <w:color w:val="000000"/>
              </w:rPr>
            </w:pPr>
            <w:r w:rsidRPr="00DB69C4">
              <w:rPr>
                <w:bCs/>
                <w:color w:val="000000"/>
              </w:rPr>
              <w:t>776813</w:t>
            </w:r>
          </w:p>
        </w:tc>
        <w:tc>
          <w:tcPr>
            <w:tcW w:w="987" w:type="dxa"/>
            <w:vAlign w:val="bottom"/>
          </w:tcPr>
          <w:p w:rsidR="00DB69C4" w:rsidRPr="00DB69C4" w:rsidRDefault="00DB69C4">
            <w:pPr>
              <w:jc w:val="right"/>
              <w:rPr>
                <w:bCs/>
                <w:color w:val="000000"/>
              </w:rPr>
            </w:pPr>
            <w:r w:rsidRPr="00DB69C4">
              <w:rPr>
                <w:bCs/>
                <w:color w:val="000000"/>
              </w:rPr>
              <w:t>708311</w:t>
            </w:r>
          </w:p>
        </w:tc>
        <w:tc>
          <w:tcPr>
            <w:tcW w:w="987" w:type="dxa"/>
            <w:vAlign w:val="bottom"/>
          </w:tcPr>
          <w:p w:rsidR="00DB69C4" w:rsidRPr="00DB69C4" w:rsidRDefault="00DB69C4">
            <w:pPr>
              <w:jc w:val="right"/>
              <w:rPr>
                <w:bCs/>
                <w:color w:val="000000"/>
              </w:rPr>
            </w:pPr>
            <w:r w:rsidRPr="00DB69C4">
              <w:rPr>
                <w:bCs/>
                <w:color w:val="000000"/>
              </w:rPr>
              <w:t>490304</w:t>
            </w:r>
          </w:p>
        </w:tc>
        <w:tc>
          <w:tcPr>
            <w:tcW w:w="987" w:type="dxa"/>
            <w:vAlign w:val="bottom"/>
          </w:tcPr>
          <w:p w:rsidR="00DB69C4" w:rsidRPr="00DB69C4" w:rsidRDefault="00DB69C4">
            <w:pPr>
              <w:jc w:val="right"/>
              <w:rPr>
                <w:bCs/>
                <w:color w:val="000000"/>
              </w:rPr>
            </w:pPr>
            <w:r w:rsidRPr="00DB69C4">
              <w:rPr>
                <w:bCs/>
                <w:color w:val="000000"/>
              </w:rPr>
              <w:t>316056</w:t>
            </w:r>
          </w:p>
        </w:tc>
        <w:tc>
          <w:tcPr>
            <w:tcW w:w="936" w:type="dxa"/>
            <w:vAlign w:val="bottom"/>
          </w:tcPr>
          <w:p w:rsidR="00DB69C4" w:rsidRPr="00DB69C4" w:rsidRDefault="00DB69C4">
            <w:pPr>
              <w:jc w:val="right"/>
              <w:rPr>
                <w:bCs/>
                <w:color w:val="000000"/>
              </w:rPr>
            </w:pPr>
            <w:r w:rsidRPr="00DB69C4">
              <w:rPr>
                <w:bCs/>
                <w:color w:val="000000"/>
              </w:rPr>
              <w:t>114716</w:t>
            </w:r>
          </w:p>
        </w:tc>
        <w:tc>
          <w:tcPr>
            <w:tcW w:w="1107" w:type="dxa"/>
            <w:vAlign w:val="bottom"/>
          </w:tcPr>
          <w:p w:rsidR="00DB69C4" w:rsidRDefault="00DB69C4" w:rsidP="002222D9">
            <w:pPr>
              <w:jc w:val="right"/>
              <w:rPr>
                <w:b/>
                <w:bCs/>
                <w:color w:val="000000"/>
              </w:rPr>
            </w:pPr>
            <w:r>
              <w:rPr>
                <w:b/>
                <w:bCs/>
                <w:color w:val="000000"/>
              </w:rPr>
              <w:t>379</w:t>
            </w:r>
            <w:r w:rsidR="002222D9">
              <w:rPr>
                <w:b/>
                <w:bCs/>
                <w:color w:val="000000"/>
              </w:rPr>
              <w:t>6,0</w:t>
            </w:r>
          </w:p>
        </w:tc>
      </w:tr>
    </w:tbl>
    <w:p w:rsidR="00BA1D0F" w:rsidRDefault="00BA1D0F" w:rsidP="00EE1A61">
      <w:pPr>
        <w:ind w:firstLine="709"/>
        <w:jc w:val="both"/>
      </w:pPr>
    </w:p>
    <w:p w:rsidR="001160E0" w:rsidRDefault="001160E0" w:rsidP="0003225F">
      <w:pPr>
        <w:ind w:firstLine="709"/>
        <w:jc w:val="both"/>
      </w:pPr>
      <w:r>
        <w:t>В Таблице 1</w:t>
      </w:r>
      <w:r w:rsidR="0003225F">
        <w:t>5</w:t>
      </w:r>
      <w:r>
        <w:t xml:space="preserve"> – эти же цены,</w:t>
      </w:r>
      <w:r w:rsidRPr="00A81F9F">
        <w:t xml:space="preserve"> пересчитанные с учетом ежегодной 6%-ной инфляции, для того, чтобы было возможно сопоставить их с аналогичными данными по прогнозу Минэнерго 2012г.</w:t>
      </w:r>
      <w:r>
        <w:t>, 2013г.</w:t>
      </w:r>
      <w:r w:rsidRPr="00A81F9F">
        <w:t>, в котор</w:t>
      </w:r>
      <w:r>
        <w:t>ых</w:t>
      </w:r>
      <w:r w:rsidRPr="00A81F9F">
        <w:t xml:space="preserve"> инвестиционная программа ЕЭС России дается уже в прогнозных ценах, с учетом НДС 18% и инфляционным удорожанием </w:t>
      </w:r>
      <w:r>
        <w:t>на заявленные периоды.</w:t>
      </w:r>
      <w:r w:rsidRPr="00A81F9F">
        <w:t xml:space="preserve"> </w:t>
      </w:r>
    </w:p>
    <w:p w:rsidR="0003225F" w:rsidRDefault="0003225F" w:rsidP="0003225F">
      <w:pPr>
        <w:ind w:firstLine="709"/>
        <w:jc w:val="both"/>
      </w:pPr>
    </w:p>
    <w:p w:rsidR="0003225F" w:rsidRDefault="0003225F" w:rsidP="0003225F">
      <w:pPr>
        <w:ind w:firstLine="709"/>
        <w:jc w:val="both"/>
      </w:pPr>
    </w:p>
    <w:p w:rsidR="0003225F" w:rsidRDefault="0003225F" w:rsidP="0003225F">
      <w:pPr>
        <w:ind w:firstLine="709"/>
        <w:jc w:val="both"/>
      </w:pPr>
    </w:p>
    <w:p w:rsidR="0003225F" w:rsidRDefault="0003225F" w:rsidP="0003225F">
      <w:pPr>
        <w:ind w:firstLine="709"/>
        <w:jc w:val="both"/>
      </w:pPr>
    </w:p>
    <w:p w:rsidR="0003225F" w:rsidRDefault="0003225F" w:rsidP="0003225F">
      <w:pPr>
        <w:ind w:firstLine="709"/>
        <w:jc w:val="both"/>
      </w:pPr>
    </w:p>
    <w:p w:rsidR="0003225F" w:rsidRDefault="0003225F" w:rsidP="0003225F">
      <w:pPr>
        <w:ind w:firstLine="709"/>
        <w:jc w:val="both"/>
      </w:pPr>
    </w:p>
    <w:p w:rsidR="00A2715A" w:rsidRDefault="00A2715A" w:rsidP="00A2715A">
      <w:pPr>
        <w:ind w:firstLine="709"/>
        <w:jc w:val="right"/>
      </w:pPr>
      <w:r w:rsidRPr="00A81F9F">
        <w:t>Таблица 1</w:t>
      </w:r>
      <w:r w:rsidR="0003225F">
        <w:t>5</w:t>
      </w:r>
      <w:r w:rsidRPr="00A81F9F">
        <w:t xml:space="preserve">. </w:t>
      </w:r>
    </w:p>
    <w:p w:rsidR="00A2715A" w:rsidRPr="00A81F9F" w:rsidRDefault="00A2715A" w:rsidP="00A2715A">
      <w:pPr>
        <w:ind w:firstLine="709"/>
        <w:jc w:val="both"/>
      </w:pPr>
    </w:p>
    <w:p w:rsidR="009478DB" w:rsidRDefault="009478DB" w:rsidP="00A2715A">
      <w:pPr>
        <w:ind w:firstLine="709"/>
        <w:jc w:val="center"/>
      </w:pPr>
      <w:r w:rsidRPr="00A81F9F">
        <w:t>Инвестиции по прогнозу Минэнерго 2011г. в</w:t>
      </w:r>
      <w:r w:rsidR="00F440F7">
        <w:t xml:space="preserve"> млрд. руб. в</w:t>
      </w:r>
      <w:r w:rsidRPr="00A81F9F">
        <w:t xml:space="preserve"> </w:t>
      </w:r>
      <w:r w:rsidR="00F440F7">
        <w:t>прогнозных ценах, с учетом НДС 18% и инфляционным удорожанием в период 2011-2017 гг</w:t>
      </w:r>
      <w:r w:rsidRPr="00A81F9F">
        <w:t>.</w:t>
      </w:r>
    </w:p>
    <w:p w:rsidR="00F440F7" w:rsidRDefault="00F440F7" w:rsidP="003C3C5F">
      <w:pPr>
        <w:ind w:firstLine="709"/>
        <w:jc w:val="right"/>
      </w:pPr>
    </w:p>
    <w:tbl>
      <w:tblPr>
        <w:tblW w:w="110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181"/>
        <w:gridCol w:w="996"/>
        <w:gridCol w:w="996"/>
        <w:gridCol w:w="996"/>
        <w:gridCol w:w="996"/>
        <w:gridCol w:w="996"/>
        <w:gridCol w:w="996"/>
        <w:gridCol w:w="876"/>
        <w:gridCol w:w="1116"/>
      </w:tblGrid>
      <w:tr w:rsidR="009478DB" w:rsidRPr="00A81F9F" w:rsidTr="00B90852">
        <w:tc>
          <w:tcPr>
            <w:tcW w:w="1880" w:type="dxa"/>
          </w:tcPr>
          <w:p w:rsidR="009478DB" w:rsidRPr="00A81F9F" w:rsidRDefault="009478DB" w:rsidP="00EE1A61">
            <w:pPr>
              <w:jc w:val="both"/>
            </w:pPr>
          </w:p>
        </w:tc>
        <w:tc>
          <w:tcPr>
            <w:tcW w:w="1181" w:type="dxa"/>
          </w:tcPr>
          <w:p w:rsidR="009478DB" w:rsidRPr="00A81F9F" w:rsidRDefault="009478DB" w:rsidP="00EE1A61">
            <w:pPr>
              <w:jc w:val="both"/>
              <w:rPr>
                <w:b/>
                <w:bCs/>
              </w:rPr>
            </w:pPr>
            <w:r w:rsidRPr="00A81F9F">
              <w:rPr>
                <w:b/>
                <w:bCs/>
              </w:rPr>
              <w:t xml:space="preserve">Тип </w:t>
            </w:r>
          </w:p>
          <w:p w:rsidR="009478DB" w:rsidRPr="00A81F9F" w:rsidRDefault="009478DB" w:rsidP="00EE1A61">
            <w:pPr>
              <w:jc w:val="both"/>
              <w:rPr>
                <w:b/>
                <w:bCs/>
              </w:rPr>
            </w:pPr>
            <w:r w:rsidRPr="00A81F9F">
              <w:rPr>
                <w:b/>
                <w:bCs/>
              </w:rPr>
              <w:t>Станции</w:t>
            </w:r>
          </w:p>
        </w:tc>
        <w:tc>
          <w:tcPr>
            <w:tcW w:w="996" w:type="dxa"/>
          </w:tcPr>
          <w:p w:rsidR="009478DB" w:rsidRPr="00A81F9F" w:rsidRDefault="009478DB" w:rsidP="00EE1A61">
            <w:pPr>
              <w:jc w:val="both"/>
              <w:rPr>
                <w:b/>
                <w:bCs/>
              </w:rPr>
            </w:pPr>
            <w:r w:rsidRPr="00A81F9F">
              <w:rPr>
                <w:b/>
                <w:bCs/>
              </w:rPr>
              <w:t xml:space="preserve">2011 </w:t>
            </w:r>
          </w:p>
        </w:tc>
        <w:tc>
          <w:tcPr>
            <w:tcW w:w="996" w:type="dxa"/>
          </w:tcPr>
          <w:p w:rsidR="009478DB" w:rsidRPr="00A81F9F" w:rsidRDefault="009478DB" w:rsidP="00EE1A61">
            <w:pPr>
              <w:jc w:val="both"/>
              <w:rPr>
                <w:b/>
                <w:bCs/>
              </w:rPr>
            </w:pPr>
            <w:r w:rsidRPr="00A81F9F">
              <w:rPr>
                <w:b/>
                <w:bCs/>
              </w:rPr>
              <w:t xml:space="preserve">2012 </w:t>
            </w:r>
          </w:p>
        </w:tc>
        <w:tc>
          <w:tcPr>
            <w:tcW w:w="996" w:type="dxa"/>
          </w:tcPr>
          <w:p w:rsidR="009478DB" w:rsidRPr="00A81F9F" w:rsidRDefault="009478DB" w:rsidP="00EE1A61">
            <w:pPr>
              <w:jc w:val="both"/>
              <w:rPr>
                <w:b/>
                <w:bCs/>
              </w:rPr>
            </w:pPr>
            <w:r w:rsidRPr="00A81F9F">
              <w:rPr>
                <w:b/>
                <w:bCs/>
              </w:rPr>
              <w:t xml:space="preserve">2013 </w:t>
            </w:r>
          </w:p>
        </w:tc>
        <w:tc>
          <w:tcPr>
            <w:tcW w:w="996" w:type="dxa"/>
          </w:tcPr>
          <w:p w:rsidR="009478DB" w:rsidRPr="00A81F9F" w:rsidRDefault="009478DB" w:rsidP="00EE1A61">
            <w:pPr>
              <w:jc w:val="both"/>
              <w:rPr>
                <w:b/>
                <w:bCs/>
              </w:rPr>
            </w:pPr>
            <w:r w:rsidRPr="00A81F9F">
              <w:rPr>
                <w:b/>
                <w:bCs/>
              </w:rPr>
              <w:t xml:space="preserve">2014 </w:t>
            </w:r>
          </w:p>
        </w:tc>
        <w:tc>
          <w:tcPr>
            <w:tcW w:w="996" w:type="dxa"/>
          </w:tcPr>
          <w:p w:rsidR="009478DB" w:rsidRPr="00A81F9F" w:rsidRDefault="009478DB" w:rsidP="00EE1A61">
            <w:pPr>
              <w:jc w:val="both"/>
              <w:rPr>
                <w:b/>
                <w:bCs/>
              </w:rPr>
            </w:pPr>
            <w:r w:rsidRPr="00A81F9F">
              <w:rPr>
                <w:b/>
                <w:bCs/>
              </w:rPr>
              <w:t xml:space="preserve">2015 </w:t>
            </w:r>
          </w:p>
        </w:tc>
        <w:tc>
          <w:tcPr>
            <w:tcW w:w="996" w:type="dxa"/>
          </w:tcPr>
          <w:p w:rsidR="009478DB" w:rsidRPr="00A81F9F" w:rsidRDefault="009478DB" w:rsidP="00EE1A61">
            <w:pPr>
              <w:jc w:val="both"/>
              <w:rPr>
                <w:b/>
                <w:bCs/>
              </w:rPr>
            </w:pPr>
            <w:r w:rsidRPr="00A81F9F">
              <w:rPr>
                <w:b/>
                <w:bCs/>
              </w:rPr>
              <w:t xml:space="preserve">2016 </w:t>
            </w:r>
          </w:p>
        </w:tc>
        <w:tc>
          <w:tcPr>
            <w:tcW w:w="876" w:type="dxa"/>
          </w:tcPr>
          <w:p w:rsidR="009478DB" w:rsidRPr="00A81F9F" w:rsidRDefault="009478DB" w:rsidP="00EE1A61">
            <w:pPr>
              <w:jc w:val="both"/>
              <w:rPr>
                <w:b/>
                <w:bCs/>
              </w:rPr>
            </w:pPr>
            <w:r w:rsidRPr="00A81F9F">
              <w:rPr>
                <w:b/>
                <w:bCs/>
              </w:rPr>
              <w:t xml:space="preserve">2017 </w:t>
            </w:r>
          </w:p>
        </w:tc>
        <w:tc>
          <w:tcPr>
            <w:tcW w:w="1116" w:type="dxa"/>
          </w:tcPr>
          <w:p w:rsidR="009478DB" w:rsidRPr="00A81F9F" w:rsidRDefault="009478DB" w:rsidP="00EE1A61">
            <w:pPr>
              <w:jc w:val="both"/>
              <w:rPr>
                <w:b/>
                <w:bCs/>
              </w:rPr>
            </w:pPr>
            <w:r w:rsidRPr="00A81F9F">
              <w:rPr>
                <w:b/>
                <w:bCs/>
              </w:rPr>
              <w:t>Итого за 2011-2017гг.</w:t>
            </w:r>
          </w:p>
        </w:tc>
      </w:tr>
      <w:tr w:rsidR="009478DB" w:rsidRPr="00A81F9F" w:rsidTr="00B90852">
        <w:tc>
          <w:tcPr>
            <w:tcW w:w="1880" w:type="dxa"/>
          </w:tcPr>
          <w:p w:rsidR="009478DB" w:rsidRPr="00A81F9F" w:rsidRDefault="009478DB" w:rsidP="00EE1A61">
            <w:pPr>
              <w:jc w:val="both"/>
              <w:rPr>
                <w:b/>
                <w:bCs/>
              </w:rPr>
            </w:pPr>
            <w:r w:rsidRPr="00A81F9F">
              <w:rPr>
                <w:b/>
                <w:bCs/>
              </w:rPr>
              <w:t>Генерация. Из нее:</w:t>
            </w:r>
          </w:p>
        </w:tc>
        <w:tc>
          <w:tcPr>
            <w:tcW w:w="1181" w:type="dxa"/>
          </w:tcPr>
          <w:p w:rsidR="009478DB" w:rsidRPr="00A81F9F" w:rsidRDefault="009478DB" w:rsidP="00EE1A61">
            <w:pPr>
              <w:jc w:val="both"/>
              <w:rPr>
                <w:b/>
                <w:bCs/>
              </w:rPr>
            </w:pPr>
          </w:p>
        </w:tc>
        <w:tc>
          <w:tcPr>
            <w:tcW w:w="996" w:type="dxa"/>
          </w:tcPr>
          <w:p w:rsidR="009478DB" w:rsidRPr="00A81F9F" w:rsidRDefault="009478DB" w:rsidP="00EE1A61">
            <w:pPr>
              <w:jc w:val="both"/>
            </w:pPr>
            <w:r w:rsidRPr="00A81F9F">
              <w:t>438,7</w:t>
            </w:r>
          </w:p>
        </w:tc>
        <w:tc>
          <w:tcPr>
            <w:tcW w:w="996" w:type="dxa"/>
          </w:tcPr>
          <w:p w:rsidR="009478DB" w:rsidRPr="00A81F9F" w:rsidRDefault="009478DB" w:rsidP="00EE1A61">
            <w:pPr>
              <w:jc w:val="both"/>
            </w:pPr>
            <w:r w:rsidRPr="00A81F9F">
              <w:t>493,7</w:t>
            </w:r>
          </w:p>
        </w:tc>
        <w:tc>
          <w:tcPr>
            <w:tcW w:w="996" w:type="dxa"/>
          </w:tcPr>
          <w:p w:rsidR="009478DB" w:rsidRPr="00A81F9F" w:rsidRDefault="009478DB" w:rsidP="00EE1A61">
            <w:pPr>
              <w:jc w:val="both"/>
            </w:pPr>
            <w:r w:rsidRPr="00A81F9F">
              <w:t>617,9</w:t>
            </w:r>
          </w:p>
        </w:tc>
        <w:tc>
          <w:tcPr>
            <w:tcW w:w="996" w:type="dxa"/>
          </w:tcPr>
          <w:p w:rsidR="009478DB" w:rsidRPr="00A81F9F" w:rsidRDefault="009478DB" w:rsidP="00EE1A61">
            <w:pPr>
              <w:jc w:val="both"/>
            </w:pPr>
            <w:r w:rsidRPr="00A81F9F">
              <w:t>584,5</w:t>
            </w:r>
          </w:p>
        </w:tc>
        <w:tc>
          <w:tcPr>
            <w:tcW w:w="996" w:type="dxa"/>
          </w:tcPr>
          <w:p w:rsidR="009478DB" w:rsidRPr="00A81F9F" w:rsidRDefault="009478DB" w:rsidP="00EE1A61">
            <w:pPr>
              <w:jc w:val="both"/>
            </w:pPr>
            <w:r w:rsidRPr="00A81F9F">
              <w:t>356,9</w:t>
            </w:r>
          </w:p>
        </w:tc>
        <w:tc>
          <w:tcPr>
            <w:tcW w:w="996" w:type="dxa"/>
          </w:tcPr>
          <w:p w:rsidR="009478DB" w:rsidRPr="00A81F9F" w:rsidRDefault="009478DB" w:rsidP="00EE1A61">
            <w:pPr>
              <w:jc w:val="both"/>
            </w:pPr>
            <w:r w:rsidRPr="00A81F9F">
              <w:t>173,5</w:t>
            </w:r>
          </w:p>
        </w:tc>
        <w:tc>
          <w:tcPr>
            <w:tcW w:w="876" w:type="dxa"/>
          </w:tcPr>
          <w:p w:rsidR="009478DB" w:rsidRPr="00A81F9F" w:rsidRDefault="009478DB" w:rsidP="00EE1A61">
            <w:pPr>
              <w:jc w:val="both"/>
            </w:pPr>
            <w:r w:rsidRPr="00A81F9F">
              <w:t>64,1</w:t>
            </w:r>
          </w:p>
        </w:tc>
        <w:tc>
          <w:tcPr>
            <w:tcW w:w="1116" w:type="dxa"/>
          </w:tcPr>
          <w:p w:rsidR="009478DB" w:rsidRPr="00A81F9F" w:rsidRDefault="00F440F7" w:rsidP="00EE1A61">
            <w:pPr>
              <w:jc w:val="both"/>
              <w:rPr>
                <w:b/>
                <w:bCs/>
              </w:rPr>
            </w:pPr>
            <w:r>
              <w:rPr>
                <w:b/>
                <w:bCs/>
              </w:rPr>
              <w:t>2729,3</w:t>
            </w:r>
          </w:p>
        </w:tc>
      </w:tr>
      <w:tr w:rsidR="009478DB" w:rsidRPr="00A81F9F" w:rsidTr="00B90852">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АЭС</w:t>
            </w:r>
          </w:p>
        </w:tc>
        <w:tc>
          <w:tcPr>
            <w:tcW w:w="996" w:type="dxa"/>
          </w:tcPr>
          <w:p w:rsidR="009478DB" w:rsidRPr="00A81F9F" w:rsidRDefault="009478DB" w:rsidP="00EE1A61">
            <w:pPr>
              <w:jc w:val="both"/>
            </w:pPr>
            <w:r w:rsidRPr="00A81F9F">
              <w:t>146,1</w:t>
            </w:r>
          </w:p>
        </w:tc>
        <w:tc>
          <w:tcPr>
            <w:tcW w:w="996" w:type="dxa"/>
          </w:tcPr>
          <w:p w:rsidR="009478DB" w:rsidRPr="00A81F9F" w:rsidRDefault="009478DB" w:rsidP="00EE1A61">
            <w:pPr>
              <w:jc w:val="both"/>
            </w:pPr>
            <w:r w:rsidRPr="00A81F9F">
              <w:t>167,3</w:t>
            </w:r>
          </w:p>
        </w:tc>
        <w:tc>
          <w:tcPr>
            <w:tcW w:w="996" w:type="dxa"/>
          </w:tcPr>
          <w:p w:rsidR="009478DB" w:rsidRPr="00A81F9F" w:rsidRDefault="009478DB" w:rsidP="00EE1A61">
            <w:pPr>
              <w:jc w:val="both"/>
            </w:pPr>
            <w:r w:rsidRPr="00A81F9F">
              <w:t>159,1</w:t>
            </w:r>
          </w:p>
        </w:tc>
        <w:tc>
          <w:tcPr>
            <w:tcW w:w="996" w:type="dxa"/>
          </w:tcPr>
          <w:p w:rsidR="009478DB" w:rsidRPr="00A81F9F" w:rsidRDefault="009478DB" w:rsidP="00EE1A61">
            <w:pPr>
              <w:jc w:val="both"/>
            </w:pPr>
            <w:r w:rsidRPr="00A81F9F">
              <w:t>123,3</w:t>
            </w:r>
          </w:p>
        </w:tc>
        <w:tc>
          <w:tcPr>
            <w:tcW w:w="996" w:type="dxa"/>
          </w:tcPr>
          <w:p w:rsidR="009478DB" w:rsidRPr="00A81F9F" w:rsidRDefault="009478DB" w:rsidP="00EE1A61">
            <w:pPr>
              <w:jc w:val="both"/>
            </w:pPr>
            <w:r w:rsidRPr="00A81F9F">
              <w:t>75</w:t>
            </w:r>
          </w:p>
        </w:tc>
        <w:tc>
          <w:tcPr>
            <w:tcW w:w="996" w:type="dxa"/>
          </w:tcPr>
          <w:p w:rsidR="009478DB" w:rsidRPr="00A81F9F" w:rsidRDefault="009478DB" w:rsidP="00EE1A61">
            <w:pPr>
              <w:jc w:val="both"/>
            </w:pPr>
            <w:r w:rsidRPr="00A81F9F">
              <w:t>40,5</w:t>
            </w:r>
          </w:p>
        </w:tc>
        <w:tc>
          <w:tcPr>
            <w:tcW w:w="876" w:type="dxa"/>
          </w:tcPr>
          <w:p w:rsidR="009478DB" w:rsidRPr="00A81F9F" w:rsidRDefault="009478DB" w:rsidP="00EE1A61">
            <w:pPr>
              <w:jc w:val="both"/>
            </w:pPr>
            <w:r w:rsidRPr="00A81F9F">
              <w:t>10</w:t>
            </w:r>
          </w:p>
        </w:tc>
        <w:tc>
          <w:tcPr>
            <w:tcW w:w="1116" w:type="dxa"/>
          </w:tcPr>
          <w:p w:rsidR="009478DB" w:rsidRPr="00A81F9F" w:rsidRDefault="0092188D" w:rsidP="00EE1A61">
            <w:pPr>
              <w:jc w:val="both"/>
            </w:pPr>
            <w:r>
              <w:t>721,3</w:t>
            </w:r>
          </w:p>
        </w:tc>
      </w:tr>
      <w:tr w:rsidR="009478DB" w:rsidRPr="00A81F9F" w:rsidTr="00B90852">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ГЭС и</w:t>
            </w:r>
          </w:p>
          <w:p w:rsidR="009478DB" w:rsidRPr="00A81F9F" w:rsidRDefault="009478DB" w:rsidP="00EE1A61">
            <w:pPr>
              <w:jc w:val="both"/>
              <w:rPr>
                <w:b/>
                <w:bCs/>
              </w:rPr>
            </w:pPr>
            <w:r w:rsidRPr="00A81F9F">
              <w:rPr>
                <w:b/>
                <w:bCs/>
              </w:rPr>
              <w:t>ГАЭС</w:t>
            </w:r>
          </w:p>
        </w:tc>
        <w:tc>
          <w:tcPr>
            <w:tcW w:w="996" w:type="dxa"/>
          </w:tcPr>
          <w:p w:rsidR="009478DB" w:rsidRPr="00A81F9F" w:rsidRDefault="009478DB" w:rsidP="00EE1A61">
            <w:pPr>
              <w:jc w:val="both"/>
            </w:pPr>
            <w:r w:rsidRPr="00A81F9F">
              <w:t>27</w:t>
            </w:r>
          </w:p>
        </w:tc>
        <w:tc>
          <w:tcPr>
            <w:tcW w:w="996" w:type="dxa"/>
          </w:tcPr>
          <w:p w:rsidR="009478DB" w:rsidRPr="00A81F9F" w:rsidRDefault="009478DB" w:rsidP="00EE1A61">
            <w:pPr>
              <w:jc w:val="both"/>
            </w:pPr>
            <w:r w:rsidRPr="00A81F9F">
              <w:t>25,7</w:t>
            </w:r>
          </w:p>
        </w:tc>
        <w:tc>
          <w:tcPr>
            <w:tcW w:w="996" w:type="dxa"/>
          </w:tcPr>
          <w:p w:rsidR="009478DB" w:rsidRPr="00A81F9F" w:rsidRDefault="009478DB" w:rsidP="00EE1A61">
            <w:pPr>
              <w:jc w:val="both"/>
            </w:pPr>
            <w:r w:rsidRPr="00A81F9F">
              <w:t>20,4</w:t>
            </w:r>
          </w:p>
        </w:tc>
        <w:tc>
          <w:tcPr>
            <w:tcW w:w="996" w:type="dxa"/>
          </w:tcPr>
          <w:p w:rsidR="009478DB" w:rsidRPr="00A81F9F" w:rsidRDefault="009478DB" w:rsidP="00EE1A61">
            <w:pPr>
              <w:jc w:val="both"/>
            </w:pPr>
            <w:r w:rsidRPr="00A81F9F">
              <w:t>24,3</w:t>
            </w:r>
          </w:p>
        </w:tc>
        <w:tc>
          <w:tcPr>
            <w:tcW w:w="996" w:type="dxa"/>
          </w:tcPr>
          <w:p w:rsidR="009478DB" w:rsidRPr="00A81F9F" w:rsidRDefault="009478DB" w:rsidP="00EE1A61">
            <w:pPr>
              <w:jc w:val="both"/>
            </w:pPr>
            <w:r w:rsidRPr="00A81F9F">
              <w:t>16,4</w:t>
            </w:r>
          </w:p>
        </w:tc>
        <w:tc>
          <w:tcPr>
            <w:tcW w:w="996" w:type="dxa"/>
          </w:tcPr>
          <w:p w:rsidR="009478DB" w:rsidRPr="00A81F9F" w:rsidRDefault="009478DB" w:rsidP="00EE1A61">
            <w:pPr>
              <w:jc w:val="both"/>
            </w:pPr>
            <w:r w:rsidRPr="00A81F9F">
              <w:t>6,6</w:t>
            </w:r>
          </w:p>
        </w:tc>
        <w:tc>
          <w:tcPr>
            <w:tcW w:w="876" w:type="dxa"/>
          </w:tcPr>
          <w:p w:rsidR="009478DB" w:rsidRPr="00A81F9F" w:rsidRDefault="009478DB" w:rsidP="00EE1A61">
            <w:pPr>
              <w:jc w:val="both"/>
            </w:pPr>
            <w:r w:rsidRPr="00A81F9F">
              <w:t>1,9</w:t>
            </w:r>
          </w:p>
        </w:tc>
        <w:tc>
          <w:tcPr>
            <w:tcW w:w="1116" w:type="dxa"/>
          </w:tcPr>
          <w:p w:rsidR="009478DB" w:rsidRPr="00A81F9F" w:rsidRDefault="0092188D" w:rsidP="00EE1A61">
            <w:pPr>
              <w:jc w:val="both"/>
            </w:pPr>
            <w:r>
              <w:t>122,3</w:t>
            </w:r>
          </w:p>
        </w:tc>
      </w:tr>
      <w:tr w:rsidR="009478DB" w:rsidRPr="00A81F9F" w:rsidTr="00B90852">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ТЭС</w:t>
            </w:r>
          </w:p>
        </w:tc>
        <w:tc>
          <w:tcPr>
            <w:tcW w:w="996" w:type="dxa"/>
          </w:tcPr>
          <w:p w:rsidR="009478DB" w:rsidRPr="00A81F9F" w:rsidRDefault="009478DB" w:rsidP="00EE1A61">
            <w:pPr>
              <w:jc w:val="both"/>
            </w:pPr>
            <w:r w:rsidRPr="00A81F9F">
              <w:t>232,7</w:t>
            </w:r>
          </w:p>
        </w:tc>
        <w:tc>
          <w:tcPr>
            <w:tcW w:w="996" w:type="dxa"/>
          </w:tcPr>
          <w:p w:rsidR="009478DB" w:rsidRPr="00A81F9F" w:rsidRDefault="009478DB" w:rsidP="00EE1A61">
            <w:pPr>
              <w:jc w:val="both"/>
            </w:pPr>
            <w:r w:rsidRPr="00A81F9F">
              <w:t>236,6</w:t>
            </w:r>
          </w:p>
        </w:tc>
        <w:tc>
          <w:tcPr>
            <w:tcW w:w="996" w:type="dxa"/>
          </w:tcPr>
          <w:p w:rsidR="009478DB" w:rsidRPr="00A81F9F" w:rsidRDefault="009478DB" w:rsidP="00EE1A61">
            <w:pPr>
              <w:jc w:val="both"/>
            </w:pPr>
            <w:r w:rsidRPr="00A81F9F">
              <w:t>626</w:t>
            </w:r>
          </w:p>
        </w:tc>
        <w:tc>
          <w:tcPr>
            <w:tcW w:w="996" w:type="dxa"/>
          </w:tcPr>
          <w:p w:rsidR="009478DB" w:rsidRPr="00A81F9F" w:rsidRDefault="009478DB" w:rsidP="00EE1A61">
            <w:pPr>
              <w:jc w:val="both"/>
            </w:pPr>
            <w:r w:rsidRPr="00A81F9F">
              <w:t>299</w:t>
            </w:r>
          </w:p>
        </w:tc>
        <w:tc>
          <w:tcPr>
            <w:tcW w:w="996" w:type="dxa"/>
          </w:tcPr>
          <w:p w:rsidR="009478DB" w:rsidRPr="00A81F9F" w:rsidRDefault="009478DB" w:rsidP="00EE1A61">
            <w:pPr>
              <w:jc w:val="both"/>
            </w:pPr>
            <w:r w:rsidRPr="00A81F9F">
              <w:t>163,5</w:t>
            </w:r>
          </w:p>
        </w:tc>
        <w:tc>
          <w:tcPr>
            <w:tcW w:w="996" w:type="dxa"/>
          </w:tcPr>
          <w:p w:rsidR="009478DB" w:rsidRPr="00A81F9F" w:rsidRDefault="009478DB" w:rsidP="00EE1A61">
            <w:pPr>
              <w:jc w:val="both"/>
            </w:pPr>
            <w:r w:rsidRPr="00A81F9F">
              <w:t>75,1</w:t>
            </w:r>
          </w:p>
        </w:tc>
        <w:tc>
          <w:tcPr>
            <w:tcW w:w="876" w:type="dxa"/>
          </w:tcPr>
          <w:p w:rsidR="009478DB" w:rsidRPr="00A81F9F" w:rsidRDefault="009478DB" w:rsidP="00EE1A61">
            <w:pPr>
              <w:jc w:val="both"/>
            </w:pPr>
            <w:r w:rsidRPr="00A81F9F">
              <w:t>30,8</w:t>
            </w:r>
          </w:p>
        </w:tc>
        <w:tc>
          <w:tcPr>
            <w:tcW w:w="1116" w:type="dxa"/>
          </w:tcPr>
          <w:p w:rsidR="009478DB" w:rsidRPr="00A81F9F" w:rsidRDefault="0092188D" w:rsidP="00EE1A61">
            <w:pPr>
              <w:jc w:val="both"/>
            </w:pPr>
            <w:r>
              <w:t>1663,7</w:t>
            </w:r>
          </w:p>
        </w:tc>
      </w:tr>
      <w:tr w:rsidR="009478DB" w:rsidRPr="00A81F9F" w:rsidTr="00B90852">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ВИЭ</w:t>
            </w:r>
          </w:p>
        </w:tc>
        <w:tc>
          <w:tcPr>
            <w:tcW w:w="996" w:type="dxa"/>
          </w:tcPr>
          <w:p w:rsidR="009478DB" w:rsidRPr="00A81F9F" w:rsidRDefault="009478DB" w:rsidP="00EE1A61">
            <w:pPr>
              <w:jc w:val="both"/>
            </w:pPr>
            <w:r w:rsidRPr="00A81F9F">
              <w:t>8,2</w:t>
            </w:r>
          </w:p>
        </w:tc>
        <w:tc>
          <w:tcPr>
            <w:tcW w:w="996" w:type="dxa"/>
          </w:tcPr>
          <w:p w:rsidR="009478DB" w:rsidRPr="00A81F9F" w:rsidRDefault="009478DB" w:rsidP="00EE1A61">
            <w:pPr>
              <w:jc w:val="both"/>
            </w:pPr>
            <w:r w:rsidRPr="00A81F9F">
              <w:t>9,9</w:t>
            </w:r>
          </w:p>
        </w:tc>
        <w:tc>
          <w:tcPr>
            <w:tcW w:w="996" w:type="dxa"/>
          </w:tcPr>
          <w:p w:rsidR="009478DB" w:rsidRPr="00A81F9F" w:rsidRDefault="009478DB" w:rsidP="00EE1A61">
            <w:pPr>
              <w:jc w:val="both"/>
            </w:pPr>
            <w:r w:rsidRPr="00A81F9F">
              <w:t>13,3</w:t>
            </w:r>
          </w:p>
        </w:tc>
        <w:tc>
          <w:tcPr>
            <w:tcW w:w="996" w:type="dxa"/>
          </w:tcPr>
          <w:p w:rsidR="009478DB" w:rsidRPr="00A81F9F" w:rsidRDefault="009478DB" w:rsidP="00EE1A61">
            <w:pPr>
              <w:jc w:val="both"/>
            </w:pPr>
            <w:r w:rsidRPr="00A81F9F">
              <w:t>16,4</w:t>
            </w:r>
          </w:p>
        </w:tc>
        <w:tc>
          <w:tcPr>
            <w:tcW w:w="996" w:type="dxa"/>
          </w:tcPr>
          <w:p w:rsidR="009478DB" w:rsidRPr="00A81F9F" w:rsidRDefault="009478DB" w:rsidP="00EE1A61">
            <w:pPr>
              <w:jc w:val="both"/>
            </w:pPr>
            <w:r w:rsidRPr="00A81F9F">
              <w:t>11,9</w:t>
            </w:r>
          </w:p>
        </w:tc>
        <w:tc>
          <w:tcPr>
            <w:tcW w:w="996" w:type="dxa"/>
          </w:tcPr>
          <w:p w:rsidR="009478DB" w:rsidRPr="00A81F9F" w:rsidRDefault="009478DB" w:rsidP="00EE1A61">
            <w:pPr>
              <w:jc w:val="both"/>
            </w:pPr>
            <w:r w:rsidRPr="00A81F9F">
              <w:t>0,0</w:t>
            </w:r>
          </w:p>
        </w:tc>
        <w:tc>
          <w:tcPr>
            <w:tcW w:w="876" w:type="dxa"/>
          </w:tcPr>
          <w:p w:rsidR="009478DB" w:rsidRPr="00A81F9F" w:rsidRDefault="009478DB" w:rsidP="00EE1A61">
            <w:pPr>
              <w:jc w:val="both"/>
            </w:pPr>
            <w:r w:rsidRPr="00A81F9F">
              <w:t>0,0</w:t>
            </w:r>
          </w:p>
        </w:tc>
        <w:tc>
          <w:tcPr>
            <w:tcW w:w="1116" w:type="dxa"/>
          </w:tcPr>
          <w:p w:rsidR="009478DB" w:rsidRPr="00A81F9F" w:rsidRDefault="00A50393" w:rsidP="00EE1A61">
            <w:pPr>
              <w:jc w:val="both"/>
            </w:pPr>
            <w:r>
              <w:t>59,7</w:t>
            </w:r>
          </w:p>
        </w:tc>
      </w:tr>
      <w:tr w:rsidR="009478DB" w:rsidRPr="00A81F9F" w:rsidTr="00B90852">
        <w:tc>
          <w:tcPr>
            <w:tcW w:w="1880" w:type="dxa"/>
          </w:tcPr>
          <w:p w:rsidR="009478DB" w:rsidRPr="00A81F9F" w:rsidRDefault="009478DB" w:rsidP="00EE1A61">
            <w:pPr>
              <w:jc w:val="both"/>
              <w:rPr>
                <w:b/>
                <w:bCs/>
              </w:rPr>
            </w:pPr>
            <w:r w:rsidRPr="00A81F9F">
              <w:rPr>
                <w:b/>
                <w:bCs/>
              </w:rPr>
              <w:t>Электрические сети 220 кВ и выше</w:t>
            </w:r>
          </w:p>
        </w:tc>
        <w:tc>
          <w:tcPr>
            <w:tcW w:w="1181" w:type="dxa"/>
          </w:tcPr>
          <w:p w:rsidR="009478DB" w:rsidRPr="00A81F9F" w:rsidRDefault="009478DB" w:rsidP="00EE1A61">
            <w:pPr>
              <w:jc w:val="both"/>
              <w:rPr>
                <w:b/>
                <w:bCs/>
              </w:rPr>
            </w:pPr>
          </w:p>
        </w:tc>
        <w:tc>
          <w:tcPr>
            <w:tcW w:w="996" w:type="dxa"/>
          </w:tcPr>
          <w:p w:rsidR="009478DB" w:rsidRPr="00A81F9F" w:rsidRDefault="009478DB" w:rsidP="00EE1A61">
            <w:pPr>
              <w:jc w:val="both"/>
            </w:pPr>
            <w:r w:rsidRPr="00A81F9F">
              <w:t>274,5</w:t>
            </w:r>
          </w:p>
        </w:tc>
        <w:tc>
          <w:tcPr>
            <w:tcW w:w="996" w:type="dxa"/>
          </w:tcPr>
          <w:p w:rsidR="009478DB" w:rsidRPr="00A81F9F" w:rsidRDefault="009478DB" w:rsidP="00EE1A61">
            <w:pPr>
              <w:jc w:val="both"/>
            </w:pPr>
            <w:r w:rsidRPr="00A81F9F">
              <w:t>311,8</w:t>
            </w:r>
          </w:p>
        </w:tc>
        <w:tc>
          <w:tcPr>
            <w:tcW w:w="996" w:type="dxa"/>
          </w:tcPr>
          <w:p w:rsidR="009478DB" w:rsidRPr="00A81F9F" w:rsidRDefault="009478DB" w:rsidP="00EE1A61">
            <w:pPr>
              <w:jc w:val="both"/>
            </w:pPr>
            <w:r w:rsidRPr="00A81F9F">
              <w:t>307,3</w:t>
            </w:r>
          </w:p>
        </w:tc>
        <w:tc>
          <w:tcPr>
            <w:tcW w:w="996" w:type="dxa"/>
          </w:tcPr>
          <w:p w:rsidR="009478DB" w:rsidRPr="00A81F9F" w:rsidRDefault="009478DB" w:rsidP="00EE1A61">
            <w:pPr>
              <w:jc w:val="both"/>
            </w:pPr>
            <w:r w:rsidRPr="00A81F9F">
              <w:t>309,7</w:t>
            </w:r>
          </w:p>
        </w:tc>
        <w:tc>
          <w:tcPr>
            <w:tcW w:w="996" w:type="dxa"/>
          </w:tcPr>
          <w:p w:rsidR="009478DB" w:rsidRPr="00A81F9F" w:rsidRDefault="009478DB" w:rsidP="00EE1A61">
            <w:pPr>
              <w:jc w:val="both"/>
            </w:pPr>
            <w:r w:rsidRPr="00A81F9F">
              <w:t>299,2</w:t>
            </w:r>
          </w:p>
        </w:tc>
        <w:tc>
          <w:tcPr>
            <w:tcW w:w="996" w:type="dxa"/>
          </w:tcPr>
          <w:p w:rsidR="009478DB" w:rsidRPr="00A81F9F" w:rsidRDefault="009478DB" w:rsidP="00EE1A61">
            <w:pPr>
              <w:jc w:val="both"/>
            </w:pPr>
            <w:r w:rsidRPr="00A81F9F">
              <w:t>274,9</w:t>
            </w:r>
          </w:p>
        </w:tc>
        <w:tc>
          <w:tcPr>
            <w:tcW w:w="876" w:type="dxa"/>
          </w:tcPr>
          <w:p w:rsidR="009478DB" w:rsidRPr="00A81F9F" w:rsidRDefault="009478DB" w:rsidP="00EE1A61">
            <w:pPr>
              <w:jc w:val="both"/>
            </w:pPr>
            <w:r w:rsidRPr="00A81F9F">
              <w:t>108,4</w:t>
            </w:r>
          </w:p>
        </w:tc>
        <w:tc>
          <w:tcPr>
            <w:tcW w:w="1116" w:type="dxa"/>
          </w:tcPr>
          <w:p w:rsidR="009478DB" w:rsidRPr="00A81F9F" w:rsidRDefault="00A50393" w:rsidP="00EE1A61">
            <w:pPr>
              <w:jc w:val="both"/>
              <w:rPr>
                <w:b/>
                <w:bCs/>
              </w:rPr>
            </w:pPr>
            <w:r>
              <w:rPr>
                <w:b/>
                <w:bCs/>
              </w:rPr>
              <w:t>1885,8</w:t>
            </w:r>
          </w:p>
        </w:tc>
      </w:tr>
      <w:tr w:rsidR="009478DB" w:rsidRPr="00A81F9F" w:rsidTr="00B90852">
        <w:tc>
          <w:tcPr>
            <w:tcW w:w="1880" w:type="dxa"/>
          </w:tcPr>
          <w:p w:rsidR="009478DB" w:rsidRPr="00A81F9F" w:rsidRDefault="009478DB" w:rsidP="00EE1A61">
            <w:pPr>
              <w:jc w:val="both"/>
              <w:rPr>
                <w:b/>
                <w:bCs/>
              </w:rPr>
            </w:pPr>
            <w:r w:rsidRPr="00A81F9F">
              <w:rPr>
                <w:b/>
                <w:bCs/>
              </w:rPr>
              <w:t>Всего по Российской Федерации с учетом сетей 220 кВ и выше</w:t>
            </w:r>
          </w:p>
        </w:tc>
        <w:tc>
          <w:tcPr>
            <w:tcW w:w="1181" w:type="dxa"/>
          </w:tcPr>
          <w:p w:rsidR="009478DB" w:rsidRPr="00A81F9F" w:rsidRDefault="009478DB" w:rsidP="00EE1A61">
            <w:pPr>
              <w:jc w:val="both"/>
              <w:rPr>
                <w:b/>
                <w:bCs/>
              </w:rPr>
            </w:pPr>
          </w:p>
        </w:tc>
        <w:tc>
          <w:tcPr>
            <w:tcW w:w="996" w:type="dxa"/>
          </w:tcPr>
          <w:p w:rsidR="009478DB" w:rsidRPr="00A81F9F" w:rsidRDefault="009478DB" w:rsidP="00EE1A61">
            <w:pPr>
              <w:jc w:val="both"/>
            </w:pPr>
            <w:r w:rsidRPr="00A81F9F">
              <w:t>713,2</w:t>
            </w:r>
          </w:p>
        </w:tc>
        <w:tc>
          <w:tcPr>
            <w:tcW w:w="996" w:type="dxa"/>
          </w:tcPr>
          <w:p w:rsidR="009478DB" w:rsidRPr="00A81F9F" w:rsidRDefault="009478DB" w:rsidP="00EE1A61">
            <w:pPr>
              <w:jc w:val="both"/>
            </w:pPr>
            <w:r w:rsidRPr="00A81F9F">
              <w:t>805,5</w:t>
            </w:r>
          </w:p>
        </w:tc>
        <w:tc>
          <w:tcPr>
            <w:tcW w:w="996" w:type="dxa"/>
          </w:tcPr>
          <w:p w:rsidR="009478DB" w:rsidRPr="00A81F9F" w:rsidRDefault="009478DB" w:rsidP="00EE1A61">
            <w:pPr>
              <w:jc w:val="both"/>
            </w:pPr>
            <w:r w:rsidRPr="00A81F9F">
              <w:t>925,2</w:t>
            </w:r>
          </w:p>
        </w:tc>
        <w:tc>
          <w:tcPr>
            <w:tcW w:w="996" w:type="dxa"/>
          </w:tcPr>
          <w:p w:rsidR="009478DB" w:rsidRPr="00A81F9F" w:rsidRDefault="009478DB" w:rsidP="00EE1A61">
            <w:pPr>
              <w:jc w:val="both"/>
            </w:pPr>
            <w:r w:rsidRPr="00A81F9F">
              <w:t>894,2</w:t>
            </w:r>
          </w:p>
        </w:tc>
        <w:tc>
          <w:tcPr>
            <w:tcW w:w="996" w:type="dxa"/>
          </w:tcPr>
          <w:p w:rsidR="009478DB" w:rsidRPr="00A81F9F" w:rsidRDefault="009478DB" w:rsidP="00EE1A61">
            <w:pPr>
              <w:jc w:val="both"/>
            </w:pPr>
            <w:r w:rsidRPr="00A81F9F">
              <w:t>656,1</w:t>
            </w:r>
          </w:p>
        </w:tc>
        <w:tc>
          <w:tcPr>
            <w:tcW w:w="996" w:type="dxa"/>
          </w:tcPr>
          <w:p w:rsidR="009478DB" w:rsidRPr="00A81F9F" w:rsidRDefault="009478DB" w:rsidP="00EE1A61">
            <w:pPr>
              <w:jc w:val="both"/>
            </w:pPr>
            <w:r w:rsidRPr="00A81F9F">
              <w:t>448,3</w:t>
            </w:r>
          </w:p>
        </w:tc>
        <w:tc>
          <w:tcPr>
            <w:tcW w:w="876" w:type="dxa"/>
          </w:tcPr>
          <w:p w:rsidR="009478DB" w:rsidRPr="00A81F9F" w:rsidRDefault="009478DB" w:rsidP="00EE1A61">
            <w:pPr>
              <w:jc w:val="both"/>
            </w:pPr>
            <w:r w:rsidRPr="00A81F9F">
              <w:t>172,5</w:t>
            </w:r>
          </w:p>
        </w:tc>
        <w:tc>
          <w:tcPr>
            <w:tcW w:w="1116" w:type="dxa"/>
          </w:tcPr>
          <w:p w:rsidR="009478DB" w:rsidRPr="00A81F9F" w:rsidRDefault="00A50393" w:rsidP="00EE1A61">
            <w:pPr>
              <w:jc w:val="both"/>
              <w:rPr>
                <w:b/>
                <w:bCs/>
              </w:rPr>
            </w:pPr>
            <w:r>
              <w:rPr>
                <w:b/>
                <w:bCs/>
              </w:rPr>
              <w:t>4615</w:t>
            </w:r>
            <w:r w:rsidR="00B13BC5">
              <w:rPr>
                <w:b/>
                <w:bCs/>
              </w:rPr>
              <w:t>,1</w:t>
            </w:r>
          </w:p>
        </w:tc>
      </w:tr>
    </w:tbl>
    <w:p w:rsidR="009478DB" w:rsidRPr="00A81F9F" w:rsidRDefault="009478DB" w:rsidP="00EE1A61">
      <w:pPr>
        <w:ind w:firstLine="709"/>
        <w:jc w:val="both"/>
      </w:pPr>
    </w:p>
    <w:p w:rsidR="00464C59" w:rsidRPr="00A81F9F" w:rsidRDefault="00464C59" w:rsidP="00EE1A61">
      <w:pPr>
        <w:ind w:firstLine="709"/>
        <w:jc w:val="both"/>
      </w:pPr>
    </w:p>
    <w:p w:rsidR="00A2715A" w:rsidRPr="00A81F9F" w:rsidRDefault="00A2715A" w:rsidP="00A2715A">
      <w:pPr>
        <w:ind w:firstLine="709"/>
        <w:jc w:val="right"/>
      </w:pPr>
      <w:r w:rsidRPr="00A81F9F">
        <w:t>Таблица 1</w:t>
      </w:r>
      <w:r w:rsidR="0003225F">
        <w:t>6</w:t>
      </w:r>
      <w:r w:rsidRPr="00A81F9F">
        <w:t>.</w:t>
      </w:r>
    </w:p>
    <w:p w:rsidR="009478DB" w:rsidRPr="00A81F9F" w:rsidRDefault="009478DB" w:rsidP="00A2715A">
      <w:pPr>
        <w:jc w:val="both"/>
      </w:pPr>
    </w:p>
    <w:p w:rsidR="009478DB" w:rsidRDefault="009478DB" w:rsidP="002650A9">
      <w:pPr>
        <w:ind w:firstLine="709"/>
        <w:jc w:val="center"/>
      </w:pPr>
      <w:r w:rsidRPr="00A81F9F">
        <w:t>Инвестиции по прогнозу Минэнерго 2012г. млрд. руб. в прогнозных ценах, с учетом НДС 18% и инфляционным удорожанием в период 2012 – 2018гг.</w:t>
      </w:r>
    </w:p>
    <w:p w:rsidR="002650A9" w:rsidRDefault="002650A9" w:rsidP="002650A9">
      <w:pPr>
        <w:ind w:firstLine="709"/>
        <w:jc w:val="center"/>
      </w:pPr>
    </w:p>
    <w:p w:rsidR="009478DB" w:rsidRPr="00A81F9F" w:rsidRDefault="009478DB" w:rsidP="00EE1A61">
      <w:pPr>
        <w:ind w:firstLine="709"/>
        <w:jc w:val="both"/>
      </w:pPr>
    </w:p>
    <w:tbl>
      <w:tblPr>
        <w:tblW w:w="110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181"/>
        <w:gridCol w:w="996"/>
        <w:gridCol w:w="996"/>
        <w:gridCol w:w="996"/>
        <w:gridCol w:w="996"/>
        <w:gridCol w:w="996"/>
        <w:gridCol w:w="996"/>
        <w:gridCol w:w="876"/>
        <w:gridCol w:w="1116"/>
      </w:tblGrid>
      <w:tr w:rsidR="009478DB" w:rsidRPr="00A81F9F" w:rsidTr="007E0F99">
        <w:tc>
          <w:tcPr>
            <w:tcW w:w="1880" w:type="dxa"/>
          </w:tcPr>
          <w:p w:rsidR="009478DB" w:rsidRPr="00A81F9F" w:rsidRDefault="009478DB" w:rsidP="00EE1A61">
            <w:pPr>
              <w:jc w:val="both"/>
            </w:pPr>
          </w:p>
        </w:tc>
        <w:tc>
          <w:tcPr>
            <w:tcW w:w="1181" w:type="dxa"/>
          </w:tcPr>
          <w:p w:rsidR="009478DB" w:rsidRPr="00A81F9F" w:rsidRDefault="009478DB" w:rsidP="00EE1A61">
            <w:pPr>
              <w:jc w:val="both"/>
              <w:rPr>
                <w:b/>
                <w:bCs/>
              </w:rPr>
            </w:pPr>
            <w:r w:rsidRPr="00A81F9F">
              <w:rPr>
                <w:b/>
                <w:bCs/>
              </w:rPr>
              <w:t xml:space="preserve">Тип </w:t>
            </w:r>
          </w:p>
          <w:p w:rsidR="009478DB" w:rsidRPr="00A81F9F" w:rsidRDefault="009478DB" w:rsidP="00EE1A61">
            <w:pPr>
              <w:jc w:val="both"/>
              <w:rPr>
                <w:b/>
                <w:bCs/>
              </w:rPr>
            </w:pPr>
            <w:r w:rsidRPr="00A81F9F">
              <w:rPr>
                <w:b/>
                <w:bCs/>
              </w:rPr>
              <w:t>Станции</w:t>
            </w:r>
          </w:p>
        </w:tc>
        <w:tc>
          <w:tcPr>
            <w:tcW w:w="996" w:type="dxa"/>
          </w:tcPr>
          <w:p w:rsidR="009478DB" w:rsidRPr="00A81F9F" w:rsidRDefault="009478DB" w:rsidP="00EE1A61">
            <w:pPr>
              <w:jc w:val="both"/>
              <w:rPr>
                <w:b/>
                <w:bCs/>
              </w:rPr>
            </w:pPr>
            <w:r w:rsidRPr="00A81F9F">
              <w:rPr>
                <w:b/>
                <w:bCs/>
              </w:rPr>
              <w:t xml:space="preserve">2012 </w:t>
            </w:r>
          </w:p>
        </w:tc>
        <w:tc>
          <w:tcPr>
            <w:tcW w:w="996" w:type="dxa"/>
          </w:tcPr>
          <w:p w:rsidR="009478DB" w:rsidRPr="00A81F9F" w:rsidRDefault="009478DB" w:rsidP="00EE1A61">
            <w:pPr>
              <w:jc w:val="both"/>
              <w:rPr>
                <w:b/>
                <w:bCs/>
              </w:rPr>
            </w:pPr>
            <w:r w:rsidRPr="00A81F9F">
              <w:rPr>
                <w:b/>
                <w:bCs/>
              </w:rPr>
              <w:t xml:space="preserve">2013 </w:t>
            </w:r>
          </w:p>
        </w:tc>
        <w:tc>
          <w:tcPr>
            <w:tcW w:w="996" w:type="dxa"/>
          </w:tcPr>
          <w:p w:rsidR="009478DB" w:rsidRPr="00A81F9F" w:rsidRDefault="009478DB" w:rsidP="00EE1A61">
            <w:pPr>
              <w:jc w:val="both"/>
              <w:rPr>
                <w:b/>
                <w:bCs/>
              </w:rPr>
            </w:pPr>
            <w:r w:rsidRPr="00A81F9F">
              <w:rPr>
                <w:b/>
                <w:bCs/>
              </w:rPr>
              <w:t xml:space="preserve">2014 </w:t>
            </w:r>
          </w:p>
        </w:tc>
        <w:tc>
          <w:tcPr>
            <w:tcW w:w="996" w:type="dxa"/>
          </w:tcPr>
          <w:p w:rsidR="009478DB" w:rsidRPr="00A81F9F" w:rsidRDefault="009478DB" w:rsidP="00EE1A61">
            <w:pPr>
              <w:jc w:val="both"/>
              <w:rPr>
                <w:b/>
                <w:bCs/>
              </w:rPr>
            </w:pPr>
            <w:r w:rsidRPr="00A81F9F">
              <w:rPr>
                <w:b/>
                <w:bCs/>
              </w:rPr>
              <w:t xml:space="preserve">2015 </w:t>
            </w:r>
          </w:p>
        </w:tc>
        <w:tc>
          <w:tcPr>
            <w:tcW w:w="996" w:type="dxa"/>
          </w:tcPr>
          <w:p w:rsidR="009478DB" w:rsidRPr="00A81F9F" w:rsidRDefault="009478DB" w:rsidP="00EE1A61">
            <w:pPr>
              <w:jc w:val="both"/>
              <w:rPr>
                <w:b/>
                <w:bCs/>
              </w:rPr>
            </w:pPr>
            <w:r w:rsidRPr="00A81F9F">
              <w:rPr>
                <w:b/>
                <w:bCs/>
              </w:rPr>
              <w:t>2016</w:t>
            </w:r>
          </w:p>
        </w:tc>
        <w:tc>
          <w:tcPr>
            <w:tcW w:w="996" w:type="dxa"/>
          </w:tcPr>
          <w:p w:rsidR="009478DB" w:rsidRPr="00A81F9F" w:rsidRDefault="009478DB" w:rsidP="00EE1A61">
            <w:pPr>
              <w:jc w:val="both"/>
              <w:rPr>
                <w:b/>
                <w:bCs/>
              </w:rPr>
            </w:pPr>
            <w:r w:rsidRPr="00A81F9F">
              <w:rPr>
                <w:b/>
                <w:bCs/>
              </w:rPr>
              <w:t xml:space="preserve">2017 </w:t>
            </w:r>
          </w:p>
        </w:tc>
        <w:tc>
          <w:tcPr>
            <w:tcW w:w="876" w:type="dxa"/>
          </w:tcPr>
          <w:p w:rsidR="009478DB" w:rsidRPr="00A81F9F" w:rsidRDefault="009478DB" w:rsidP="00EE1A61">
            <w:pPr>
              <w:jc w:val="both"/>
              <w:rPr>
                <w:b/>
                <w:bCs/>
              </w:rPr>
            </w:pPr>
            <w:r w:rsidRPr="00A81F9F">
              <w:rPr>
                <w:b/>
                <w:bCs/>
              </w:rPr>
              <w:t xml:space="preserve">2018 </w:t>
            </w:r>
          </w:p>
        </w:tc>
        <w:tc>
          <w:tcPr>
            <w:tcW w:w="1116" w:type="dxa"/>
          </w:tcPr>
          <w:p w:rsidR="009478DB" w:rsidRPr="00A81F9F" w:rsidRDefault="009478DB" w:rsidP="00EE1A61">
            <w:pPr>
              <w:jc w:val="both"/>
              <w:rPr>
                <w:b/>
                <w:bCs/>
              </w:rPr>
            </w:pPr>
            <w:r w:rsidRPr="00A81F9F">
              <w:rPr>
                <w:b/>
                <w:bCs/>
              </w:rPr>
              <w:t>Итого за 2012-2018гг.</w:t>
            </w:r>
          </w:p>
        </w:tc>
      </w:tr>
      <w:tr w:rsidR="009478DB" w:rsidRPr="00A81F9F" w:rsidTr="007E0F99">
        <w:tc>
          <w:tcPr>
            <w:tcW w:w="1880" w:type="dxa"/>
          </w:tcPr>
          <w:p w:rsidR="009478DB" w:rsidRDefault="009478DB" w:rsidP="00EE1A61">
            <w:pPr>
              <w:jc w:val="both"/>
              <w:rPr>
                <w:b/>
                <w:bCs/>
              </w:rPr>
            </w:pPr>
            <w:r w:rsidRPr="00A81F9F">
              <w:rPr>
                <w:b/>
                <w:bCs/>
              </w:rPr>
              <w:t xml:space="preserve">Генерация. </w:t>
            </w:r>
          </w:p>
          <w:p w:rsidR="009478DB" w:rsidRPr="00A81F9F" w:rsidRDefault="009478DB" w:rsidP="00EE1A61">
            <w:pPr>
              <w:jc w:val="both"/>
              <w:rPr>
                <w:b/>
                <w:bCs/>
              </w:rPr>
            </w:pPr>
            <w:r w:rsidRPr="00A81F9F">
              <w:rPr>
                <w:b/>
                <w:bCs/>
              </w:rPr>
              <w:t>Из нее:</w:t>
            </w:r>
          </w:p>
        </w:tc>
        <w:tc>
          <w:tcPr>
            <w:tcW w:w="1181" w:type="dxa"/>
          </w:tcPr>
          <w:p w:rsidR="009478DB" w:rsidRPr="00A81F9F" w:rsidRDefault="009478DB" w:rsidP="00EE1A61">
            <w:pPr>
              <w:jc w:val="both"/>
              <w:rPr>
                <w:b/>
                <w:bCs/>
              </w:rPr>
            </w:pPr>
          </w:p>
        </w:tc>
        <w:tc>
          <w:tcPr>
            <w:tcW w:w="996" w:type="dxa"/>
          </w:tcPr>
          <w:p w:rsidR="009478DB" w:rsidRPr="00A81F9F" w:rsidRDefault="009478DB" w:rsidP="00EE1A61">
            <w:pPr>
              <w:jc w:val="both"/>
            </w:pPr>
            <w:r w:rsidRPr="00A81F9F">
              <w:t>774,6</w:t>
            </w:r>
          </w:p>
        </w:tc>
        <w:tc>
          <w:tcPr>
            <w:tcW w:w="996" w:type="dxa"/>
          </w:tcPr>
          <w:p w:rsidR="009478DB" w:rsidRPr="00A81F9F" w:rsidRDefault="009478DB" w:rsidP="00EE1A61">
            <w:pPr>
              <w:jc w:val="both"/>
            </w:pPr>
            <w:r w:rsidRPr="00A81F9F">
              <w:t>718,1</w:t>
            </w:r>
          </w:p>
          <w:p w:rsidR="009478DB" w:rsidRPr="00A81F9F" w:rsidRDefault="009478DB" w:rsidP="00EE1A61">
            <w:pPr>
              <w:jc w:val="both"/>
            </w:pPr>
          </w:p>
        </w:tc>
        <w:tc>
          <w:tcPr>
            <w:tcW w:w="996" w:type="dxa"/>
          </w:tcPr>
          <w:p w:rsidR="009478DB" w:rsidRPr="00A81F9F" w:rsidRDefault="009478DB" w:rsidP="00EE1A61">
            <w:pPr>
              <w:jc w:val="both"/>
            </w:pPr>
            <w:r w:rsidRPr="00A81F9F">
              <w:t>528,4</w:t>
            </w:r>
          </w:p>
        </w:tc>
        <w:tc>
          <w:tcPr>
            <w:tcW w:w="996" w:type="dxa"/>
          </w:tcPr>
          <w:p w:rsidR="009478DB" w:rsidRPr="00A81F9F" w:rsidRDefault="009478DB" w:rsidP="00EE1A61">
            <w:pPr>
              <w:jc w:val="both"/>
            </w:pPr>
            <w:r w:rsidRPr="00A81F9F">
              <w:t>364,3</w:t>
            </w:r>
          </w:p>
        </w:tc>
        <w:tc>
          <w:tcPr>
            <w:tcW w:w="996" w:type="dxa"/>
          </w:tcPr>
          <w:p w:rsidR="009478DB" w:rsidRPr="00A81F9F" w:rsidRDefault="009478DB" w:rsidP="00EE1A61">
            <w:pPr>
              <w:jc w:val="both"/>
            </w:pPr>
            <w:r w:rsidRPr="00A81F9F">
              <w:t>228,6</w:t>
            </w:r>
          </w:p>
        </w:tc>
        <w:tc>
          <w:tcPr>
            <w:tcW w:w="996" w:type="dxa"/>
          </w:tcPr>
          <w:p w:rsidR="009478DB" w:rsidRPr="00A81F9F" w:rsidRDefault="009478DB" w:rsidP="00EE1A61">
            <w:pPr>
              <w:jc w:val="both"/>
            </w:pPr>
            <w:r w:rsidRPr="00A81F9F">
              <w:t>154,8</w:t>
            </w:r>
          </w:p>
        </w:tc>
        <w:tc>
          <w:tcPr>
            <w:tcW w:w="876" w:type="dxa"/>
          </w:tcPr>
          <w:p w:rsidR="009478DB" w:rsidRPr="00A81F9F" w:rsidRDefault="009478DB" w:rsidP="00EE1A61">
            <w:pPr>
              <w:jc w:val="both"/>
            </w:pPr>
            <w:r w:rsidRPr="00A81F9F">
              <w:t>78,1</w:t>
            </w:r>
          </w:p>
        </w:tc>
        <w:tc>
          <w:tcPr>
            <w:tcW w:w="1116" w:type="dxa"/>
          </w:tcPr>
          <w:p w:rsidR="009478DB" w:rsidRPr="00A81F9F" w:rsidRDefault="009478DB" w:rsidP="00EE1A61">
            <w:pPr>
              <w:jc w:val="both"/>
              <w:rPr>
                <w:b/>
                <w:bCs/>
              </w:rPr>
            </w:pPr>
            <w:r w:rsidRPr="00A81F9F">
              <w:rPr>
                <w:b/>
                <w:bCs/>
              </w:rPr>
              <w:t>2847</w:t>
            </w:r>
          </w:p>
        </w:tc>
      </w:tr>
      <w:tr w:rsidR="009478DB" w:rsidRPr="00A81F9F" w:rsidTr="007E0F99">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АЭС</w:t>
            </w:r>
          </w:p>
        </w:tc>
        <w:tc>
          <w:tcPr>
            <w:tcW w:w="996" w:type="dxa"/>
          </w:tcPr>
          <w:p w:rsidR="009478DB" w:rsidRPr="00A81F9F" w:rsidRDefault="009478DB" w:rsidP="00EE1A61">
            <w:pPr>
              <w:jc w:val="both"/>
            </w:pPr>
            <w:r w:rsidRPr="00A81F9F">
              <w:t>254,2</w:t>
            </w:r>
          </w:p>
        </w:tc>
        <w:tc>
          <w:tcPr>
            <w:tcW w:w="996" w:type="dxa"/>
          </w:tcPr>
          <w:p w:rsidR="009478DB" w:rsidRPr="00A81F9F" w:rsidRDefault="009478DB" w:rsidP="00EE1A61">
            <w:pPr>
              <w:jc w:val="both"/>
            </w:pPr>
            <w:r w:rsidRPr="00A81F9F">
              <w:t>265,9</w:t>
            </w:r>
          </w:p>
        </w:tc>
        <w:tc>
          <w:tcPr>
            <w:tcW w:w="996" w:type="dxa"/>
          </w:tcPr>
          <w:p w:rsidR="009478DB" w:rsidRPr="00A81F9F" w:rsidRDefault="009478DB" w:rsidP="00EE1A61">
            <w:pPr>
              <w:jc w:val="both"/>
            </w:pPr>
            <w:r w:rsidRPr="00A81F9F">
              <w:t>283,1</w:t>
            </w:r>
          </w:p>
        </w:tc>
        <w:tc>
          <w:tcPr>
            <w:tcW w:w="996" w:type="dxa"/>
          </w:tcPr>
          <w:p w:rsidR="009478DB" w:rsidRPr="00A81F9F" w:rsidRDefault="009478DB" w:rsidP="00EE1A61">
            <w:pPr>
              <w:jc w:val="both"/>
            </w:pPr>
            <w:r w:rsidRPr="00A81F9F">
              <w:t>238,0</w:t>
            </w:r>
          </w:p>
        </w:tc>
        <w:tc>
          <w:tcPr>
            <w:tcW w:w="996" w:type="dxa"/>
          </w:tcPr>
          <w:p w:rsidR="009478DB" w:rsidRPr="00A81F9F" w:rsidRDefault="009478DB" w:rsidP="00EE1A61">
            <w:pPr>
              <w:jc w:val="both"/>
            </w:pPr>
            <w:r w:rsidRPr="00A81F9F">
              <w:t>160,0</w:t>
            </w:r>
          </w:p>
        </w:tc>
        <w:tc>
          <w:tcPr>
            <w:tcW w:w="996" w:type="dxa"/>
          </w:tcPr>
          <w:p w:rsidR="009478DB" w:rsidRPr="00A81F9F" w:rsidRDefault="009478DB" w:rsidP="00EE1A61">
            <w:pPr>
              <w:jc w:val="both"/>
            </w:pPr>
            <w:r w:rsidRPr="00A81F9F">
              <w:t>94,8</w:t>
            </w:r>
          </w:p>
        </w:tc>
        <w:tc>
          <w:tcPr>
            <w:tcW w:w="876" w:type="dxa"/>
          </w:tcPr>
          <w:p w:rsidR="009478DB" w:rsidRPr="00A81F9F" w:rsidRDefault="009478DB" w:rsidP="00EE1A61">
            <w:pPr>
              <w:jc w:val="both"/>
            </w:pPr>
            <w:r w:rsidRPr="00A81F9F">
              <w:t>41,7</w:t>
            </w:r>
          </w:p>
        </w:tc>
        <w:tc>
          <w:tcPr>
            <w:tcW w:w="1116" w:type="dxa"/>
          </w:tcPr>
          <w:p w:rsidR="009478DB" w:rsidRPr="00A81F9F" w:rsidRDefault="009478DB" w:rsidP="00EE1A61">
            <w:pPr>
              <w:jc w:val="both"/>
            </w:pPr>
            <w:r w:rsidRPr="00A81F9F">
              <w:t>1337,8</w:t>
            </w:r>
          </w:p>
        </w:tc>
      </w:tr>
      <w:tr w:rsidR="009478DB" w:rsidRPr="00A81F9F" w:rsidTr="007E0F99">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ГЭС и</w:t>
            </w:r>
          </w:p>
          <w:p w:rsidR="009478DB" w:rsidRPr="00A81F9F" w:rsidRDefault="009478DB" w:rsidP="00EE1A61">
            <w:pPr>
              <w:jc w:val="both"/>
              <w:rPr>
                <w:b/>
                <w:bCs/>
              </w:rPr>
            </w:pPr>
            <w:r w:rsidRPr="00A81F9F">
              <w:rPr>
                <w:b/>
                <w:bCs/>
              </w:rPr>
              <w:t>ГАЭС</w:t>
            </w:r>
          </w:p>
        </w:tc>
        <w:tc>
          <w:tcPr>
            <w:tcW w:w="996" w:type="dxa"/>
          </w:tcPr>
          <w:p w:rsidR="009478DB" w:rsidRPr="00A81F9F" w:rsidRDefault="009478DB" w:rsidP="00EE1A61">
            <w:pPr>
              <w:jc w:val="both"/>
            </w:pPr>
            <w:r w:rsidRPr="00A81F9F">
              <w:t>31,4</w:t>
            </w:r>
          </w:p>
        </w:tc>
        <w:tc>
          <w:tcPr>
            <w:tcW w:w="996" w:type="dxa"/>
          </w:tcPr>
          <w:p w:rsidR="009478DB" w:rsidRPr="00A81F9F" w:rsidRDefault="009478DB" w:rsidP="00EE1A61">
            <w:pPr>
              <w:jc w:val="both"/>
            </w:pPr>
            <w:r w:rsidRPr="00A81F9F">
              <w:t>22,8</w:t>
            </w:r>
          </w:p>
        </w:tc>
        <w:tc>
          <w:tcPr>
            <w:tcW w:w="996" w:type="dxa"/>
          </w:tcPr>
          <w:p w:rsidR="009478DB" w:rsidRPr="00A81F9F" w:rsidRDefault="009478DB" w:rsidP="00EE1A61">
            <w:pPr>
              <w:jc w:val="both"/>
            </w:pPr>
            <w:r w:rsidRPr="00A81F9F">
              <w:t>20,0</w:t>
            </w:r>
          </w:p>
        </w:tc>
        <w:tc>
          <w:tcPr>
            <w:tcW w:w="996" w:type="dxa"/>
          </w:tcPr>
          <w:p w:rsidR="009478DB" w:rsidRPr="00A81F9F" w:rsidRDefault="009478DB" w:rsidP="00EE1A61">
            <w:pPr>
              <w:jc w:val="both"/>
            </w:pPr>
            <w:r w:rsidRPr="00A81F9F">
              <w:t>17,0</w:t>
            </w:r>
          </w:p>
        </w:tc>
        <w:tc>
          <w:tcPr>
            <w:tcW w:w="996" w:type="dxa"/>
          </w:tcPr>
          <w:p w:rsidR="009478DB" w:rsidRPr="00A81F9F" w:rsidRDefault="009478DB" w:rsidP="00EE1A61">
            <w:pPr>
              <w:jc w:val="both"/>
            </w:pPr>
            <w:r w:rsidRPr="00A81F9F">
              <w:t>8,5</w:t>
            </w:r>
          </w:p>
        </w:tc>
        <w:tc>
          <w:tcPr>
            <w:tcW w:w="996" w:type="dxa"/>
          </w:tcPr>
          <w:p w:rsidR="009478DB" w:rsidRPr="00A81F9F" w:rsidRDefault="009478DB" w:rsidP="00EE1A61">
            <w:pPr>
              <w:jc w:val="both"/>
            </w:pPr>
            <w:r w:rsidRPr="00A81F9F">
              <w:t>3,2</w:t>
            </w:r>
          </w:p>
        </w:tc>
        <w:tc>
          <w:tcPr>
            <w:tcW w:w="876" w:type="dxa"/>
          </w:tcPr>
          <w:p w:rsidR="009478DB" w:rsidRPr="00A81F9F" w:rsidRDefault="009478DB" w:rsidP="00EE1A61">
            <w:pPr>
              <w:jc w:val="both"/>
            </w:pPr>
            <w:r w:rsidRPr="00A81F9F">
              <w:t>3,7</w:t>
            </w:r>
          </w:p>
        </w:tc>
        <w:tc>
          <w:tcPr>
            <w:tcW w:w="1116" w:type="dxa"/>
          </w:tcPr>
          <w:p w:rsidR="009478DB" w:rsidRPr="00A81F9F" w:rsidRDefault="009478DB" w:rsidP="00EE1A61">
            <w:pPr>
              <w:jc w:val="both"/>
            </w:pPr>
            <w:r w:rsidRPr="00A81F9F">
              <w:t>106,5</w:t>
            </w:r>
          </w:p>
        </w:tc>
      </w:tr>
      <w:tr w:rsidR="009478DB" w:rsidRPr="00A81F9F" w:rsidTr="007E0F99">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ТЭС</w:t>
            </w:r>
          </w:p>
        </w:tc>
        <w:tc>
          <w:tcPr>
            <w:tcW w:w="996" w:type="dxa"/>
          </w:tcPr>
          <w:p w:rsidR="009478DB" w:rsidRPr="00A81F9F" w:rsidRDefault="009478DB" w:rsidP="00EE1A61">
            <w:pPr>
              <w:jc w:val="both"/>
            </w:pPr>
            <w:r w:rsidRPr="00A81F9F">
              <w:t>487,9</w:t>
            </w:r>
          </w:p>
        </w:tc>
        <w:tc>
          <w:tcPr>
            <w:tcW w:w="996" w:type="dxa"/>
          </w:tcPr>
          <w:p w:rsidR="009478DB" w:rsidRPr="00A81F9F" w:rsidRDefault="009478DB" w:rsidP="00EE1A61">
            <w:pPr>
              <w:jc w:val="both"/>
            </w:pPr>
            <w:r w:rsidRPr="00A81F9F">
              <w:t>428,5</w:t>
            </w:r>
          </w:p>
        </w:tc>
        <w:tc>
          <w:tcPr>
            <w:tcW w:w="996" w:type="dxa"/>
          </w:tcPr>
          <w:p w:rsidR="009478DB" w:rsidRPr="00A81F9F" w:rsidRDefault="009478DB" w:rsidP="00EE1A61">
            <w:pPr>
              <w:jc w:val="both"/>
            </w:pPr>
            <w:r w:rsidRPr="00A81F9F">
              <w:t>224,9</w:t>
            </w:r>
          </w:p>
        </w:tc>
        <w:tc>
          <w:tcPr>
            <w:tcW w:w="996" w:type="dxa"/>
          </w:tcPr>
          <w:p w:rsidR="009478DB" w:rsidRPr="00A81F9F" w:rsidRDefault="009478DB" w:rsidP="00EE1A61">
            <w:pPr>
              <w:jc w:val="both"/>
            </w:pPr>
            <w:r w:rsidRPr="00A81F9F">
              <w:t>109,3</w:t>
            </w:r>
          </w:p>
        </w:tc>
        <w:tc>
          <w:tcPr>
            <w:tcW w:w="996" w:type="dxa"/>
          </w:tcPr>
          <w:p w:rsidR="009478DB" w:rsidRPr="00A81F9F" w:rsidRDefault="009478DB" w:rsidP="00EE1A61">
            <w:pPr>
              <w:jc w:val="both"/>
            </w:pPr>
            <w:r w:rsidRPr="00A81F9F">
              <w:t>60,1</w:t>
            </w:r>
          </w:p>
        </w:tc>
        <w:tc>
          <w:tcPr>
            <w:tcW w:w="996" w:type="dxa"/>
          </w:tcPr>
          <w:p w:rsidR="009478DB" w:rsidRPr="00A81F9F" w:rsidRDefault="009478DB" w:rsidP="00EE1A61">
            <w:pPr>
              <w:jc w:val="both"/>
            </w:pPr>
            <w:r w:rsidRPr="00A81F9F">
              <w:t>56,8</w:t>
            </w:r>
          </w:p>
        </w:tc>
        <w:tc>
          <w:tcPr>
            <w:tcW w:w="876" w:type="dxa"/>
          </w:tcPr>
          <w:p w:rsidR="009478DB" w:rsidRPr="00A81F9F" w:rsidRDefault="009478DB" w:rsidP="00EE1A61">
            <w:pPr>
              <w:jc w:val="both"/>
            </w:pPr>
            <w:r w:rsidRPr="00A81F9F">
              <w:t>32,7</w:t>
            </w:r>
          </w:p>
        </w:tc>
        <w:tc>
          <w:tcPr>
            <w:tcW w:w="1116" w:type="dxa"/>
          </w:tcPr>
          <w:p w:rsidR="009478DB" w:rsidRPr="00A81F9F" w:rsidRDefault="009478DB" w:rsidP="00EE1A61">
            <w:pPr>
              <w:jc w:val="both"/>
            </w:pPr>
            <w:r w:rsidRPr="00A81F9F">
              <w:t>1400,2</w:t>
            </w:r>
          </w:p>
        </w:tc>
      </w:tr>
      <w:tr w:rsidR="009478DB" w:rsidRPr="00A81F9F" w:rsidTr="007E0F99">
        <w:tc>
          <w:tcPr>
            <w:tcW w:w="1880" w:type="dxa"/>
          </w:tcPr>
          <w:p w:rsidR="009478DB" w:rsidRPr="00A81F9F" w:rsidRDefault="009478DB" w:rsidP="00EE1A61">
            <w:pPr>
              <w:jc w:val="both"/>
              <w:rPr>
                <w:b/>
                <w:bCs/>
              </w:rPr>
            </w:pPr>
          </w:p>
        </w:tc>
        <w:tc>
          <w:tcPr>
            <w:tcW w:w="1181" w:type="dxa"/>
          </w:tcPr>
          <w:p w:rsidR="009478DB" w:rsidRPr="00A81F9F" w:rsidRDefault="009478DB" w:rsidP="00EE1A61">
            <w:pPr>
              <w:jc w:val="both"/>
              <w:rPr>
                <w:b/>
                <w:bCs/>
              </w:rPr>
            </w:pPr>
            <w:r w:rsidRPr="00A81F9F">
              <w:rPr>
                <w:b/>
                <w:bCs/>
              </w:rPr>
              <w:t>ВИЭ</w:t>
            </w:r>
          </w:p>
        </w:tc>
        <w:tc>
          <w:tcPr>
            <w:tcW w:w="996" w:type="dxa"/>
          </w:tcPr>
          <w:p w:rsidR="009478DB" w:rsidRPr="00A81F9F" w:rsidRDefault="009478DB" w:rsidP="00EE1A61">
            <w:pPr>
              <w:jc w:val="both"/>
            </w:pPr>
            <w:r w:rsidRPr="00A81F9F">
              <w:t>1,1</w:t>
            </w:r>
          </w:p>
        </w:tc>
        <w:tc>
          <w:tcPr>
            <w:tcW w:w="996" w:type="dxa"/>
          </w:tcPr>
          <w:p w:rsidR="009478DB" w:rsidRPr="00A81F9F" w:rsidRDefault="009478DB" w:rsidP="00EE1A61">
            <w:pPr>
              <w:jc w:val="both"/>
            </w:pPr>
            <w:r w:rsidRPr="00A81F9F">
              <w:t>1,0</w:t>
            </w:r>
          </w:p>
        </w:tc>
        <w:tc>
          <w:tcPr>
            <w:tcW w:w="996" w:type="dxa"/>
          </w:tcPr>
          <w:p w:rsidR="009478DB" w:rsidRPr="00A81F9F" w:rsidRDefault="009478DB" w:rsidP="00EE1A61">
            <w:pPr>
              <w:jc w:val="both"/>
            </w:pPr>
            <w:r w:rsidRPr="00A81F9F">
              <w:t>0,5</w:t>
            </w:r>
          </w:p>
        </w:tc>
        <w:tc>
          <w:tcPr>
            <w:tcW w:w="996" w:type="dxa"/>
          </w:tcPr>
          <w:p w:rsidR="009478DB" w:rsidRPr="00A81F9F" w:rsidRDefault="009478DB" w:rsidP="00EE1A61">
            <w:pPr>
              <w:jc w:val="both"/>
            </w:pPr>
            <w:r w:rsidRPr="00A81F9F">
              <w:t>0,0</w:t>
            </w:r>
          </w:p>
        </w:tc>
        <w:tc>
          <w:tcPr>
            <w:tcW w:w="996" w:type="dxa"/>
          </w:tcPr>
          <w:p w:rsidR="009478DB" w:rsidRPr="00A81F9F" w:rsidRDefault="009478DB" w:rsidP="00EE1A61">
            <w:pPr>
              <w:jc w:val="both"/>
            </w:pPr>
            <w:r w:rsidRPr="00A81F9F">
              <w:t>0,0</w:t>
            </w:r>
          </w:p>
        </w:tc>
        <w:tc>
          <w:tcPr>
            <w:tcW w:w="996" w:type="dxa"/>
          </w:tcPr>
          <w:p w:rsidR="009478DB" w:rsidRPr="00A81F9F" w:rsidRDefault="009478DB" w:rsidP="00EE1A61">
            <w:pPr>
              <w:jc w:val="both"/>
            </w:pPr>
            <w:r w:rsidRPr="00A81F9F">
              <w:t>0,0</w:t>
            </w:r>
          </w:p>
        </w:tc>
        <w:tc>
          <w:tcPr>
            <w:tcW w:w="876" w:type="dxa"/>
          </w:tcPr>
          <w:p w:rsidR="009478DB" w:rsidRPr="00A81F9F" w:rsidRDefault="009478DB" w:rsidP="00EE1A61">
            <w:pPr>
              <w:jc w:val="both"/>
            </w:pPr>
            <w:r w:rsidRPr="00A81F9F">
              <w:t>0,0</w:t>
            </w:r>
          </w:p>
        </w:tc>
        <w:tc>
          <w:tcPr>
            <w:tcW w:w="1116" w:type="dxa"/>
          </w:tcPr>
          <w:p w:rsidR="009478DB" w:rsidRPr="00A81F9F" w:rsidRDefault="009478DB" w:rsidP="00EE1A61">
            <w:pPr>
              <w:jc w:val="both"/>
            </w:pPr>
            <w:r w:rsidRPr="00A81F9F">
              <w:t>2,6</w:t>
            </w:r>
          </w:p>
        </w:tc>
      </w:tr>
      <w:tr w:rsidR="009478DB" w:rsidRPr="00A81F9F" w:rsidTr="007E0F99">
        <w:tc>
          <w:tcPr>
            <w:tcW w:w="1880" w:type="dxa"/>
          </w:tcPr>
          <w:p w:rsidR="009478DB" w:rsidRPr="00A81F9F" w:rsidRDefault="009478DB" w:rsidP="00EE1A61">
            <w:pPr>
              <w:jc w:val="both"/>
              <w:rPr>
                <w:b/>
                <w:bCs/>
              </w:rPr>
            </w:pPr>
            <w:r w:rsidRPr="00A81F9F">
              <w:rPr>
                <w:b/>
                <w:bCs/>
              </w:rPr>
              <w:t>Электрические сети 220 кВ и выше</w:t>
            </w:r>
          </w:p>
        </w:tc>
        <w:tc>
          <w:tcPr>
            <w:tcW w:w="1181" w:type="dxa"/>
          </w:tcPr>
          <w:p w:rsidR="009478DB" w:rsidRPr="00A81F9F" w:rsidRDefault="009478DB" w:rsidP="00EE1A61">
            <w:pPr>
              <w:jc w:val="both"/>
              <w:rPr>
                <w:b/>
                <w:bCs/>
              </w:rPr>
            </w:pPr>
          </w:p>
        </w:tc>
        <w:tc>
          <w:tcPr>
            <w:tcW w:w="996" w:type="dxa"/>
          </w:tcPr>
          <w:p w:rsidR="009478DB" w:rsidRPr="00A81F9F" w:rsidRDefault="009478DB" w:rsidP="00EE1A61">
            <w:pPr>
              <w:jc w:val="both"/>
            </w:pPr>
            <w:r w:rsidRPr="00A81F9F">
              <w:t>231,0</w:t>
            </w:r>
          </w:p>
        </w:tc>
        <w:tc>
          <w:tcPr>
            <w:tcW w:w="996" w:type="dxa"/>
          </w:tcPr>
          <w:p w:rsidR="009478DB" w:rsidRPr="00A81F9F" w:rsidRDefault="009478DB" w:rsidP="00EE1A61">
            <w:pPr>
              <w:jc w:val="both"/>
            </w:pPr>
            <w:r w:rsidRPr="00A81F9F">
              <w:t>175,3</w:t>
            </w:r>
          </w:p>
        </w:tc>
        <w:tc>
          <w:tcPr>
            <w:tcW w:w="996" w:type="dxa"/>
          </w:tcPr>
          <w:p w:rsidR="009478DB" w:rsidRPr="00A81F9F" w:rsidRDefault="009478DB" w:rsidP="00EE1A61">
            <w:pPr>
              <w:jc w:val="both"/>
            </w:pPr>
            <w:r w:rsidRPr="00A81F9F">
              <w:t>225,0</w:t>
            </w:r>
          </w:p>
        </w:tc>
        <w:tc>
          <w:tcPr>
            <w:tcW w:w="996" w:type="dxa"/>
          </w:tcPr>
          <w:p w:rsidR="009478DB" w:rsidRPr="00A81F9F" w:rsidRDefault="009478DB" w:rsidP="00EE1A61">
            <w:pPr>
              <w:jc w:val="both"/>
            </w:pPr>
            <w:r w:rsidRPr="00A81F9F">
              <w:t>499,3</w:t>
            </w:r>
          </w:p>
        </w:tc>
        <w:tc>
          <w:tcPr>
            <w:tcW w:w="996" w:type="dxa"/>
          </w:tcPr>
          <w:p w:rsidR="009478DB" w:rsidRPr="00A81F9F" w:rsidRDefault="009478DB" w:rsidP="00EE1A61">
            <w:pPr>
              <w:jc w:val="both"/>
            </w:pPr>
            <w:r w:rsidRPr="00A81F9F">
              <w:t>316,6</w:t>
            </w:r>
          </w:p>
        </w:tc>
        <w:tc>
          <w:tcPr>
            <w:tcW w:w="996" w:type="dxa"/>
          </w:tcPr>
          <w:p w:rsidR="009478DB" w:rsidRPr="00A81F9F" w:rsidRDefault="009478DB" w:rsidP="00EE1A61">
            <w:pPr>
              <w:jc w:val="both"/>
            </w:pPr>
            <w:r w:rsidRPr="00A81F9F">
              <w:t>211,9</w:t>
            </w:r>
          </w:p>
        </w:tc>
        <w:tc>
          <w:tcPr>
            <w:tcW w:w="876" w:type="dxa"/>
          </w:tcPr>
          <w:p w:rsidR="009478DB" w:rsidRPr="00A81F9F" w:rsidRDefault="009478DB" w:rsidP="00EE1A61">
            <w:pPr>
              <w:jc w:val="both"/>
            </w:pPr>
            <w:r w:rsidRPr="00A81F9F">
              <w:t>70,4</w:t>
            </w:r>
          </w:p>
        </w:tc>
        <w:tc>
          <w:tcPr>
            <w:tcW w:w="1116" w:type="dxa"/>
          </w:tcPr>
          <w:p w:rsidR="009478DB" w:rsidRPr="00A81F9F" w:rsidRDefault="009478DB" w:rsidP="00EE1A61">
            <w:pPr>
              <w:jc w:val="both"/>
              <w:rPr>
                <w:b/>
                <w:bCs/>
              </w:rPr>
            </w:pPr>
            <w:r w:rsidRPr="00A81F9F">
              <w:rPr>
                <w:b/>
                <w:bCs/>
              </w:rPr>
              <w:t>1729,5</w:t>
            </w:r>
          </w:p>
        </w:tc>
      </w:tr>
      <w:tr w:rsidR="009478DB" w:rsidRPr="00A81F9F" w:rsidTr="007E0F99">
        <w:tc>
          <w:tcPr>
            <w:tcW w:w="1880" w:type="dxa"/>
          </w:tcPr>
          <w:p w:rsidR="009478DB" w:rsidRPr="00A81F9F" w:rsidRDefault="009478DB" w:rsidP="00EE1A61">
            <w:pPr>
              <w:jc w:val="both"/>
              <w:rPr>
                <w:b/>
                <w:bCs/>
              </w:rPr>
            </w:pPr>
            <w:r w:rsidRPr="00A81F9F">
              <w:rPr>
                <w:b/>
                <w:bCs/>
              </w:rPr>
              <w:t>Всего по Российской Федерации с учетом сетей 220 кВ и выше</w:t>
            </w:r>
          </w:p>
        </w:tc>
        <w:tc>
          <w:tcPr>
            <w:tcW w:w="1181" w:type="dxa"/>
          </w:tcPr>
          <w:p w:rsidR="009478DB" w:rsidRPr="00A81F9F" w:rsidRDefault="009478DB" w:rsidP="00EE1A61">
            <w:pPr>
              <w:jc w:val="both"/>
              <w:rPr>
                <w:b/>
                <w:bCs/>
              </w:rPr>
            </w:pPr>
          </w:p>
        </w:tc>
        <w:tc>
          <w:tcPr>
            <w:tcW w:w="996" w:type="dxa"/>
          </w:tcPr>
          <w:p w:rsidR="009478DB" w:rsidRPr="00A81F9F" w:rsidRDefault="009478DB" w:rsidP="00EE1A61">
            <w:pPr>
              <w:jc w:val="both"/>
            </w:pPr>
            <w:r w:rsidRPr="00A81F9F">
              <w:t>1005,6</w:t>
            </w:r>
          </w:p>
        </w:tc>
        <w:tc>
          <w:tcPr>
            <w:tcW w:w="996" w:type="dxa"/>
          </w:tcPr>
          <w:p w:rsidR="009478DB" w:rsidRPr="00A81F9F" w:rsidRDefault="009478DB" w:rsidP="00EE1A61">
            <w:pPr>
              <w:jc w:val="both"/>
            </w:pPr>
            <w:r w:rsidRPr="00A81F9F">
              <w:t>893,4</w:t>
            </w:r>
          </w:p>
        </w:tc>
        <w:tc>
          <w:tcPr>
            <w:tcW w:w="996" w:type="dxa"/>
          </w:tcPr>
          <w:p w:rsidR="009478DB" w:rsidRPr="00A81F9F" w:rsidRDefault="009478DB" w:rsidP="00EE1A61">
            <w:pPr>
              <w:jc w:val="both"/>
            </w:pPr>
            <w:r w:rsidRPr="00A81F9F">
              <w:t>753,4</w:t>
            </w:r>
          </w:p>
        </w:tc>
        <w:tc>
          <w:tcPr>
            <w:tcW w:w="996" w:type="dxa"/>
          </w:tcPr>
          <w:p w:rsidR="009478DB" w:rsidRPr="00A81F9F" w:rsidRDefault="009478DB" w:rsidP="00EE1A61">
            <w:pPr>
              <w:jc w:val="both"/>
            </w:pPr>
            <w:r w:rsidRPr="00A81F9F">
              <w:t>863,7</w:t>
            </w:r>
          </w:p>
        </w:tc>
        <w:tc>
          <w:tcPr>
            <w:tcW w:w="996" w:type="dxa"/>
          </w:tcPr>
          <w:p w:rsidR="009478DB" w:rsidRPr="00A81F9F" w:rsidRDefault="009478DB" w:rsidP="00EE1A61">
            <w:pPr>
              <w:jc w:val="both"/>
            </w:pPr>
            <w:r w:rsidRPr="00A81F9F">
              <w:t>545,3</w:t>
            </w:r>
          </w:p>
        </w:tc>
        <w:tc>
          <w:tcPr>
            <w:tcW w:w="996" w:type="dxa"/>
          </w:tcPr>
          <w:p w:rsidR="009478DB" w:rsidRPr="00A81F9F" w:rsidRDefault="009478DB" w:rsidP="00EE1A61">
            <w:pPr>
              <w:jc w:val="both"/>
            </w:pPr>
            <w:r w:rsidRPr="00A81F9F">
              <w:t>366,7</w:t>
            </w:r>
          </w:p>
        </w:tc>
        <w:tc>
          <w:tcPr>
            <w:tcW w:w="876" w:type="dxa"/>
          </w:tcPr>
          <w:p w:rsidR="009478DB" w:rsidRPr="00A81F9F" w:rsidRDefault="009478DB" w:rsidP="00EE1A61">
            <w:pPr>
              <w:jc w:val="both"/>
            </w:pPr>
            <w:r w:rsidRPr="00A81F9F">
              <w:t>148,4</w:t>
            </w:r>
          </w:p>
        </w:tc>
        <w:tc>
          <w:tcPr>
            <w:tcW w:w="1116" w:type="dxa"/>
          </w:tcPr>
          <w:p w:rsidR="009478DB" w:rsidRPr="00A81F9F" w:rsidRDefault="009478DB" w:rsidP="00EE1A61">
            <w:pPr>
              <w:jc w:val="both"/>
              <w:rPr>
                <w:b/>
                <w:bCs/>
              </w:rPr>
            </w:pPr>
            <w:r w:rsidRPr="00A81F9F">
              <w:rPr>
                <w:b/>
                <w:bCs/>
              </w:rPr>
              <w:t>4576,4</w:t>
            </w:r>
          </w:p>
        </w:tc>
      </w:tr>
    </w:tbl>
    <w:p w:rsidR="009478DB" w:rsidRDefault="009478DB" w:rsidP="00EE1A61">
      <w:pPr>
        <w:jc w:val="both"/>
      </w:pPr>
    </w:p>
    <w:p w:rsidR="007D2455" w:rsidRDefault="007D2455" w:rsidP="007D2455">
      <w:pPr>
        <w:ind w:firstLine="709"/>
        <w:jc w:val="right"/>
      </w:pPr>
    </w:p>
    <w:p w:rsidR="007D2455" w:rsidRDefault="007D2455" w:rsidP="007D2455">
      <w:pPr>
        <w:ind w:firstLine="709"/>
        <w:jc w:val="right"/>
      </w:pPr>
      <w:r w:rsidRPr="00A81F9F">
        <w:t>Таблица 1</w:t>
      </w:r>
      <w:r w:rsidR="0003225F">
        <w:t>7</w:t>
      </w:r>
      <w:r w:rsidRPr="00A81F9F">
        <w:t>.</w:t>
      </w:r>
    </w:p>
    <w:p w:rsidR="007D2455" w:rsidRPr="00A81F9F" w:rsidRDefault="007D2455" w:rsidP="007D2455">
      <w:pPr>
        <w:ind w:firstLine="709"/>
        <w:jc w:val="right"/>
      </w:pPr>
    </w:p>
    <w:p w:rsidR="00764B9E" w:rsidRDefault="00764B9E" w:rsidP="002650A9">
      <w:pPr>
        <w:ind w:firstLine="709"/>
        <w:jc w:val="center"/>
      </w:pPr>
      <w:r w:rsidRPr="00A81F9F">
        <w:t>Инвестиции по прогнозу Минэнерго 201</w:t>
      </w:r>
      <w:r>
        <w:t>3</w:t>
      </w:r>
      <w:r w:rsidRPr="00A81F9F">
        <w:t>г. млрд. руб. в прогнозных ценах, с учетом НДС 18% и инфляционным удорожанием в период 201</w:t>
      </w:r>
      <w:r>
        <w:t>3</w:t>
      </w:r>
      <w:r w:rsidRPr="00A81F9F">
        <w:t xml:space="preserve"> – 201</w:t>
      </w:r>
      <w:r>
        <w:t>9</w:t>
      </w:r>
      <w:r w:rsidRPr="00A81F9F">
        <w:t>гг.</w:t>
      </w:r>
    </w:p>
    <w:p w:rsidR="002650A9" w:rsidRDefault="002650A9" w:rsidP="002650A9">
      <w:pPr>
        <w:ind w:firstLine="709"/>
        <w:jc w:val="center"/>
      </w:pPr>
    </w:p>
    <w:p w:rsidR="00764B9E" w:rsidRPr="00A81F9F" w:rsidRDefault="00764B9E" w:rsidP="00764B9E">
      <w:pPr>
        <w:ind w:firstLine="709"/>
        <w:jc w:val="both"/>
      </w:pPr>
    </w:p>
    <w:tbl>
      <w:tblPr>
        <w:tblW w:w="11029" w:type="dxa"/>
        <w:tblInd w:w="-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1181"/>
        <w:gridCol w:w="996"/>
        <w:gridCol w:w="996"/>
        <w:gridCol w:w="996"/>
        <w:gridCol w:w="996"/>
        <w:gridCol w:w="996"/>
        <w:gridCol w:w="996"/>
        <w:gridCol w:w="876"/>
        <w:gridCol w:w="1116"/>
      </w:tblGrid>
      <w:tr w:rsidR="00764B9E" w:rsidRPr="00A81F9F" w:rsidTr="00764B9E">
        <w:tc>
          <w:tcPr>
            <w:tcW w:w="1880" w:type="dxa"/>
          </w:tcPr>
          <w:p w:rsidR="00764B9E" w:rsidRPr="00A81F9F" w:rsidRDefault="00764B9E" w:rsidP="00764B9E">
            <w:pPr>
              <w:jc w:val="both"/>
            </w:pPr>
          </w:p>
        </w:tc>
        <w:tc>
          <w:tcPr>
            <w:tcW w:w="1181" w:type="dxa"/>
          </w:tcPr>
          <w:p w:rsidR="00764B9E" w:rsidRPr="00A81F9F" w:rsidRDefault="00764B9E" w:rsidP="00764B9E">
            <w:pPr>
              <w:jc w:val="both"/>
              <w:rPr>
                <w:b/>
                <w:bCs/>
              </w:rPr>
            </w:pPr>
            <w:r w:rsidRPr="00A81F9F">
              <w:rPr>
                <w:b/>
                <w:bCs/>
              </w:rPr>
              <w:t xml:space="preserve">Тип </w:t>
            </w:r>
          </w:p>
          <w:p w:rsidR="00764B9E" w:rsidRPr="00A81F9F" w:rsidRDefault="00764B9E" w:rsidP="00764B9E">
            <w:pPr>
              <w:jc w:val="both"/>
              <w:rPr>
                <w:b/>
                <w:bCs/>
              </w:rPr>
            </w:pPr>
            <w:r w:rsidRPr="00A81F9F">
              <w:rPr>
                <w:b/>
                <w:bCs/>
              </w:rPr>
              <w:t>Станции</w:t>
            </w:r>
          </w:p>
        </w:tc>
        <w:tc>
          <w:tcPr>
            <w:tcW w:w="996" w:type="dxa"/>
          </w:tcPr>
          <w:p w:rsidR="00764B9E" w:rsidRPr="00A81F9F" w:rsidRDefault="00764B9E" w:rsidP="00764B9E">
            <w:pPr>
              <w:jc w:val="both"/>
              <w:rPr>
                <w:b/>
                <w:bCs/>
              </w:rPr>
            </w:pPr>
            <w:r>
              <w:rPr>
                <w:b/>
                <w:bCs/>
              </w:rPr>
              <w:t>2013</w:t>
            </w:r>
            <w:r w:rsidRPr="00A81F9F">
              <w:rPr>
                <w:b/>
                <w:bCs/>
              </w:rPr>
              <w:t xml:space="preserve"> </w:t>
            </w:r>
          </w:p>
        </w:tc>
        <w:tc>
          <w:tcPr>
            <w:tcW w:w="996" w:type="dxa"/>
          </w:tcPr>
          <w:p w:rsidR="00764B9E" w:rsidRPr="00A81F9F" w:rsidRDefault="00764B9E" w:rsidP="00764B9E">
            <w:pPr>
              <w:jc w:val="both"/>
              <w:rPr>
                <w:b/>
                <w:bCs/>
              </w:rPr>
            </w:pPr>
            <w:r>
              <w:rPr>
                <w:b/>
                <w:bCs/>
              </w:rPr>
              <w:t>2014</w:t>
            </w:r>
            <w:r w:rsidRPr="00A81F9F">
              <w:rPr>
                <w:b/>
                <w:bCs/>
              </w:rPr>
              <w:t xml:space="preserve"> </w:t>
            </w:r>
          </w:p>
        </w:tc>
        <w:tc>
          <w:tcPr>
            <w:tcW w:w="996" w:type="dxa"/>
          </w:tcPr>
          <w:p w:rsidR="00764B9E" w:rsidRPr="00A81F9F" w:rsidRDefault="00764B9E" w:rsidP="00764B9E">
            <w:pPr>
              <w:jc w:val="both"/>
              <w:rPr>
                <w:b/>
                <w:bCs/>
              </w:rPr>
            </w:pPr>
            <w:r>
              <w:rPr>
                <w:b/>
                <w:bCs/>
              </w:rPr>
              <w:t>2015</w:t>
            </w:r>
            <w:r w:rsidRPr="00A81F9F">
              <w:rPr>
                <w:b/>
                <w:bCs/>
              </w:rPr>
              <w:t xml:space="preserve"> </w:t>
            </w:r>
          </w:p>
        </w:tc>
        <w:tc>
          <w:tcPr>
            <w:tcW w:w="996" w:type="dxa"/>
          </w:tcPr>
          <w:p w:rsidR="00764B9E" w:rsidRPr="00A81F9F" w:rsidRDefault="00764B9E" w:rsidP="00764B9E">
            <w:pPr>
              <w:jc w:val="both"/>
              <w:rPr>
                <w:b/>
                <w:bCs/>
              </w:rPr>
            </w:pPr>
            <w:r>
              <w:rPr>
                <w:b/>
                <w:bCs/>
              </w:rPr>
              <w:t>2016</w:t>
            </w:r>
            <w:r w:rsidRPr="00A81F9F">
              <w:rPr>
                <w:b/>
                <w:bCs/>
              </w:rPr>
              <w:t xml:space="preserve"> </w:t>
            </w:r>
          </w:p>
        </w:tc>
        <w:tc>
          <w:tcPr>
            <w:tcW w:w="996" w:type="dxa"/>
          </w:tcPr>
          <w:p w:rsidR="00764B9E" w:rsidRPr="00A81F9F" w:rsidRDefault="00764B9E" w:rsidP="00764B9E">
            <w:pPr>
              <w:jc w:val="both"/>
              <w:rPr>
                <w:b/>
                <w:bCs/>
              </w:rPr>
            </w:pPr>
            <w:r>
              <w:rPr>
                <w:b/>
                <w:bCs/>
              </w:rPr>
              <w:t>2017</w:t>
            </w:r>
          </w:p>
        </w:tc>
        <w:tc>
          <w:tcPr>
            <w:tcW w:w="996" w:type="dxa"/>
          </w:tcPr>
          <w:p w:rsidR="00764B9E" w:rsidRPr="00A81F9F" w:rsidRDefault="00764B9E" w:rsidP="00764B9E">
            <w:pPr>
              <w:jc w:val="both"/>
              <w:rPr>
                <w:b/>
                <w:bCs/>
              </w:rPr>
            </w:pPr>
            <w:r>
              <w:rPr>
                <w:b/>
                <w:bCs/>
              </w:rPr>
              <w:t>2018</w:t>
            </w:r>
            <w:r w:rsidRPr="00A81F9F">
              <w:rPr>
                <w:b/>
                <w:bCs/>
              </w:rPr>
              <w:t xml:space="preserve"> </w:t>
            </w:r>
          </w:p>
        </w:tc>
        <w:tc>
          <w:tcPr>
            <w:tcW w:w="876" w:type="dxa"/>
          </w:tcPr>
          <w:p w:rsidR="00764B9E" w:rsidRPr="00A81F9F" w:rsidRDefault="00764B9E" w:rsidP="00764B9E">
            <w:pPr>
              <w:jc w:val="both"/>
              <w:rPr>
                <w:b/>
                <w:bCs/>
              </w:rPr>
            </w:pPr>
            <w:r>
              <w:rPr>
                <w:b/>
                <w:bCs/>
              </w:rPr>
              <w:t>2019</w:t>
            </w:r>
            <w:r w:rsidRPr="00A81F9F">
              <w:rPr>
                <w:b/>
                <w:bCs/>
              </w:rPr>
              <w:t xml:space="preserve"> </w:t>
            </w:r>
          </w:p>
        </w:tc>
        <w:tc>
          <w:tcPr>
            <w:tcW w:w="1116" w:type="dxa"/>
          </w:tcPr>
          <w:p w:rsidR="00764B9E" w:rsidRPr="00A81F9F" w:rsidRDefault="00764B9E" w:rsidP="00764B9E">
            <w:pPr>
              <w:jc w:val="both"/>
              <w:rPr>
                <w:b/>
                <w:bCs/>
              </w:rPr>
            </w:pPr>
            <w:r w:rsidRPr="00A81F9F">
              <w:rPr>
                <w:b/>
                <w:bCs/>
              </w:rPr>
              <w:t>Итого за 201</w:t>
            </w:r>
            <w:r>
              <w:rPr>
                <w:b/>
                <w:bCs/>
              </w:rPr>
              <w:t>3</w:t>
            </w:r>
            <w:r w:rsidRPr="00A81F9F">
              <w:rPr>
                <w:b/>
                <w:bCs/>
              </w:rPr>
              <w:t>-201</w:t>
            </w:r>
            <w:r>
              <w:rPr>
                <w:b/>
                <w:bCs/>
              </w:rPr>
              <w:t>9</w:t>
            </w:r>
            <w:r w:rsidRPr="00A81F9F">
              <w:rPr>
                <w:b/>
                <w:bCs/>
              </w:rPr>
              <w:t>гг.</w:t>
            </w:r>
          </w:p>
        </w:tc>
      </w:tr>
      <w:tr w:rsidR="00764B9E" w:rsidRPr="00A81F9F" w:rsidTr="00764B9E">
        <w:tc>
          <w:tcPr>
            <w:tcW w:w="1880" w:type="dxa"/>
          </w:tcPr>
          <w:p w:rsidR="00764B9E" w:rsidRDefault="00764B9E" w:rsidP="00764B9E">
            <w:pPr>
              <w:jc w:val="both"/>
              <w:rPr>
                <w:b/>
                <w:bCs/>
              </w:rPr>
            </w:pPr>
            <w:r w:rsidRPr="00A81F9F">
              <w:rPr>
                <w:b/>
                <w:bCs/>
              </w:rPr>
              <w:t xml:space="preserve">Генерация. </w:t>
            </w:r>
          </w:p>
          <w:p w:rsidR="00764B9E" w:rsidRPr="00A81F9F" w:rsidRDefault="00764B9E" w:rsidP="00764B9E">
            <w:pPr>
              <w:jc w:val="both"/>
              <w:rPr>
                <w:b/>
                <w:bCs/>
              </w:rPr>
            </w:pPr>
            <w:r w:rsidRPr="00A81F9F">
              <w:rPr>
                <w:b/>
                <w:bCs/>
              </w:rPr>
              <w:t>Из нее:</w:t>
            </w:r>
          </w:p>
        </w:tc>
        <w:tc>
          <w:tcPr>
            <w:tcW w:w="1181" w:type="dxa"/>
          </w:tcPr>
          <w:p w:rsidR="00764B9E" w:rsidRPr="00A81F9F" w:rsidRDefault="00764B9E" w:rsidP="00764B9E">
            <w:pPr>
              <w:jc w:val="both"/>
              <w:rPr>
                <w:b/>
                <w:bCs/>
              </w:rPr>
            </w:pPr>
          </w:p>
        </w:tc>
        <w:tc>
          <w:tcPr>
            <w:tcW w:w="996" w:type="dxa"/>
          </w:tcPr>
          <w:p w:rsidR="00764B9E" w:rsidRPr="00A81F9F" w:rsidRDefault="00DA7BC4" w:rsidP="00764B9E">
            <w:pPr>
              <w:jc w:val="both"/>
            </w:pPr>
            <w:r>
              <w:t>534,6</w:t>
            </w:r>
          </w:p>
        </w:tc>
        <w:tc>
          <w:tcPr>
            <w:tcW w:w="996" w:type="dxa"/>
          </w:tcPr>
          <w:p w:rsidR="00764B9E" w:rsidRPr="00A81F9F" w:rsidRDefault="00DA7BC4" w:rsidP="00764B9E">
            <w:pPr>
              <w:jc w:val="both"/>
            </w:pPr>
            <w:r>
              <w:t>490,6</w:t>
            </w:r>
          </w:p>
        </w:tc>
        <w:tc>
          <w:tcPr>
            <w:tcW w:w="996" w:type="dxa"/>
          </w:tcPr>
          <w:p w:rsidR="00764B9E" w:rsidRPr="00A81F9F" w:rsidRDefault="00DA7BC4" w:rsidP="00764B9E">
            <w:pPr>
              <w:jc w:val="both"/>
            </w:pPr>
            <w:r>
              <w:t>370,6</w:t>
            </w:r>
          </w:p>
        </w:tc>
        <w:tc>
          <w:tcPr>
            <w:tcW w:w="996" w:type="dxa"/>
          </w:tcPr>
          <w:p w:rsidR="00764B9E" w:rsidRPr="00A81F9F" w:rsidRDefault="00DA7BC4" w:rsidP="00764B9E">
            <w:pPr>
              <w:jc w:val="both"/>
            </w:pPr>
            <w:r>
              <w:t>198,1</w:t>
            </w:r>
          </w:p>
        </w:tc>
        <w:tc>
          <w:tcPr>
            <w:tcW w:w="996" w:type="dxa"/>
          </w:tcPr>
          <w:p w:rsidR="00764B9E" w:rsidRPr="00A81F9F" w:rsidRDefault="00DA7BC4" w:rsidP="00764B9E">
            <w:pPr>
              <w:jc w:val="both"/>
            </w:pPr>
            <w:r>
              <w:t>138</w:t>
            </w:r>
            <w:r w:rsidR="00913DCD">
              <w:t>,0</w:t>
            </w:r>
          </w:p>
        </w:tc>
        <w:tc>
          <w:tcPr>
            <w:tcW w:w="996" w:type="dxa"/>
          </w:tcPr>
          <w:p w:rsidR="00764B9E" w:rsidRPr="00A81F9F" w:rsidRDefault="00DA7BC4" w:rsidP="00764B9E">
            <w:pPr>
              <w:jc w:val="both"/>
            </w:pPr>
            <w:r>
              <w:t>76</w:t>
            </w:r>
            <w:r w:rsidR="00913DCD">
              <w:t>,0</w:t>
            </w:r>
          </w:p>
        </w:tc>
        <w:tc>
          <w:tcPr>
            <w:tcW w:w="876" w:type="dxa"/>
          </w:tcPr>
          <w:p w:rsidR="00764B9E" w:rsidRPr="00A81F9F" w:rsidRDefault="00DA7BC4" w:rsidP="001E078B">
            <w:pPr>
              <w:jc w:val="both"/>
            </w:pPr>
            <w:r>
              <w:t>20</w:t>
            </w:r>
            <w:r w:rsidR="001E078B">
              <w:t>,6</w:t>
            </w:r>
          </w:p>
        </w:tc>
        <w:tc>
          <w:tcPr>
            <w:tcW w:w="1116" w:type="dxa"/>
          </w:tcPr>
          <w:p w:rsidR="00764B9E" w:rsidRPr="00A81F9F" w:rsidRDefault="00DA7BC4" w:rsidP="00764B9E">
            <w:pPr>
              <w:jc w:val="both"/>
              <w:rPr>
                <w:b/>
                <w:bCs/>
              </w:rPr>
            </w:pPr>
            <w:r>
              <w:rPr>
                <w:b/>
                <w:bCs/>
              </w:rPr>
              <w:t>1765,3</w:t>
            </w:r>
          </w:p>
        </w:tc>
      </w:tr>
      <w:tr w:rsidR="00764B9E" w:rsidRPr="00A81F9F" w:rsidTr="00764B9E">
        <w:tc>
          <w:tcPr>
            <w:tcW w:w="1880" w:type="dxa"/>
          </w:tcPr>
          <w:p w:rsidR="00764B9E" w:rsidRPr="00A81F9F" w:rsidRDefault="00764B9E" w:rsidP="00764B9E">
            <w:pPr>
              <w:jc w:val="both"/>
              <w:rPr>
                <w:b/>
                <w:bCs/>
              </w:rPr>
            </w:pPr>
          </w:p>
        </w:tc>
        <w:tc>
          <w:tcPr>
            <w:tcW w:w="1181" w:type="dxa"/>
          </w:tcPr>
          <w:p w:rsidR="00764B9E" w:rsidRPr="00A81F9F" w:rsidRDefault="00764B9E" w:rsidP="00764B9E">
            <w:pPr>
              <w:jc w:val="both"/>
              <w:rPr>
                <w:b/>
                <w:bCs/>
              </w:rPr>
            </w:pPr>
            <w:r w:rsidRPr="00A81F9F">
              <w:rPr>
                <w:b/>
                <w:bCs/>
              </w:rPr>
              <w:t>АЭС</w:t>
            </w:r>
          </w:p>
        </w:tc>
        <w:tc>
          <w:tcPr>
            <w:tcW w:w="996" w:type="dxa"/>
          </w:tcPr>
          <w:p w:rsidR="00764B9E" w:rsidRPr="00A81F9F" w:rsidRDefault="00DA7BC4" w:rsidP="00764B9E">
            <w:pPr>
              <w:jc w:val="both"/>
            </w:pPr>
            <w:r>
              <w:t>145,4</w:t>
            </w:r>
          </w:p>
        </w:tc>
        <w:tc>
          <w:tcPr>
            <w:tcW w:w="996" w:type="dxa"/>
          </w:tcPr>
          <w:p w:rsidR="00764B9E" w:rsidRPr="00A81F9F" w:rsidRDefault="00DA7BC4" w:rsidP="00764B9E">
            <w:pPr>
              <w:jc w:val="both"/>
            </w:pPr>
            <w:r>
              <w:t>152,8</w:t>
            </w:r>
          </w:p>
        </w:tc>
        <w:tc>
          <w:tcPr>
            <w:tcW w:w="996" w:type="dxa"/>
          </w:tcPr>
          <w:p w:rsidR="00764B9E" w:rsidRPr="00A81F9F" w:rsidRDefault="00DA7BC4" w:rsidP="00764B9E">
            <w:pPr>
              <w:jc w:val="both"/>
            </w:pPr>
            <w:r>
              <w:t>128,2</w:t>
            </w:r>
          </w:p>
        </w:tc>
        <w:tc>
          <w:tcPr>
            <w:tcW w:w="996" w:type="dxa"/>
          </w:tcPr>
          <w:p w:rsidR="00764B9E" w:rsidRPr="00A81F9F" w:rsidRDefault="00DA7BC4" w:rsidP="00764B9E">
            <w:pPr>
              <w:jc w:val="both"/>
            </w:pPr>
            <w:r>
              <w:t>119,2</w:t>
            </w:r>
          </w:p>
        </w:tc>
        <w:tc>
          <w:tcPr>
            <w:tcW w:w="996" w:type="dxa"/>
          </w:tcPr>
          <w:p w:rsidR="00764B9E" w:rsidRPr="00A81F9F" w:rsidRDefault="00DA7BC4" w:rsidP="00764B9E">
            <w:pPr>
              <w:jc w:val="both"/>
            </w:pPr>
            <w:r>
              <w:t>89,7</w:t>
            </w:r>
          </w:p>
        </w:tc>
        <w:tc>
          <w:tcPr>
            <w:tcW w:w="996" w:type="dxa"/>
          </w:tcPr>
          <w:p w:rsidR="00764B9E" w:rsidRPr="00A81F9F" w:rsidRDefault="00DA7BC4" w:rsidP="00764B9E">
            <w:pPr>
              <w:jc w:val="both"/>
            </w:pPr>
            <w:r>
              <w:t>47,4</w:t>
            </w:r>
          </w:p>
        </w:tc>
        <w:tc>
          <w:tcPr>
            <w:tcW w:w="876" w:type="dxa"/>
          </w:tcPr>
          <w:p w:rsidR="00764B9E" w:rsidRPr="00A81F9F" w:rsidRDefault="00DA7BC4" w:rsidP="00764B9E">
            <w:pPr>
              <w:jc w:val="both"/>
            </w:pPr>
            <w:r>
              <w:t>20,6</w:t>
            </w:r>
          </w:p>
        </w:tc>
        <w:tc>
          <w:tcPr>
            <w:tcW w:w="1116" w:type="dxa"/>
          </w:tcPr>
          <w:p w:rsidR="00764B9E" w:rsidRPr="00A81F9F" w:rsidRDefault="004A0176" w:rsidP="00764B9E">
            <w:pPr>
              <w:jc w:val="both"/>
            </w:pPr>
            <w:r>
              <w:t>703,3</w:t>
            </w:r>
          </w:p>
        </w:tc>
      </w:tr>
      <w:tr w:rsidR="00764B9E" w:rsidRPr="00A81F9F" w:rsidTr="00764B9E">
        <w:tc>
          <w:tcPr>
            <w:tcW w:w="1880" w:type="dxa"/>
          </w:tcPr>
          <w:p w:rsidR="00764B9E" w:rsidRPr="00A81F9F" w:rsidRDefault="00764B9E" w:rsidP="00764B9E">
            <w:pPr>
              <w:jc w:val="both"/>
              <w:rPr>
                <w:b/>
                <w:bCs/>
              </w:rPr>
            </w:pPr>
          </w:p>
        </w:tc>
        <w:tc>
          <w:tcPr>
            <w:tcW w:w="1181" w:type="dxa"/>
          </w:tcPr>
          <w:p w:rsidR="00764B9E" w:rsidRPr="00A81F9F" w:rsidRDefault="00764B9E" w:rsidP="00764B9E">
            <w:pPr>
              <w:jc w:val="both"/>
              <w:rPr>
                <w:b/>
                <w:bCs/>
              </w:rPr>
            </w:pPr>
            <w:r w:rsidRPr="00A81F9F">
              <w:rPr>
                <w:b/>
                <w:bCs/>
              </w:rPr>
              <w:t>ГЭС и</w:t>
            </w:r>
          </w:p>
          <w:p w:rsidR="00764B9E" w:rsidRPr="00A81F9F" w:rsidRDefault="00764B9E" w:rsidP="00764B9E">
            <w:pPr>
              <w:jc w:val="both"/>
              <w:rPr>
                <w:b/>
                <w:bCs/>
              </w:rPr>
            </w:pPr>
            <w:r w:rsidRPr="00A81F9F">
              <w:rPr>
                <w:b/>
                <w:bCs/>
              </w:rPr>
              <w:t>ГАЭС</w:t>
            </w:r>
          </w:p>
        </w:tc>
        <w:tc>
          <w:tcPr>
            <w:tcW w:w="996" w:type="dxa"/>
          </w:tcPr>
          <w:p w:rsidR="00764B9E" w:rsidRPr="00A81F9F" w:rsidRDefault="004A0176" w:rsidP="00764B9E">
            <w:pPr>
              <w:jc w:val="both"/>
            </w:pPr>
            <w:r>
              <w:t>19,1</w:t>
            </w:r>
          </w:p>
        </w:tc>
        <w:tc>
          <w:tcPr>
            <w:tcW w:w="996" w:type="dxa"/>
          </w:tcPr>
          <w:p w:rsidR="00764B9E" w:rsidRPr="00A81F9F" w:rsidRDefault="004A0176" w:rsidP="00764B9E">
            <w:pPr>
              <w:jc w:val="both"/>
            </w:pPr>
            <w:r>
              <w:t>17</w:t>
            </w:r>
            <w:r w:rsidR="00913DCD">
              <w:t>,0</w:t>
            </w:r>
          </w:p>
        </w:tc>
        <w:tc>
          <w:tcPr>
            <w:tcW w:w="996" w:type="dxa"/>
          </w:tcPr>
          <w:p w:rsidR="00764B9E" w:rsidRPr="00A81F9F" w:rsidRDefault="004A0176" w:rsidP="00764B9E">
            <w:pPr>
              <w:jc w:val="both"/>
            </w:pPr>
            <w:r>
              <w:t>17,7</w:t>
            </w:r>
          </w:p>
        </w:tc>
        <w:tc>
          <w:tcPr>
            <w:tcW w:w="996" w:type="dxa"/>
          </w:tcPr>
          <w:p w:rsidR="00764B9E" w:rsidRPr="00A81F9F" w:rsidRDefault="004A0176" w:rsidP="00764B9E">
            <w:pPr>
              <w:jc w:val="both"/>
            </w:pPr>
            <w:r>
              <w:t>17,8</w:t>
            </w:r>
          </w:p>
        </w:tc>
        <w:tc>
          <w:tcPr>
            <w:tcW w:w="996" w:type="dxa"/>
          </w:tcPr>
          <w:p w:rsidR="00764B9E" w:rsidRPr="00A81F9F" w:rsidRDefault="004A0176" w:rsidP="00764B9E">
            <w:pPr>
              <w:jc w:val="both"/>
            </w:pPr>
            <w:r>
              <w:t>13,5</w:t>
            </w:r>
          </w:p>
        </w:tc>
        <w:tc>
          <w:tcPr>
            <w:tcW w:w="996" w:type="dxa"/>
          </w:tcPr>
          <w:p w:rsidR="00764B9E" w:rsidRPr="00A81F9F" w:rsidRDefault="004A0176" w:rsidP="00764B9E">
            <w:pPr>
              <w:jc w:val="both"/>
            </w:pPr>
            <w:r>
              <w:t>0</w:t>
            </w:r>
            <w:r w:rsidR="00913DCD">
              <w:t>,0</w:t>
            </w:r>
          </w:p>
        </w:tc>
        <w:tc>
          <w:tcPr>
            <w:tcW w:w="876" w:type="dxa"/>
          </w:tcPr>
          <w:p w:rsidR="00764B9E" w:rsidRPr="00A81F9F" w:rsidRDefault="004A0176" w:rsidP="00764B9E">
            <w:pPr>
              <w:jc w:val="both"/>
            </w:pPr>
            <w:r>
              <w:t>0</w:t>
            </w:r>
            <w:r w:rsidR="00913DCD">
              <w:t>,0</w:t>
            </w:r>
          </w:p>
        </w:tc>
        <w:tc>
          <w:tcPr>
            <w:tcW w:w="1116" w:type="dxa"/>
          </w:tcPr>
          <w:p w:rsidR="00764B9E" w:rsidRPr="00A81F9F" w:rsidRDefault="004A0176" w:rsidP="00764B9E">
            <w:pPr>
              <w:jc w:val="both"/>
            </w:pPr>
            <w:r>
              <w:t>85,1</w:t>
            </w:r>
          </w:p>
        </w:tc>
      </w:tr>
      <w:tr w:rsidR="00913DCD" w:rsidRPr="00A81F9F" w:rsidTr="00764B9E">
        <w:tc>
          <w:tcPr>
            <w:tcW w:w="1880" w:type="dxa"/>
          </w:tcPr>
          <w:p w:rsidR="00913DCD" w:rsidRPr="00A81F9F" w:rsidRDefault="00913DCD" w:rsidP="00764B9E">
            <w:pPr>
              <w:jc w:val="both"/>
              <w:rPr>
                <w:b/>
                <w:bCs/>
              </w:rPr>
            </w:pPr>
          </w:p>
        </w:tc>
        <w:tc>
          <w:tcPr>
            <w:tcW w:w="1181" w:type="dxa"/>
          </w:tcPr>
          <w:p w:rsidR="00913DCD" w:rsidRPr="00A81F9F" w:rsidRDefault="00913DCD" w:rsidP="00764B9E">
            <w:pPr>
              <w:jc w:val="both"/>
              <w:rPr>
                <w:b/>
                <w:bCs/>
              </w:rPr>
            </w:pPr>
            <w:r w:rsidRPr="00A81F9F">
              <w:rPr>
                <w:b/>
                <w:bCs/>
              </w:rPr>
              <w:t>ТЭС</w:t>
            </w:r>
          </w:p>
        </w:tc>
        <w:tc>
          <w:tcPr>
            <w:tcW w:w="996" w:type="dxa"/>
          </w:tcPr>
          <w:p w:rsidR="00913DCD" w:rsidRPr="00A81F9F" w:rsidRDefault="00913DCD" w:rsidP="00764B9E">
            <w:pPr>
              <w:jc w:val="both"/>
            </w:pPr>
            <w:r>
              <w:t>368,9</w:t>
            </w:r>
          </w:p>
        </w:tc>
        <w:tc>
          <w:tcPr>
            <w:tcW w:w="996" w:type="dxa"/>
          </w:tcPr>
          <w:p w:rsidR="00913DCD" w:rsidRPr="00A81F9F" w:rsidRDefault="00913DCD" w:rsidP="00764B9E">
            <w:pPr>
              <w:jc w:val="both"/>
            </w:pPr>
            <w:r>
              <w:t>318,7</w:t>
            </w:r>
          </w:p>
        </w:tc>
        <w:tc>
          <w:tcPr>
            <w:tcW w:w="996" w:type="dxa"/>
          </w:tcPr>
          <w:p w:rsidR="00913DCD" w:rsidRPr="00A81F9F" w:rsidRDefault="00913DCD" w:rsidP="00764B9E">
            <w:pPr>
              <w:jc w:val="both"/>
            </w:pPr>
            <w:r>
              <w:t>160,0</w:t>
            </w:r>
          </w:p>
        </w:tc>
        <w:tc>
          <w:tcPr>
            <w:tcW w:w="996" w:type="dxa"/>
          </w:tcPr>
          <w:p w:rsidR="00913DCD" w:rsidRPr="00A81F9F" w:rsidRDefault="00913DCD" w:rsidP="00764B9E">
            <w:pPr>
              <w:jc w:val="both"/>
            </w:pPr>
            <w:r>
              <w:t>60,1</w:t>
            </w:r>
          </w:p>
        </w:tc>
        <w:tc>
          <w:tcPr>
            <w:tcW w:w="996" w:type="dxa"/>
          </w:tcPr>
          <w:p w:rsidR="00913DCD" w:rsidRPr="00A81F9F" w:rsidRDefault="00913DCD" w:rsidP="00764B9E">
            <w:pPr>
              <w:jc w:val="both"/>
            </w:pPr>
            <w:r>
              <w:t>34,8</w:t>
            </w:r>
          </w:p>
        </w:tc>
        <w:tc>
          <w:tcPr>
            <w:tcW w:w="996" w:type="dxa"/>
          </w:tcPr>
          <w:p w:rsidR="00913DCD" w:rsidRPr="00A81F9F" w:rsidRDefault="00913DCD" w:rsidP="00764B9E">
            <w:pPr>
              <w:jc w:val="both"/>
            </w:pPr>
            <w:r>
              <w:t>28,6</w:t>
            </w:r>
          </w:p>
        </w:tc>
        <w:tc>
          <w:tcPr>
            <w:tcW w:w="876" w:type="dxa"/>
          </w:tcPr>
          <w:p w:rsidR="00913DCD" w:rsidRPr="00A81F9F" w:rsidRDefault="00913DCD" w:rsidP="00764B9E">
            <w:pPr>
              <w:jc w:val="both"/>
            </w:pPr>
            <w:r>
              <w:t>0,0</w:t>
            </w:r>
          </w:p>
        </w:tc>
        <w:tc>
          <w:tcPr>
            <w:tcW w:w="1116" w:type="dxa"/>
          </w:tcPr>
          <w:p w:rsidR="00913DCD" w:rsidRPr="00A81F9F" w:rsidRDefault="00913DCD" w:rsidP="006A1F57">
            <w:pPr>
              <w:jc w:val="both"/>
            </w:pPr>
            <w:r>
              <w:t>971,1</w:t>
            </w:r>
          </w:p>
        </w:tc>
      </w:tr>
      <w:tr w:rsidR="00913DCD" w:rsidRPr="00A81F9F" w:rsidTr="00764B9E">
        <w:tc>
          <w:tcPr>
            <w:tcW w:w="1880" w:type="dxa"/>
          </w:tcPr>
          <w:p w:rsidR="00913DCD" w:rsidRPr="00A81F9F" w:rsidRDefault="00913DCD" w:rsidP="00764B9E">
            <w:pPr>
              <w:jc w:val="both"/>
              <w:rPr>
                <w:b/>
                <w:bCs/>
              </w:rPr>
            </w:pPr>
          </w:p>
        </w:tc>
        <w:tc>
          <w:tcPr>
            <w:tcW w:w="1181" w:type="dxa"/>
          </w:tcPr>
          <w:p w:rsidR="00913DCD" w:rsidRPr="00A81F9F" w:rsidRDefault="00913DCD" w:rsidP="00764B9E">
            <w:pPr>
              <w:jc w:val="both"/>
              <w:rPr>
                <w:b/>
                <w:bCs/>
              </w:rPr>
            </w:pPr>
            <w:r w:rsidRPr="00A81F9F">
              <w:rPr>
                <w:b/>
                <w:bCs/>
              </w:rPr>
              <w:t>ВИЭ</w:t>
            </w:r>
          </w:p>
        </w:tc>
        <w:tc>
          <w:tcPr>
            <w:tcW w:w="996" w:type="dxa"/>
          </w:tcPr>
          <w:p w:rsidR="00913DCD" w:rsidRPr="00A81F9F" w:rsidRDefault="00913DCD" w:rsidP="00764B9E">
            <w:pPr>
              <w:jc w:val="both"/>
            </w:pPr>
            <w:r>
              <w:t>1,1</w:t>
            </w:r>
          </w:p>
        </w:tc>
        <w:tc>
          <w:tcPr>
            <w:tcW w:w="996" w:type="dxa"/>
          </w:tcPr>
          <w:p w:rsidR="00913DCD" w:rsidRPr="00A81F9F" w:rsidRDefault="00913DCD" w:rsidP="00764B9E">
            <w:pPr>
              <w:jc w:val="both"/>
            </w:pPr>
            <w:r>
              <w:t>2,1</w:t>
            </w:r>
          </w:p>
        </w:tc>
        <w:tc>
          <w:tcPr>
            <w:tcW w:w="996" w:type="dxa"/>
          </w:tcPr>
          <w:p w:rsidR="00913DCD" w:rsidRPr="00A81F9F" w:rsidRDefault="00913DCD" w:rsidP="00764B9E">
            <w:pPr>
              <w:jc w:val="both"/>
            </w:pPr>
            <w:r>
              <w:t>1,6</w:t>
            </w:r>
          </w:p>
        </w:tc>
        <w:tc>
          <w:tcPr>
            <w:tcW w:w="996" w:type="dxa"/>
          </w:tcPr>
          <w:p w:rsidR="00913DCD" w:rsidRPr="00A81F9F" w:rsidRDefault="00913DCD" w:rsidP="00764B9E">
            <w:pPr>
              <w:jc w:val="both"/>
            </w:pPr>
            <w:r>
              <w:t>0,9</w:t>
            </w:r>
          </w:p>
        </w:tc>
        <w:tc>
          <w:tcPr>
            <w:tcW w:w="996" w:type="dxa"/>
          </w:tcPr>
          <w:p w:rsidR="00913DCD" w:rsidRPr="00A81F9F" w:rsidRDefault="00913DCD" w:rsidP="00764B9E">
            <w:pPr>
              <w:jc w:val="both"/>
            </w:pPr>
            <w:r>
              <w:t>0,0</w:t>
            </w:r>
          </w:p>
        </w:tc>
        <w:tc>
          <w:tcPr>
            <w:tcW w:w="996" w:type="dxa"/>
          </w:tcPr>
          <w:p w:rsidR="00913DCD" w:rsidRPr="00A81F9F" w:rsidRDefault="00913DCD" w:rsidP="00764B9E">
            <w:pPr>
              <w:jc w:val="both"/>
            </w:pPr>
            <w:r>
              <w:t>0,0</w:t>
            </w:r>
          </w:p>
        </w:tc>
        <w:tc>
          <w:tcPr>
            <w:tcW w:w="876" w:type="dxa"/>
          </w:tcPr>
          <w:p w:rsidR="00913DCD" w:rsidRPr="00A81F9F" w:rsidRDefault="00913DCD" w:rsidP="00764B9E">
            <w:pPr>
              <w:jc w:val="both"/>
            </w:pPr>
            <w:r>
              <w:t>0,0</w:t>
            </w:r>
          </w:p>
        </w:tc>
        <w:tc>
          <w:tcPr>
            <w:tcW w:w="1116" w:type="dxa"/>
          </w:tcPr>
          <w:p w:rsidR="00913DCD" w:rsidRPr="00A81F9F" w:rsidRDefault="00913DCD" w:rsidP="00764B9E">
            <w:pPr>
              <w:jc w:val="both"/>
            </w:pPr>
            <w:r>
              <w:t>5,8</w:t>
            </w:r>
          </w:p>
        </w:tc>
      </w:tr>
      <w:tr w:rsidR="00913DCD" w:rsidRPr="00A81F9F" w:rsidTr="00764B9E">
        <w:tc>
          <w:tcPr>
            <w:tcW w:w="1880" w:type="dxa"/>
          </w:tcPr>
          <w:p w:rsidR="00913DCD" w:rsidRPr="00A81F9F" w:rsidRDefault="00913DCD" w:rsidP="00764B9E">
            <w:pPr>
              <w:jc w:val="both"/>
              <w:rPr>
                <w:b/>
                <w:bCs/>
              </w:rPr>
            </w:pPr>
            <w:r w:rsidRPr="00A81F9F">
              <w:rPr>
                <w:b/>
                <w:bCs/>
              </w:rPr>
              <w:t>Электрические сети 220 кВ и выше</w:t>
            </w:r>
          </w:p>
        </w:tc>
        <w:tc>
          <w:tcPr>
            <w:tcW w:w="1181" w:type="dxa"/>
          </w:tcPr>
          <w:p w:rsidR="00913DCD" w:rsidRPr="00A81F9F" w:rsidRDefault="00913DCD" w:rsidP="00764B9E">
            <w:pPr>
              <w:jc w:val="both"/>
              <w:rPr>
                <w:b/>
                <w:bCs/>
              </w:rPr>
            </w:pPr>
          </w:p>
        </w:tc>
        <w:tc>
          <w:tcPr>
            <w:tcW w:w="996" w:type="dxa"/>
          </w:tcPr>
          <w:p w:rsidR="00913DCD" w:rsidRPr="00A81F9F" w:rsidRDefault="00913DCD" w:rsidP="00764B9E">
            <w:pPr>
              <w:jc w:val="both"/>
            </w:pPr>
            <w:r>
              <w:t>213,4</w:t>
            </w:r>
          </w:p>
        </w:tc>
        <w:tc>
          <w:tcPr>
            <w:tcW w:w="996" w:type="dxa"/>
          </w:tcPr>
          <w:p w:rsidR="00913DCD" w:rsidRPr="00A81F9F" w:rsidRDefault="00913DCD" w:rsidP="00764B9E">
            <w:pPr>
              <w:jc w:val="both"/>
            </w:pPr>
            <w:r>
              <w:t>212,7</w:t>
            </w:r>
          </w:p>
        </w:tc>
        <w:tc>
          <w:tcPr>
            <w:tcW w:w="996" w:type="dxa"/>
          </w:tcPr>
          <w:p w:rsidR="00913DCD" w:rsidRPr="00A81F9F" w:rsidRDefault="00913DCD" w:rsidP="00764B9E">
            <w:pPr>
              <w:jc w:val="both"/>
            </w:pPr>
            <w:r>
              <w:t>248</w:t>
            </w:r>
          </w:p>
        </w:tc>
        <w:tc>
          <w:tcPr>
            <w:tcW w:w="996" w:type="dxa"/>
          </w:tcPr>
          <w:p w:rsidR="00913DCD" w:rsidRPr="00A81F9F" w:rsidRDefault="00913DCD" w:rsidP="00764B9E">
            <w:pPr>
              <w:jc w:val="both"/>
            </w:pPr>
            <w:r>
              <w:t>292,9</w:t>
            </w:r>
          </w:p>
        </w:tc>
        <w:tc>
          <w:tcPr>
            <w:tcW w:w="996" w:type="dxa"/>
          </w:tcPr>
          <w:p w:rsidR="00913DCD" w:rsidRPr="00A81F9F" w:rsidRDefault="00913DCD" w:rsidP="00764B9E">
            <w:pPr>
              <w:jc w:val="both"/>
            </w:pPr>
            <w:r>
              <w:t>305,1</w:t>
            </w:r>
          </w:p>
        </w:tc>
        <w:tc>
          <w:tcPr>
            <w:tcW w:w="996" w:type="dxa"/>
          </w:tcPr>
          <w:p w:rsidR="00913DCD" w:rsidRPr="00A81F9F" w:rsidRDefault="00913DCD" w:rsidP="00764B9E">
            <w:pPr>
              <w:jc w:val="both"/>
            </w:pPr>
            <w:r>
              <w:t>196,8</w:t>
            </w:r>
          </w:p>
        </w:tc>
        <w:tc>
          <w:tcPr>
            <w:tcW w:w="876" w:type="dxa"/>
          </w:tcPr>
          <w:p w:rsidR="00913DCD" w:rsidRPr="00A81F9F" w:rsidRDefault="00913DCD" w:rsidP="00764B9E">
            <w:pPr>
              <w:jc w:val="both"/>
            </w:pPr>
            <w:r>
              <w:t>119,7</w:t>
            </w:r>
          </w:p>
        </w:tc>
        <w:tc>
          <w:tcPr>
            <w:tcW w:w="1116" w:type="dxa"/>
          </w:tcPr>
          <w:p w:rsidR="00913DCD" w:rsidRPr="00A81F9F" w:rsidRDefault="00D37367" w:rsidP="00764B9E">
            <w:pPr>
              <w:jc w:val="both"/>
              <w:rPr>
                <w:b/>
                <w:bCs/>
              </w:rPr>
            </w:pPr>
            <w:r>
              <w:rPr>
                <w:b/>
                <w:bCs/>
              </w:rPr>
              <w:t>1588,6</w:t>
            </w:r>
          </w:p>
        </w:tc>
      </w:tr>
      <w:tr w:rsidR="00913DCD" w:rsidRPr="00A81F9F" w:rsidTr="00764B9E">
        <w:tc>
          <w:tcPr>
            <w:tcW w:w="1880" w:type="dxa"/>
          </w:tcPr>
          <w:p w:rsidR="00913DCD" w:rsidRPr="00A81F9F" w:rsidRDefault="00913DCD" w:rsidP="00764B9E">
            <w:pPr>
              <w:jc w:val="both"/>
              <w:rPr>
                <w:b/>
                <w:bCs/>
              </w:rPr>
            </w:pPr>
            <w:r w:rsidRPr="00A81F9F">
              <w:rPr>
                <w:b/>
                <w:bCs/>
              </w:rPr>
              <w:t>Всего по Российской Федерации с учетом сетей 220 кВ и выше</w:t>
            </w:r>
          </w:p>
        </w:tc>
        <w:tc>
          <w:tcPr>
            <w:tcW w:w="1181" w:type="dxa"/>
          </w:tcPr>
          <w:p w:rsidR="00913DCD" w:rsidRPr="00A81F9F" w:rsidRDefault="00913DCD" w:rsidP="00764B9E">
            <w:pPr>
              <w:jc w:val="both"/>
              <w:rPr>
                <w:b/>
                <w:bCs/>
              </w:rPr>
            </w:pPr>
          </w:p>
        </w:tc>
        <w:tc>
          <w:tcPr>
            <w:tcW w:w="996" w:type="dxa"/>
          </w:tcPr>
          <w:p w:rsidR="00913DCD" w:rsidRPr="00A81F9F" w:rsidRDefault="00D37367" w:rsidP="00764B9E">
            <w:pPr>
              <w:jc w:val="both"/>
            </w:pPr>
            <w:r>
              <w:t>748,0</w:t>
            </w:r>
          </w:p>
        </w:tc>
        <w:tc>
          <w:tcPr>
            <w:tcW w:w="996" w:type="dxa"/>
          </w:tcPr>
          <w:p w:rsidR="00913DCD" w:rsidRPr="00A81F9F" w:rsidRDefault="00D37367" w:rsidP="00764B9E">
            <w:pPr>
              <w:jc w:val="both"/>
            </w:pPr>
            <w:r>
              <w:t>703,2</w:t>
            </w:r>
          </w:p>
        </w:tc>
        <w:tc>
          <w:tcPr>
            <w:tcW w:w="996" w:type="dxa"/>
          </w:tcPr>
          <w:p w:rsidR="00913DCD" w:rsidRPr="00A81F9F" w:rsidRDefault="00D37367" w:rsidP="00764B9E">
            <w:pPr>
              <w:jc w:val="both"/>
            </w:pPr>
            <w:r>
              <w:t>555,6</w:t>
            </w:r>
          </w:p>
        </w:tc>
        <w:tc>
          <w:tcPr>
            <w:tcW w:w="996" w:type="dxa"/>
          </w:tcPr>
          <w:p w:rsidR="00913DCD" w:rsidRPr="00A81F9F" w:rsidRDefault="00D37367" w:rsidP="00764B9E">
            <w:pPr>
              <w:jc w:val="both"/>
            </w:pPr>
            <w:r>
              <w:t>491,0</w:t>
            </w:r>
          </w:p>
        </w:tc>
        <w:tc>
          <w:tcPr>
            <w:tcW w:w="996" w:type="dxa"/>
          </w:tcPr>
          <w:p w:rsidR="00913DCD" w:rsidRPr="00A81F9F" w:rsidRDefault="00D37367" w:rsidP="00764B9E">
            <w:pPr>
              <w:jc w:val="both"/>
            </w:pPr>
            <w:r>
              <w:t>443,0</w:t>
            </w:r>
          </w:p>
        </w:tc>
        <w:tc>
          <w:tcPr>
            <w:tcW w:w="996" w:type="dxa"/>
          </w:tcPr>
          <w:p w:rsidR="00913DCD" w:rsidRPr="00A81F9F" w:rsidRDefault="00D37367" w:rsidP="00764B9E">
            <w:pPr>
              <w:jc w:val="both"/>
            </w:pPr>
            <w:r>
              <w:t>273,0</w:t>
            </w:r>
          </w:p>
        </w:tc>
        <w:tc>
          <w:tcPr>
            <w:tcW w:w="876" w:type="dxa"/>
          </w:tcPr>
          <w:p w:rsidR="00913DCD" w:rsidRPr="00A81F9F" w:rsidRDefault="00D37367" w:rsidP="00764B9E">
            <w:pPr>
              <w:jc w:val="both"/>
            </w:pPr>
            <w:r>
              <w:t>140,2</w:t>
            </w:r>
          </w:p>
        </w:tc>
        <w:tc>
          <w:tcPr>
            <w:tcW w:w="1116" w:type="dxa"/>
          </w:tcPr>
          <w:p w:rsidR="00913DCD" w:rsidRPr="00A81F9F" w:rsidRDefault="00D37367" w:rsidP="00764B9E">
            <w:pPr>
              <w:jc w:val="both"/>
              <w:rPr>
                <w:b/>
                <w:bCs/>
              </w:rPr>
            </w:pPr>
            <w:r>
              <w:rPr>
                <w:b/>
                <w:bCs/>
              </w:rPr>
              <w:t>3353,9</w:t>
            </w:r>
          </w:p>
        </w:tc>
      </w:tr>
    </w:tbl>
    <w:p w:rsidR="00764B9E" w:rsidRDefault="00764B9E" w:rsidP="00764B9E">
      <w:pPr>
        <w:jc w:val="both"/>
      </w:pPr>
    </w:p>
    <w:p w:rsidR="002650A9" w:rsidRDefault="002650A9" w:rsidP="00EE1A61">
      <w:pPr>
        <w:ind w:firstLine="709"/>
        <w:jc w:val="both"/>
      </w:pPr>
      <w:r>
        <w:t>Объем инвестиций в объекты электроэнергетики</w:t>
      </w:r>
      <w:r w:rsidR="00C42265">
        <w:t xml:space="preserve"> с учетом НДС 18% и инфляционным удорожанием</w:t>
      </w:r>
      <w:r>
        <w:t xml:space="preserve"> по прогнозам Минэнерго 2011г., 2012г. и 2013 г. равны соответственно</w:t>
      </w:r>
      <w:r w:rsidR="00C42265">
        <w:t xml:space="preserve"> </w:t>
      </w:r>
      <w:r w:rsidR="00C42265" w:rsidRPr="00DB7699">
        <w:rPr>
          <w:b/>
        </w:rPr>
        <w:t>4615,2, 4576,4, 3353,9</w:t>
      </w:r>
      <w:r w:rsidR="00C42265">
        <w:t xml:space="preserve"> </w:t>
      </w:r>
      <w:r w:rsidR="00C42265" w:rsidRPr="00DB7699">
        <w:rPr>
          <w:b/>
        </w:rPr>
        <w:t>млрд. руб</w:t>
      </w:r>
      <w:r w:rsidR="00C42265">
        <w:t xml:space="preserve">. </w:t>
      </w:r>
    </w:p>
    <w:p w:rsidR="00DB7699" w:rsidRDefault="00DB7699" w:rsidP="00DB7699">
      <w:pPr>
        <w:ind w:firstLine="709"/>
        <w:jc w:val="both"/>
      </w:pPr>
      <w:r w:rsidRPr="00D13DE1">
        <w:rPr>
          <w:u w:val="single"/>
        </w:rPr>
        <w:t>Для справки.</w:t>
      </w:r>
      <w:r>
        <w:t xml:space="preserve"> В предыдущем прогнозе СПЭ 2012г. на период 2012-2018 гг. суммарные инвестиции составляют </w:t>
      </w:r>
      <w:r w:rsidRPr="00D13DE1">
        <w:rPr>
          <w:b/>
        </w:rPr>
        <w:t>2896,9 млрд. руб</w:t>
      </w:r>
      <w:r>
        <w:t xml:space="preserve">., из которых </w:t>
      </w:r>
      <w:r w:rsidRPr="00DB7699">
        <w:t>1802,1 млрд. руб</w:t>
      </w:r>
      <w:r>
        <w:t xml:space="preserve">. составляют инвестиции на генерацию и </w:t>
      </w:r>
      <w:r w:rsidRPr="00DB7699">
        <w:t>1095 млрд. руб.</w:t>
      </w:r>
      <w:r>
        <w:t xml:space="preserve"> инвестиции на электрические сети.</w:t>
      </w:r>
    </w:p>
    <w:p w:rsidR="003532C4" w:rsidRDefault="00057A80" w:rsidP="003532C4">
      <w:pPr>
        <w:ind w:firstLine="709"/>
        <w:jc w:val="both"/>
      </w:pPr>
      <w:r>
        <w:t>На рис. 70</w:t>
      </w:r>
      <w:r w:rsidR="00FC3AD5">
        <w:t xml:space="preserve"> </w:t>
      </w:r>
      <w:r w:rsidR="00087DCF">
        <w:t>даны инвестиции в генерацию по прогнозам Минэнерго 2011г. (с учетом 6% ежегодной инфляцией), Минэнерго 2012г. и Минэнерго 2013г. и СПЭ 2013г. в период 2011-2019 гг.</w:t>
      </w:r>
    </w:p>
    <w:p w:rsidR="00FC3AD5" w:rsidRPr="00A81F9F" w:rsidRDefault="007C1ADE" w:rsidP="005B6B4A">
      <w:pPr>
        <w:jc w:val="both"/>
      </w:pPr>
      <w:r>
        <w:rPr>
          <w:noProof/>
        </w:rPr>
        <w:drawing>
          <wp:inline distT="0" distB="0" distL="0" distR="0">
            <wp:extent cx="6191250" cy="3267075"/>
            <wp:effectExtent l="19050" t="0" r="19050" b="0"/>
            <wp:docPr id="93"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FC3AD5" w:rsidRPr="00A81F9F" w:rsidRDefault="00FC3AD5" w:rsidP="00FC3AD5">
      <w:pPr>
        <w:ind w:hanging="360"/>
        <w:jc w:val="both"/>
      </w:pPr>
    </w:p>
    <w:p w:rsidR="00FC3AD5" w:rsidRPr="00A81F9F" w:rsidRDefault="00FC3AD5" w:rsidP="00FC3AD5">
      <w:pPr>
        <w:ind w:firstLine="709"/>
        <w:jc w:val="both"/>
      </w:pPr>
      <w:r w:rsidRPr="00A81F9F">
        <w:t xml:space="preserve">Рис. </w:t>
      </w:r>
      <w:r w:rsidR="0003225F">
        <w:t>87</w:t>
      </w:r>
      <w:r w:rsidRPr="00A81F9F">
        <w:t>. Инвестиции в генерацию по прогнозам Минэнерго 2011г. ( с учетом 6%-ной ежегодной инфляции) в период 2011 – 201</w:t>
      </w:r>
      <w:r w:rsidR="00087DCF">
        <w:t>7</w:t>
      </w:r>
      <w:r w:rsidRPr="00A81F9F">
        <w:t xml:space="preserve">гг., Минэнерго 2012г. и </w:t>
      </w:r>
      <w:r w:rsidR="00087DCF">
        <w:t>СПЭ</w:t>
      </w:r>
      <w:r w:rsidRPr="00A81F9F">
        <w:t xml:space="preserve"> 201</w:t>
      </w:r>
      <w:r w:rsidR="00087DCF">
        <w:t>3</w:t>
      </w:r>
      <w:r w:rsidRPr="00A81F9F">
        <w:t>г. в период 201</w:t>
      </w:r>
      <w:r w:rsidR="00087DCF">
        <w:t>1</w:t>
      </w:r>
      <w:r w:rsidRPr="00A81F9F">
        <w:t xml:space="preserve"> – 201</w:t>
      </w:r>
      <w:r w:rsidR="00087DCF">
        <w:t>9</w:t>
      </w:r>
      <w:r w:rsidRPr="00A81F9F">
        <w:t xml:space="preserve">гг. </w:t>
      </w:r>
    </w:p>
    <w:p w:rsidR="00FC3AD5" w:rsidRPr="00A81F9F" w:rsidRDefault="00FC3AD5" w:rsidP="00FC3AD5">
      <w:pPr>
        <w:ind w:firstLine="709"/>
        <w:jc w:val="both"/>
      </w:pPr>
    </w:p>
    <w:p w:rsidR="00FC3AD5" w:rsidRPr="00A81F9F" w:rsidRDefault="007C1ADE" w:rsidP="0011040B">
      <w:pPr>
        <w:ind w:hanging="360"/>
        <w:jc w:val="center"/>
      </w:pPr>
      <w:r>
        <w:rPr>
          <w:noProof/>
        </w:rPr>
        <w:drawing>
          <wp:inline distT="0" distB="0" distL="0" distR="0">
            <wp:extent cx="6136640" cy="3308985"/>
            <wp:effectExtent l="19050" t="0" r="16510" b="5715"/>
            <wp:docPr id="94" name="Диаграмма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631F7D" w:rsidRDefault="00631F7D" w:rsidP="00FC3AD5">
      <w:pPr>
        <w:ind w:firstLine="709"/>
        <w:jc w:val="both"/>
      </w:pPr>
    </w:p>
    <w:p w:rsidR="00FC3AD5" w:rsidRPr="00A81F9F" w:rsidRDefault="00FC3AD5" w:rsidP="00FC3AD5">
      <w:pPr>
        <w:ind w:firstLine="709"/>
        <w:jc w:val="both"/>
      </w:pPr>
      <w:r w:rsidRPr="00A81F9F">
        <w:t xml:space="preserve">Рис. </w:t>
      </w:r>
      <w:r w:rsidR="00631F7D">
        <w:t>88</w:t>
      </w:r>
      <w:r w:rsidRPr="00A81F9F">
        <w:t xml:space="preserve">. Инвестиции в объекты электросетевого хозяйства, напряжением 220 кВ и выше, по прогнозам Минэнерго 2011г. (с учетом 6%-ной ежегодной инфляции) и в период 2011 – 2017гг., Минэнерго 2012г. и </w:t>
      </w:r>
      <w:r>
        <w:t>СПЭ</w:t>
      </w:r>
      <w:r w:rsidRPr="00A81F9F">
        <w:t xml:space="preserve"> 201</w:t>
      </w:r>
      <w:r>
        <w:t>3</w:t>
      </w:r>
      <w:r w:rsidRPr="00A81F9F">
        <w:t xml:space="preserve">г. в период 2012 – 2018гг. </w:t>
      </w:r>
    </w:p>
    <w:p w:rsidR="00FC3AD5" w:rsidRPr="00A81F9F" w:rsidRDefault="00FC3AD5" w:rsidP="00FC3AD5">
      <w:pPr>
        <w:ind w:firstLine="709"/>
        <w:jc w:val="both"/>
      </w:pPr>
    </w:p>
    <w:p w:rsidR="00FC3AD5" w:rsidRPr="00A81F9F" w:rsidRDefault="007C1ADE" w:rsidP="00FC3AD5">
      <w:pPr>
        <w:jc w:val="both"/>
      </w:pPr>
      <w:r>
        <w:rPr>
          <w:noProof/>
        </w:rPr>
        <w:drawing>
          <wp:inline distT="0" distB="0" distL="0" distR="0">
            <wp:extent cx="6090285" cy="3242310"/>
            <wp:effectExtent l="19050" t="0" r="24765" b="0"/>
            <wp:docPr id="95"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0145B6" w:rsidRDefault="000145B6" w:rsidP="00FC3AD5">
      <w:pPr>
        <w:ind w:firstLine="709"/>
        <w:jc w:val="both"/>
      </w:pPr>
    </w:p>
    <w:p w:rsidR="00FC3AD5" w:rsidRPr="00A81F9F" w:rsidRDefault="00FC3AD5" w:rsidP="002E18F9">
      <w:pPr>
        <w:ind w:firstLine="709"/>
        <w:jc w:val="both"/>
      </w:pPr>
      <w:r w:rsidRPr="00A81F9F">
        <w:t xml:space="preserve">Рис. </w:t>
      </w:r>
      <w:r w:rsidR="00631F7D">
        <w:t>89</w:t>
      </w:r>
      <w:r w:rsidRPr="00A81F9F">
        <w:t xml:space="preserve">. </w:t>
      </w:r>
      <w:r w:rsidR="000145B6">
        <w:t>Суммарные и</w:t>
      </w:r>
      <w:r w:rsidRPr="00A81F9F">
        <w:t xml:space="preserve">нвестиции в </w:t>
      </w:r>
      <w:r w:rsidR="000145B6" w:rsidRPr="00A81F9F">
        <w:t>электроэнергет</w:t>
      </w:r>
      <w:r w:rsidR="000145B6">
        <w:t>ические объекты в ЕЭС России</w:t>
      </w:r>
      <w:r w:rsidRPr="00A81F9F">
        <w:t xml:space="preserve"> </w:t>
      </w:r>
      <w:r w:rsidR="000145B6">
        <w:t>по прогнозам Минэнерго 2011г. (</w:t>
      </w:r>
      <w:r w:rsidRPr="00A81F9F">
        <w:t>с учетом 6%-ной еж</w:t>
      </w:r>
      <w:r w:rsidR="000145B6">
        <w:t>егодной инфляции), Минэнерго 2012</w:t>
      </w:r>
      <w:r w:rsidRPr="00A81F9F">
        <w:t xml:space="preserve">, </w:t>
      </w:r>
      <w:r w:rsidR="000145B6">
        <w:t>по Минэнерго 2013</w:t>
      </w:r>
      <w:r w:rsidRPr="00A81F9F">
        <w:t xml:space="preserve">г. и </w:t>
      </w:r>
      <w:r>
        <w:t>СПЭ</w:t>
      </w:r>
      <w:r w:rsidRPr="00A81F9F">
        <w:t xml:space="preserve"> 201</w:t>
      </w:r>
      <w:r>
        <w:t>3</w:t>
      </w:r>
      <w:r w:rsidRPr="00A81F9F">
        <w:t>г. на период 201</w:t>
      </w:r>
      <w:r w:rsidR="000145B6">
        <w:t xml:space="preserve">1 – 2019 </w:t>
      </w:r>
      <w:r w:rsidRPr="00A81F9F">
        <w:t xml:space="preserve">гг. </w:t>
      </w:r>
    </w:p>
    <w:p w:rsidR="00FC3AD5" w:rsidRPr="00A81F9F" w:rsidRDefault="00FC3AD5" w:rsidP="00FC3AD5">
      <w:pPr>
        <w:ind w:firstLine="709"/>
        <w:jc w:val="both"/>
      </w:pPr>
      <w:r w:rsidRPr="00A81F9F">
        <w:t xml:space="preserve">На </w:t>
      </w:r>
      <w:r w:rsidR="00057A80">
        <w:t>рис.</w:t>
      </w:r>
      <w:r>
        <w:t xml:space="preserve"> </w:t>
      </w:r>
      <w:r w:rsidR="00631F7D">
        <w:t>87</w:t>
      </w:r>
      <w:r w:rsidRPr="00A81F9F">
        <w:t xml:space="preserve">, </w:t>
      </w:r>
      <w:r w:rsidR="00631F7D">
        <w:t>88, 89</w:t>
      </w:r>
      <w:r w:rsidRPr="00A81F9F">
        <w:t xml:space="preserve"> </w:t>
      </w:r>
      <w:r w:rsidR="0040706F">
        <w:t>показаны</w:t>
      </w:r>
      <w:r w:rsidRPr="00A81F9F">
        <w:t xml:space="preserve"> объемы капитальных  вложений в развитие </w:t>
      </w:r>
      <w:r w:rsidR="0040706F">
        <w:t>ЕЭС</w:t>
      </w:r>
      <w:r w:rsidRPr="00A81F9F">
        <w:t xml:space="preserve"> России и отдельно – капитальные вложения в новое строительство генерирующих мощностей и в объекты сетевого хозяйства с напряжением 220 кВ и выше,  в соответствии с прогнозами Минэнерго 2011г. (с учетом 6%-ной ежегодной инфляции) в период 2011 – 2017гг., Минэнерго 2012г.</w:t>
      </w:r>
      <w:r w:rsidR="0040706F">
        <w:t>, Минэнерго 2013</w:t>
      </w:r>
      <w:r w:rsidRPr="00A81F9F">
        <w:t xml:space="preserve"> и </w:t>
      </w:r>
      <w:r>
        <w:t>СПЭ</w:t>
      </w:r>
      <w:r w:rsidR="0040706F">
        <w:t xml:space="preserve"> 2012г. в период 2013 – 2019</w:t>
      </w:r>
      <w:r w:rsidRPr="00A81F9F">
        <w:t xml:space="preserve">гг. Там же показана фактический объем капитальных вложений в развитие электроэнергетики России, представленный в докладе заместителя Министра энергетики РФ А.Н. Шишкина, который был представлен на </w:t>
      </w:r>
      <w:r w:rsidRPr="00A81F9F">
        <w:rPr>
          <w:lang w:val="en-US"/>
        </w:rPr>
        <w:t>VI</w:t>
      </w:r>
      <w:r w:rsidRPr="00A81F9F">
        <w:t xml:space="preserve"> ежегодной конференции «Российская энергетика» 22 марта 2012г.</w:t>
      </w:r>
    </w:p>
    <w:p w:rsidR="00FC3AD5" w:rsidRPr="00A81F9F" w:rsidRDefault="00FC3AD5" w:rsidP="00FC3AD5">
      <w:pPr>
        <w:ind w:firstLine="709"/>
        <w:jc w:val="both"/>
      </w:pPr>
      <w:r w:rsidRPr="00A81F9F">
        <w:t xml:space="preserve">Суммарные капитальные вложения в электроэнергетику России по прогнозу Минэнерго 2012г. за период 2012-2018гг. оцениваются в 4,5764 трлн. руб., в т.ч. по генерирующим объектам – 2,8469 трлн. руб. (62,2%) электрическим сетям 220 кВ и выше – 1,7295 трлн. руб. (37,8% -  от суммарных капиталовложений или 60,75% от объема капиталовложений  в генерирующие мощности).   </w:t>
      </w:r>
    </w:p>
    <w:p w:rsidR="0015315F" w:rsidRPr="00631F7D" w:rsidRDefault="0015315F" w:rsidP="00631F7D">
      <w:pPr>
        <w:ind w:firstLine="709"/>
        <w:jc w:val="both"/>
        <w:rPr>
          <w:rFonts w:cs="Arial"/>
          <w:b/>
          <w:bCs/>
          <w:sz w:val="30"/>
          <w:szCs w:val="26"/>
        </w:rPr>
      </w:pPr>
      <w:r w:rsidRPr="00A81F9F">
        <w:t xml:space="preserve">По прогнозу </w:t>
      </w:r>
      <w:r>
        <w:t>СПЭ 2012г.</w:t>
      </w:r>
      <w:r w:rsidRPr="00A81F9F">
        <w:t xml:space="preserve"> объем ввода генерир</w:t>
      </w:r>
      <w:r>
        <w:t xml:space="preserve">ующих мощностей сократился на </w:t>
      </w:r>
      <w:r w:rsidRPr="0040706F">
        <w:rPr>
          <w:b/>
        </w:rPr>
        <w:t>3</w:t>
      </w:r>
      <w:r>
        <w:rPr>
          <w:b/>
        </w:rPr>
        <w:t>6,7</w:t>
      </w:r>
      <w:r w:rsidRPr="0040706F">
        <w:rPr>
          <w:b/>
        </w:rPr>
        <w:t xml:space="preserve">%, </w:t>
      </w:r>
      <w:r w:rsidRPr="0040706F">
        <w:t>по срав</w:t>
      </w:r>
      <w:r>
        <w:t>нению с прогнозом Минэнерго 2012</w:t>
      </w:r>
      <w:r>
        <w:rPr>
          <w:b/>
        </w:rPr>
        <w:t xml:space="preserve">, </w:t>
      </w:r>
      <w:r w:rsidRPr="00A81F9F">
        <w:t>тогда  с достаточной точностью  на эту же величину должны сокр</w:t>
      </w:r>
      <w:r>
        <w:t xml:space="preserve">атиться капитальные вложения в </w:t>
      </w:r>
      <w:r w:rsidRPr="00A81F9F">
        <w:t xml:space="preserve">строительство новых генерирующих мощностей, и тогда они составят 1,8021 трлн. руб. На эту же величину должен сократиться объем капитальных вложений в объекты сетевое хозяйства с напряжением 220 кВ и выше, и он станет равным 1,0948 трлн. руб. Тогда суммарные </w:t>
      </w:r>
      <w:r w:rsidRPr="0015315F">
        <w:t xml:space="preserve">капиталовложений в электроэнергетику России </w:t>
      </w:r>
      <w:r w:rsidRPr="0015315F">
        <w:rPr>
          <w:bCs/>
        </w:rPr>
        <w:t>по прогнозу СПЭ 2012 г. в период 2012 - 2018гг</w:t>
      </w:r>
      <w:r w:rsidRPr="0015315F">
        <w:t xml:space="preserve">. </w:t>
      </w:r>
      <w:r w:rsidRPr="0015315F">
        <w:rPr>
          <w:bCs/>
        </w:rPr>
        <w:t>составят 2,8969 трлн. руб. или на 36,7% меньше, чем в прогнозе Минэнерго 2012г.</w:t>
      </w:r>
    </w:p>
    <w:p w:rsidR="00631F7D" w:rsidRPr="002E18F9" w:rsidRDefault="0015315F" w:rsidP="002E18F9">
      <w:pPr>
        <w:ind w:firstLine="709"/>
        <w:jc w:val="both"/>
        <w:rPr>
          <w:b/>
          <w:sz w:val="28"/>
        </w:rPr>
      </w:pPr>
      <w:r>
        <w:t xml:space="preserve">В прогнозе СПЭ 2013г. на период 2013-2019 гг. принято уменьшение вводов </w:t>
      </w:r>
      <w:r w:rsidRPr="002C449A">
        <w:t>генерирующих мощностей с 33,1 ГВт до 23,1 ГВт, соответственно снижение вводов протяженности ВЛ и трансформаторных мощностей, так же на 30%. Тогда</w:t>
      </w:r>
      <w:r w:rsidR="009D4F5B" w:rsidRPr="002C449A">
        <w:t>,</w:t>
      </w:r>
      <w:r w:rsidRPr="002C449A">
        <w:t xml:space="preserve"> </w:t>
      </w:r>
      <w:r w:rsidR="009D4F5B" w:rsidRPr="002C449A">
        <w:rPr>
          <w:b/>
        </w:rPr>
        <w:t xml:space="preserve">по прогнозу </w:t>
      </w:r>
      <w:r w:rsidR="009D4F5B" w:rsidRPr="002C449A">
        <w:t xml:space="preserve">СПЭ </w:t>
      </w:r>
      <w:r w:rsidRPr="002C449A">
        <w:t>объем инвестиций должен снизиться</w:t>
      </w:r>
      <w:r w:rsidR="002C449A" w:rsidRPr="002C449A">
        <w:t xml:space="preserve"> по сравнению с прогнозом Минэнерго 2013</w:t>
      </w:r>
      <w:r w:rsidR="009D4F5B" w:rsidRPr="002C449A">
        <w:t>:</w:t>
      </w:r>
      <w:r w:rsidRPr="002C449A">
        <w:t xml:space="preserve"> </w:t>
      </w:r>
      <w:r w:rsidR="002C449A">
        <w:t>по</w:t>
      </w:r>
      <w:r w:rsidR="009D4F5B" w:rsidRPr="002C449A">
        <w:t xml:space="preserve"> генерации с </w:t>
      </w:r>
      <w:r w:rsidR="009D4F5B" w:rsidRPr="002C449A">
        <w:rPr>
          <w:b/>
        </w:rPr>
        <w:t>1765,3 млрд. руб. до 1235,7 млрд. руб.,</w:t>
      </w:r>
      <w:r w:rsidR="009D4F5B" w:rsidRPr="002C449A">
        <w:t xml:space="preserve"> </w:t>
      </w:r>
      <w:r w:rsidR="00586954">
        <w:t xml:space="preserve">а </w:t>
      </w:r>
      <w:r w:rsidR="009D4F5B" w:rsidRPr="002C449A">
        <w:t>по электрическим</w:t>
      </w:r>
      <w:r w:rsidR="002C449A" w:rsidRPr="002C449A">
        <w:t xml:space="preserve"> сетям с</w:t>
      </w:r>
      <w:r w:rsidR="009D4F5B" w:rsidRPr="002C449A">
        <w:t xml:space="preserve"> напряжением 220 кВ и выше </w:t>
      </w:r>
      <w:r w:rsidR="009D4F5B" w:rsidRPr="002C449A">
        <w:rPr>
          <w:b/>
        </w:rPr>
        <w:t>с 1588,6 млрд. руб. до 1112 млрд. руб</w:t>
      </w:r>
      <w:r w:rsidR="009D4F5B" w:rsidRPr="002C449A">
        <w:t>.</w:t>
      </w:r>
      <w:r w:rsidRPr="002C449A">
        <w:t xml:space="preserve"> </w:t>
      </w:r>
      <w:r w:rsidR="002C449A" w:rsidRPr="00586954">
        <w:rPr>
          <w:b/>
          <w:sz w:val="28"/>
        </w:rPr>
        <w:t>Соответственно</w:t>
      </w:r>
      <w:r w:rsidR="00586954" w:rsidRPr="00586954">
        <w:rPr>
          <w:b/>
          <w:sz w:val="28"/>
        </w:rPr>
        <w:t>, суммарные инвестиции по прогнозу СПЭ 2013</w:t>
      </w:r>
      <w:r w:rsidR="00586954">
        <w:rPr>
          <w:b/>
          <w:sz w:val="28"/>
        </w:rPr>
        <w:t xml:space="preserve"> </w:t>
      </w:r>
      <w:r w:rsidR="00586954" w:rsidRPr="00586954">
        <w:rPr>
          <w:b/>
          <w:sz w:val="28"/>
        </w:rPr>
        <w:t xml:space="preserve"> снизятся</w:t>
      </w:r>
      <w:r w:rsidR="002C449A" w:rsidRPr="00586954">
        <w:rPr>
          <w:b/>
          <w:sz w:val="28"/>
        </w:rPr>
        <w:t xml:space="preserve"> </w:t>
      </w:r>
      <w:r w:rsidRPr="00586954">
        <w:rPr>
          <w:b/>
          <w:sz w:val="28"/>
        </w:rPr>
        <w:t>с 3353,9</w:t>
      </w:r>
      <w:bookmarkStart w:id="94" w:name="_Toc370759800"/>
      <w:r w:rsidR="002E18F9">
        <w:rPr>
          <w:b/>
          <w:sz w:val="28"/>
        </w:rPr>
        <w:t xml:space="preserve"> млрд. руб. до 2347,7млрд. руб.</w:t>
      </w:r>
    </w:p>
    <w:p w:rsidR="0087297E" w:rsidRPr="0087297E" w:rsidRDefault="0087297E" w:rsidP="00212929">
      <w:pPr>
        <w:pStyle w:val="2"/>
      </w:pPr>
      <w:bookmarkStart w:id="95" w:name="_Toc374557806"/>
      <w:r w:rsidRPr="0087297E">
        <w:t>Раздел 11. Общий вывод.</w:t>
      </w:r>
      <w:bookmarkEnd w:id="94"/>
      <w:bookmarkEnd w:id="95"/>
    </w:p>
    <w:p w:rsidR="0087297E" w:rsidRDefault="0087297E" w:rsidP="0087297E">
      <w:pPr>
        <w:ind w:firstLine="709"/>
        <w:jc w:val="both"/>
        <w:rPr>
          <w:bCs/>
          <w:iCs/>
        </w:rPr>
      </w:pPr>
    </w:p>
    <w:p w:rsidR="0087297E" w:rsidRPr="008C1021" w:rsidRDefault="0087297E" w:rsidP="0087297E">
      <w:pPr>
        <w:ind w:firstLine="709"/>
        <w:jc w:val="both"/>
        <w:rPr>
          <w:bCs/>
          <w:iCs/>
        </w:rPr>
      </w:pPr>
      <w:r w:rsidRPr="008C1021">
        <w:rPr>
          <w:bCs/>
          <w:iCs/>
        </w:rPr>
        <w:t xml:space="preserve">Проведенное сопоставление показывает, что электроэнергетическая отрасль России работает чрезвычайно </w:t>
      </w:r>
      <w:r w:rsidRPr="008C1021">
        <w:rPr>
          <w:b/>
          <w:bCs/>
          <w:iCs/>
        </w:rPr>
        <w:t>неэффективно</w:t>
      </w:r>
      <w:r w:rsidRPr="008C1021">
        <w:rPr>
          <w:bCs/>
          <w:iCs/>
        </w:rPr>
        <w:t>. Поэтому необходимо разработать специальные мероприятия по «замораживанию» цены на электроэнергию с последующим ее снижением минимум на 25% -- до среднего уровня в ЕС, рассчитанного не по обменному курсу рубля к евро, а через ППС-ЕС.</w:t>
      </w:r>
    </w:p>
    <w:p w:rsidR="0087297E" w:rsidRPr="00D969A3" w:rsidRDefault="0087297E" w:rsidP="0087297E">
      <w:pPr>
        <w:ind w:firstLine="709"/>
        <w:jc w:val="both"/>
        <w:rPr>
          <w:bCs/>
          <w:iCs/>
        </w:rPr>
      </w:pPr>
      <w:r w:rsidRPr="008C1021">
        <w:rPr>
          <w:rStyle w:val="af5"/>
          <w:rFonts w:eastAsia="Calibri"/>
          <w:sz w:val="24"/>
          <w:szCs w:val="24"/>
        </w:rPr>
        <w:t xml:space="preserve">Для этого необходимо вводить жесткий контроль за тарифами и платой за присоединение, стимулировать повышение эффективности электроэнергетической отрасли, снизить объемы инвестиций в цене электроэнергии для потребителей. Кроме того, остро стоит вопрос об </w:t>
      </w:r>
      <w:r w:rsidRPr="008C1021">
        <w:rPr>
          <w:iCs/>
        </w:rPr>
        <w:t>оптимизации</w:t>
      </w:r>
      <w:r w:rsidRPr="008C1021">
        <w:rPr>
          <w:rStyle w:val="af5"/>
          <w:rFonts w:eastAsia="Calibri"/>
          <w:sz w:val="24"/>
          <w:szCs w:val="24"/>
        </w:rPr>
        <w:t xml:space="preserve"> распределения этих инвестиций между различными типами генерирующих мощностей и сетями. В первую очередь, они должны быть направлены на модернизацию и техническое перевооружение серийных энергоблоков газовых ТЭС с переводом их с паротурбинного цикла на парогазовый, а также сетевой инфраструктуры. Относительно небольшие инвестиции приведут к росту КПД в полтора раза, в частности, в полтора раза снизится расход газа на производство 1 кВт-ч энергии на конденсационных ТЭС. Кроме того, требуется кардинально пересмотреть всю систему назначения руководящих кадров в государственных  органах и государственных и частных энергетических компаний. Необходимыми (но не достаточными) условиями назначения на должности должны</w:t>
      </w:r>
      <w:r w:rsidRPr="00D969A3">
        <w:rPr>
          <w:rStyle w:val="af5"/>
          <w:rFonts w:eastAsia="Calibri"/>
          <w:sz w:val="24"/>
          <w:szCs w:val="24"/>
        </w:rPr>
        <w:t xml:space="preserve"> быть – профессиональные образование и подготовка, а также успешная работа на предыдущих должностях. </w:t>
      </w:r>
    </w:p>
    <w:p w:rsidR="009478DB" w:rsidRPr="00A81F9F" w:rsidRDefault="003532C4" w:rsidP="002E18F9">
      <w:pPr>
        <w:pStyle w:val="2"/>
        <w:ind w:firstLine="0"/>
      </w:pPr>
      <w:r w:rsidRPr="002C449A">
        <w:br w:type="page"/>
      </w:r>
      <w:bookmarkStart w:id="96" w:name="_Toc370759801"/>
      <w:bookmarkStart w:id="97" w:name="_Toc374557807"/>
      <w:r w:rsidR="009478DB" w:rsidRPr="00A81F9F">
        <w:t>Список литературы</w:t>
      </w:r>
      <w:bookmarkEnd w:id="96"/>
      <w:bookmarkEnd w:id="97"/>
      <w:r w:rsidR="009478DB" w:rsidRPr="00A81F9F">
        <w:t xml:space="preserve"> </w:t>
      </w:r>
    </w:p>
    <w:p w:rsidR="009478DB" w:rsidRPr="00A81F9F" w:rsidRDefault="009478DB" w:rsidP="00EE1A61">
      <w:pPr>
        <w:ind w:firstLine="709"/>
        <w:jc w:val="both"/>
        <w:rPr>
          <w:sz w:val="32"/>
          <w:szCs w:val="32"/>
        </w:rPr>
      </w:pPr>
    </w:p>
    <w:p w:rsidR="009478DB" w:rsidRPr="00A81F9F" w:rsidRDefault="009478DB" w:rsidP="007E0F99">
      <w:pPr>
        <w:numPr>
          <w:ilvl w:val="0"/>
          <w:numId w:val="1"/>
        </w:numPr>
        <w:tabs>
          <w:tab w:val="clear" w:pos="927"/>
          <w:tab w:val="num" w:pos="-720"/>
        </w:tabs>
        <w:ind w:left="0" w:firstLine="709"/>
        <w:jc w:val="both"/>
      </w:pPr>
      <w:r w:rsidRPr="00A81F9F">
        <w:t>Схема и программа развития Единой энергетической системы России на 2011 – 2017гг., Минэнерго, 2011г.</w:t>
      </w:r>
    </w:p>
    <w:p w:rsidR="009478DB" w:rsidRDefault="009478DB" w:rsidP="007E0F99">
      <w:pPr>
        <w:numPr>
          <w:ilvl w:val="0"/>
          <w:numId w:val="1"/>
        </w:numPr>
        <w:tabs>
          <w:tab w:val="clear" w:pos="927"/>
          <w:tab w:val="num" w:pos="-720"/>
        </w:tabs>
        <w:ind w:left="0" w:firstLine="709"/>
        <w:jc w:val="both"/>
      </w:pPr>
      <w:r w:rsidRPr="00A81F9F">
        <w:t>Схема и программа развития Единой энергетической системы России на 2012 – 2018гг., Минэнерго, 2012г.</w:t>
      </w:r>
    </w:p>
    <w:p w:rsidR="00D13C3C" w:rsidRPr="00A81F9F" w:rsidRDefault="00D13C3C" w:rsidP="00D13C3C">
      <w:pPr>
        <w:numPr>
          <w:ilvl w:val="0"/>
          <w:numId w:val="1"/>
        </w:numPr>
        <w:tabs>
          <w:tab w:val="clear" w:pos="927"/>
          <w:tab w:val="num" w:pos="-720"/>
        </w:tabs>
        <w:ind w:left="0" w:firstLine="709"/>
        <w:jc w:val="both"/>
      </w:pPr>
      <w:r w:rsidRPr="00A81F9F">
        <w:t>Схема и программа развития Единой энергетической системы России на 201</w:t>
      </w:r>
      <w:r>
        <w:t>3</w:t>
      </w:r>
      <w:r w:rsidRPr="00A81F9F">
        <w:t xml:space="preserve"> – 201</w:t>
      </w:r>
      <w:r>
        <w:t>9</w:t>
      </w:r>
      <w:r w:rsidRPr="00A81F9F">
        <w:t>гг., Минэнерго, 201</w:t>
      </w:r>
      <w:r>
        <w:t>3</w:t>
      </w:r>
      <w:r w:rsidRPr="00A81F9F">
        <w:t>г.</w:t>
      </w:r>
    </w:p>
    <w:p w:rsidR="009478DB" w:rsidRPr="00A81F9F" w:rsidRDefault="009478DB" w:rsidP="007E0F99">
      <w:pPr>
        <w:numPr>
          <w:ilvl w:val="0"/>
          <w:numId w:val="1"/>
        </w:numPr>
        <w:tabs>
          <w:tab w:val="clear" w:pos="927"/>
          <w:tab w:val="num" w:pos="-720"/>
        </w:tabs>
        <w:ind w:left="0" w:firstLine="709"/>
        <w:jc w:val="both"/>
      </w:pPr>
      <w:r w:rsidRPr="00A81F9F">
        <w:t xml:space="preserve">Доклад заместителя Министра энергетики Российской Федерации А.Н. Шишкина на </w:t>
      </w:r>
      <w:r w:rsidRPr="00A81F9F">
        <w:rPr>
          <w:lang w:val="en-US"/>
        </w:rPr>
        <w:t>VI</w:t>
      </w:r>
      <w:r w:rsidRPr="00A81F9F">
        <w:t xml:space="preserve"> ежегодной конференции «Российская энергетика», 22 марта 2012г., Москва.</w:t>
      </w:r>
    </w:p>
    <w:p w:rsidR="009478DB" w:rsidRPr="00A81F9F" w:rsidRDefault="009478DB" w:rsidP="007E0F99">
      <w:pPr>
        <w:numPr>
          <w:ilvl w:val="0"/>
          <w:numId w:val="1"/>
        </w:numPr>
        <w:tabs>
          <w:tab w:val="clear" w:pos="927"/>
          <w:tab w:val="num" w:pos="-720"/>
        </w:tabs>
        <w:ind w:left="0" w:firstLine="709"/>
        <w:jc w:val="both"/>
      </w:pPr>
      <w:r w:rsidRPr="00A81F9F">
        <w:t>Энергетика России: взгляд в будущее. Обосновывающие материалы к Энергетической стратегии России на период до 2030г., 2010г., Москва.</w:t>
      </w:r>
    </w:p>
    <w:p w:rsidR="009478DB" w:rsidRPr="00A81F9F" w:rsidRDefault="009478DB" w:rsidP="007E0F99">
      <w:pPr>
        <w:numPr>
          <w:ilvl w:val="0"/>
          <w:numId w:val="1"/>
        </w:numPr>
        <w:tabs>
          <w:tab w:val="clear" w:pos="927"/>
          <w:tab w:val="num" w:pos="-720"/>
        </w:tabs>
        <w:ind w:left="0" w:firstLine="709"/>
        <w:jc w:val="both"/>
      </w:pPr>
      <w:r w:rsidRPr="00A81F9F">
        <w:rPr>
          <w:i/>
          <w:iCs/>
        </w:rPr>
        <w:t>Нигматулин Б.И., Козырев М</w:t>
      </w:r>
      <w:r w:rsidRPr="00A81F9F">
        <w:t>. «В чем не прав Анатолий Чубайс». Журнал «Атомная стратегия», 2008г., Апрель, № 33.</w:t>
      </w:r>
    </w:p>
    <w:p w:rsidR="009478DB" w:rsidRPr="00A81F9F" w:rsidRDefault="009478DB" w:rsidP="007E0F99">
      <w:pPr>
        <w:numPr>
          <w:ilvl w:val="0"/>
          <w:numId w:val="1"/>
        </w:numPr>
        <w:tabs>
          <w:tab w:val="clear" w:pos="927"/>
          <w:tab w:val="num" w:pos="-720"/>
        </w:tabs>
        <w:ind w:left="0" w:firstLine="709"/>
        <w:jc w:val="both"/>
      </w:pPr>
      <w:r w:rsidRPr="00A81F9F">
        <w:rPr>
          <w:i/>
          <w:iCs/>
        </w:rPr>
        <w:t>Нигматулин Б.И.</w:t>
      </w:r>
      <w:r w:rsidRPr="00A81F9F">
        <w:t xml:space="preserve"> «Лишние станции Чубайса». Журнал «</w:t>
      </w:r>
      <w:r w:rsidRPr="00A81F9F">
        <w:rPr>
          <w:lang w:val="en-US"/>
        </w:rPr>
        <w:t>Smart</w:t>
      </w:r>
      <w:r w:rsidRPr="00A81F9F">
        <w:t xml:space="preserve"> </w:t>
      </w:r>
      <w:r w:rsidRPr="00A81F9F">
        <w:rPr>
          <w:lang w:val="en-US"/>
        </w:rPr>
        <w:t>money</w:t>
      </w:r>
      <w:r w:rsidRPr="00A81F9F">
        <w:t>»., 2008г., Март - №9.</w:t>
      </w:r>
    </w:p>
    <w:p w:rsidR="009478DB" w:rsidRPr="00A81F9F" w:rsidRDefault="009478DB" w:rsidP="007E0F99">
      <w:pPr>
        <w:numPr>
          <w:ilvl w:val="0"/>
          <w:numId w:val="1"/>
        </w:numPr>
        <w:tabs>
          <w:tab w:val="clear" w:pos="927"/>
          <w:tab w:val="num" w:pos="-720"/>
        </w:tabs>
        <w:ind w:left="0" w:firstLine="709"/>
        <w:jc w:val="both"/>
      </w:pPr>
      <w:r w:rsidRPr="00A81F9F">
        <w:rPr>
          <w:i/>
          <w:iCs/>
        </w:rPr>
        <w:t>Нигматулин Б.И. и др</w:t>
      </w:r>
      <w:r w:rsidRPr="00A81F9F">
        <w:t xml:space="preserve">. «Театр абсурда российских энерготарифов». Журнал «Эксперт», 2008г., декабрь - № 47. </w:t>
      </w:r>
    </w:p>
    <w:p w:rsidR="009478DB" w:rsidRPr="00A81F9F" w:rsidRDefault="009478DB" w:rsidP="007E0F99">
      <w:pPr>
        <w:numPr>
          <w:ilvl w:val="0"/>
          <w:numId w:val="1"/>
        </w:numPr>
        <w:tabs>
          <w:tab w:val="clear" w:pos="927"/>
          <w:tab w:val="num" w:pos="-720"/>
        </w:tabs>
        <w:ind w:left="0" w:firstLine="709"/>
        <w:jc w:val="both"/>
      </w:pPr>
      <w:r w:rsidRPr="00A81F9F">
        <w:rPr>
          <w:i/>
          <w:iCs/>
        </w:rPr>
        <w:t>Нигматулин Б</w:t>
      </w:r>
      <w:r w:rsidRPr="00A81F9F">
        <w:t>.</w:t>
      </w:r>
      <w:r w:rsidRPr="00A81F9F">
        <w:rPr>
          <w:i/>
          <w:iCs/>
        </w:rPr>
        <w:t>И</w:t>
      </w:r>
      <w:r w:rsidRPr="00A81F9F">
        <w:t xml:space="preserve">. «О стоимости электроэнергии угольных ТЭС для потребителей России, Германии и США». Журнал «Энергорынок», 2011г., Сентября - № 9. </w:t>
      </w:r>
    </w:p>
    <w:p w:rsidR="009478DB" w:rsidRPr="00A81F9F" w:rsidRDefault="009478DB" w:rsidP="007E0F99">
      <w:pPr>
        <w:numPr>
          <w:ilvl w:val="0"/>
          <w:numId w:val="1"/>
        </w:numPr>
        <w:tabs>
          <w:tab w:val="clear" w:pos="927"/>
          <w:tab w:val="num" w:pos="-720"/>
        </w:tabs>
        <w:ind w:left="0" w:firstLine="709"/>
        <w:jc w:val="both"/>
      </w:pPr>
      <w:r w:rsidRPr="00A81F9F">
        <w:rPr>
          <w:i/>
          <w:iCs/>
        </w:rPr>
        <w:t>Нигматулин Б.И., Фадеев Е.А.</w:t>
      </w:r>
      <w:r w:rsidRPr="00A81F9F">
        <w:t xml:space="preserve"> «Документы особой важности», «Атомная стратегия», 2008г, июль - № 2.</w:t>
      </w:r>
    </w:p>
    <w:p w:rsidR="009478DB" w:rsidRPr="00A81F9F" w:rsidRDefault="009478DB" w:rsidP="007E0F99">
      <w:pPr>
        <w:numPr>
          <w:ilvl w:val="0"/>
          <w:numId w:val="1"/>
        </w:numPr>
        <w:tabs>
          <w:tab w:val="clear" w:pos="927"/>
          <w:tab w:val="num" w:pos="-720"/>
        </w:tabs>
        <w:ind w:left="0" w:firstLine="709"/>
        <w:jc w:val="both"/>
      </w:pPr>
      <w:r w:rsidRPr="00A81F9F">
        <w:rPr>
          <w:i/>
          <w:iCs/>
        </w:rPr>
        <w:t xml:space="preserve">Нигматулин </w:t>
      </w:r>
      <w:r w:rsidRPr="00A81F9F">
        <w:t>Б.И. «Лучше меньше да лучше. Состояние и развитие электроэнергетики в России до2020г.» «Энергополис», 2010г., ноябрь - № 11.</w:t>
      </w:r>
    </w:p>
    <w:p w:rsidR="009478DB" w:rsidRPr="00A81F9F" w:rsidRDefault="009478DB" w:rsidP="007E0F99">
      <w:pPr>
        <w:numPr>
          <w:ilvl w:val="0"/>
          <w:numId w:val="1"/>
        </w:numPr>
        <w:tabs>
          <w:tab w:val="clear" w:pos="927"/>
          <w:tab w:val="num" w:pos="-720"/>
        </w:tabs>
        <w:ind w:left="0" w:firstLine="709"/>
        <w:jc w:val="both"/>
      </w:pPr>
      <w:r w:rsidRPr="00A81F9F">
        <w:rPr>
          <w:i/>
          <w:iCs/>
        </w:rPr>
        <w:t>Нигматулин Б.И.</w:t>
      </w:r>
      <w:r w:rsidRPr="00A81F9F">
        <w:t xml:space="preserve"> «Электроэнергетика России. Современное состояние и проблемы развития», журнал «Электро», 2011г., апрель - № 4.</w:t>
      </w:r>
    </w:p>
    <w:p w:rsidR="00A35B55" w:rsidRDefault="00A35B55" w:rsidP="00A35B55">
      <w:pPr>
        <w:tabs>
          <w:tab w:val="num" w:pos="-720"/>
        </w:tabs>
        <w:jc w:val="both"/>
        <w:rPr>
          <w:b/>
          <w:bCs/>
          <w:i/>
          <w:iCs/>
          <w:sz w:val="28"/>
          <w:szCs w:val="28"/>
        </w:rPr>
      </w:pPr>
    </w:p>
    <w:p w:rsidR="00A35B55" w:rsidRPr="00A35B55" w:rsidRDefault="00A35B55" w:rsidP="00A35B55">
      <w:pPr>
        <w:tabs>
          <w:tab w:val="num" w:pos="-720"/>
        </w:tabs>
        <w:jc w:val="both"/>
        <w:rPr>
          <w:bCs/>
          <w:iCs/>
          <w:sz w:val="28"/>
          <w:szCs w:val="28"/>
        </w:rPr>
        <w:sectPr w:rsidR="00A35B55" w:rsidRPr="00A35B55" w:rsidSect="008D7DF3">
          <w:footerReference w:type="even" r:id="rId114"/>
          <w:footerReference w:type="default" r:id="rId115"/>
          <w:footnotePr>
            <w:pos w:val="beneathText"/>
          </w:footnotePr>
          <w:pgSz w:w="11906" w:h="16838"/>
          <w:pgMar w:top="1258" w:right="851" w:bottom="1134" w:left="1440" w:header="709" w:footer="709" w:gutter="0"/>
          <w:cols w:space="708"/>
          <w:titlePg/>
          <w:docGrid w:linePitch="360"/>
        </w:sectPr>
      </w:pPr>
    </w:p>
    <w:p w:rsidR="009478DB" w:rsidRPr="00A81F9F" w:rsidRDefault="009478DB" w:rsidP="008B1D2F">
      <w:pPr>
        <w:pStyle w:val="1"/>
      </w:pPr>
      <w:bookmarkStart w:id="98" w:name="_Toc370759802"/>
      <w:bookmarkStart w:id="99" w:name="_Toc374557808"/>
      <w:r w:rsidRPr="00A81F9F">
        <w:t>Приложение 1. Дополнительные разделы к схеме и программе</w:t>
      </w:r>
      <w:bookmarkEnd w:id="98"/>
      <w:bookmarkEnd w:id="99"/>
      <w:r w:rsidRPr="00A81F9F">
        <w:t xml:space="preserve"> </w:t>
      </w:r>
    </w:p>
    <w:p w:rsidR="008B447A" w:rsidRPr="00723C38" w:rsidRDefault="007C6D36" w:rsidP="00212929">
      <w:pPr>
        <w:pStyle w:val="2"/>
      </w:pPr>
      <w:bookmarkStart w:id="100" w:name="_Toc370759803"/>
      <w:bookmarkStart w:id="101" w:name="_Toc374557809"/>
      <w:r w:rsidRPr="00A81F9F">
        <w:t>Раздел П1.</w:t>
      </w:r>
      <w:r>
        <w:t xml:space="preserve"> Об энергоэффективности экономики России.</w:t>
      </w:r>
      <w:bookmarkEnd w:id="100"/>
      <w:bookmarkEnd w:id="101"/>
      <w:r>
        <w:t xml:space="preserve"> </w:t>
      </w:r>
    </w:p>
    <w:p w:rsidR="008B447A" w:rsidRDefault="008B447A" w:rsidP="008B447A">
      <w:pPr>
        <w:ind w:firstLine="709"/>
        <w:jc w:val="both"/>
      </w:pPr>
      <w:r>
        <w:t>Электроэффективность экономики любой страны характеризуется количеством электроэнергии в кВт.ч, потребляемых в год, приходящимся на 1000 ППС-ЕС ВВП или 1000 $ППС ВВП страны – удельные электрозатраты ВВП. Иногда электроэффективность измеряется в расчете на 1000</w:t>
      </w:r>
      <w:r>
        <w:rPr>
          <w:rFonts w:cs="Calibri"/>
        </w:rPr>
        <w:t>€</w:t>
      </w:r>
      <w:r>
        <w:t xml:space="preserve"> ЦБ ВВП (1000</w:t>
      </w:r>
      <w:r w:rsidRPr="00292FB5">
        <w:t xml:space="preserve">$ </w:t>
      </w:r>
      <w:r>
        <w:t>ЦБ ВВП), но</w:t>
      </w:r>
      <w:r w:rsidRPr="00A17EFA">
        <w:t xml:space="preserve"> </w:t>
      </w:r>
      <w:r>
        <w:t xml:space="preserve">это, как будет показано ниже, </w:t>
      </w:r>
      <w:r w:rsidRPr="005E5D69">
        <w:rPr>
          <w:b/>
        </w:rPr>
        <w:t>некорректно</w:t>
      </w:r>
      <w:r>
        <w:t>. Чем меньше величина удельных электрозатрат ВВП, тем более электроэффективна экономика страны по сравнению с другими странами. Это же относится  к оценке изменения электроэффективности экономики каждой страны во времени.  Однако необходимо сделать оговорку: вывод об электроэффективности то или иной страны будет более обоснованным, если сравниваются страны со сходной структурой экономики, например, хотя бы с близкой долей вклада промышленного производства в ВВП.</w:t>
      </w:r>
    </w:p>
    <w:p w:rsidR="008B447A" w:rsidRDefault="008B447A" w:rsidP="008B447A">
      <w:pPr>
        <w:ind w:firstLine="851"/>
        <w:jc w:val="both"/>
      </w:pPr>
      <w:r>
        <w:t xml:space="preserve">На рис. 3 показаны удельные </w:t>
      </w:r>
      <w:r w:rsidRPr="005E5D69">
        <w:rPr>
          <w:b/>
        </w:rPr>
        <w:t>электрозатраты</w:t>
      </w:r>
      <w:r>
        <w:t xml:space="preserve"> в расчете на 1000</w:t>
      </w:r>
      <w:r>
        <w:rPr>
          <w:rFonts w:cs="Calibri"/>
        </w:rPr>
        <w:t>€</w:t>
      </w:r>
      <w:r>
        <w:t xml:space="preserve"> ЦБ</w:t>
      </w:r>
      <w:r w:rsidRPr="00F905CB">
        <w:t xml:space="preserve"> </w:t>
      </w:r>
      <w:r>
        <w:t>ВВП</w:t>
      </w:r>
      <w:r w:rsidR="0026692A">
        <w:t xml:space="preserve"> России (для России в целом, а также отдельно в Европейской части и на Урале, Сибири и Дальнем Востоке.),</w:t>
      </w:r>
      <w:r>
        <w:t xml:space="preserve"> стран ЕС, Турции, США, по аналогии с удельными </w:t>
      </w:r>
      <w:r w:rsidRPr="005E5D69">
        <w:rPr>
          <w:b/>
        </w:rPr>
        <w:t>энергозатратами</w:t>
      </w:r>
      <w:r>
        <w:t xml:space="preserve"> на 1000</w:t>
      </w:r>
      <w:r>
        <w:rPr>
          <w:rFonts w:cs="Calibri"/>
        </w:rPr>
        <w:t>€</w:t>
      </w:r>
      <w:r>
        <w:t xml:space="preserve"> ЦБ</w:t>
      </w:r>
      <w:r w:rsidRPr="00F905CB">
        <w:t xml:space="preserve"> </w:t>
      </w:r>
      <w:r>
        <w:t xml:space="preserve">ВВП, которые публикуются в базе данных Евростата. </w:t>
      </w:r>
    </w:p>
    <w:p w:rsidR="0026692A" w:rsidRDefault="0026692A" w:rsidP="008B447A">
      <w:pPr>
        <w:ind w:firstLine="851"/>
        <w:jc w:val="both"/>
      </w:pPr>
    </w:p>
    <w:p w:rsidR="008B447A" w:rsidRDefault="007C1ADE" w:rsidP="0026692A">
      <w:pPr>
        <w:keepNext/>
        <w:ind w:left="-284"/>
        <w:jc w:val="both"/>
      </w:pPr>
      <w:r>
        <w:rPr>
          <w:noProof/>
        </w:rPr>
        <w:drawing>
          <wp:inline distT="0" distB="0" distL="0" distR="0">
            <wp:extent cx="6361484" cy="3536124"/>
            <wp:effectExtent l="12192" t="7176" r="8074" b="0"/>
            <wp:docPr id="96"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8B447A" w:rsidRPr="007A6291" w:rsidRDefault="008B447A" w:rsidP="008B447A">
      <w:pPr>
        <w:pStyle w:val="af6"/>
        <w:rPr>
          <w:b w:val="0"/>
          <w:color w:val="000000" w:themeColor="text1"/>
        </w:rPr>
      </w:pPr>
      <w:r w:rsidRPr="007A6291">
        <w:rPr>
          <w:b w:val="0"/>
          <w:color w:val="000000" w:themeColor="text1"/>
        </w:rPr>
        <w:t xml:space="preserve">Рис. </w:t>
      </w:r>
      <w:r w:rsidR="000948A2" w:rsidRPr="007A6291">
        <w:rPr>
          <w:b w:val="0"/>
          <w:color w:val="000000" w:themeColor="text1"/>
        </w:rPr>
        <w:t>П1</w:t>
      </w:r>
      <w:r w:rsidRPr="007A6291">
        <w:rPr>
          <w:b w:val="0"/>
          <w:color w:val="000000" w:themeColor="text1"/>
        </w:rPr>
        <w:t xml:space="preserve"> Удельные электрозатраты ВВП в кВт.ч, приходящиеся на 1000 </w:t>
      </w:r>
      <w:r w:rsidRPr="007A6291">
        <w:rPr>
          <w:rFonts w:cs="Calibri"/>
          <w:b w:val="0"/>
          <w:color w:val="000000" w:themeColor="text1"/>
        </w:rPr>
        <w:t>€</w:t>
      </w:r>
      <w:r w:rsidRPr="007A6291">
        <w:rPr>
          <w:b w:val="0"/>
          <w:color w:val="000000" w:themeColor="text1"/>
        </w:rPr>
        <w:t xml:space="preserve">  (ЦБ) ВВП в странах ЕС, Турции, США и России (в целом и отдельно в Европейской части и на Урале,  в Сибири и на  Дальнем Востоке) в 2011 г.</w:t>
      </w:r>
    </w:p>
    <w:p w:rsidR="008B447A" w:rsidRDefault="008B447A" w:rsidP="008B447A">
      <w:pPr>
        <w:ind w:firstLine="709"/>
        <w:jc w:val="both"/>
      </w:pPr>
      <w:r>
        <w:t xml:space="preserve">Видно, что в 2011 г. в </w:t>
      </w:r>
      <w:r w:rsidR="001A22B5">
        <w:t>России</w:t>
      </w:r>
      <w:r>
        <w:t xml:space="preserve"> удельные электрозатраты  ВВП были равны </w:t>
      </w:r>
      <w:r w:rsidR="001A22B5">
        <w:t>741</w:t>
      </w:r>
      <w:r>
        <w:t xml:space="preserve"> кВт.ч /1000 </w:t>
      </w:r>
      <w:r>
        <w:rPr>
          <w:rFonts w:cs="Calibri"/>
        </w:rPr>
        <w:t>€</w:t>
      </w:r>
      <w:r>
        <w:t xml:space="preserve"> ЦБ, что выше, чем в сре</w:t>
      </w:r>
      <w:r w:rsidR="001A22B5">
        <w:t>днем по ЕС-15+Великобритания и Германии, соответственно, в 3,5 и 3,7. По сравнению со северными странами Европы (Финляндией и Швецией) со сходной структурой производства и климатом</w:t>
      </w:r>
      <w:r w:rsidR="0004432C">
        <w:t>, соответственно,</w:t>
      </w:r>
      <w:r w:rsidR="001A22B5">
        <w:t xml:space="preserve"> в 1,7</w:t>
      </w:r>
      <w:r w:rsidR="0004432C">
        <w:t xml:space="preserve"> и в 2 </w:t>
      </w:r>
      <w:r w:rsidR="001A22B5">
        <w:t>раз</w:t>
      </w:r>
      <w:r w:rsidR="0004432C">
        <w:t xml:space="preserve">а выше. Такая разница в удельных электрозатратах ВВП в России с другими странами </w:t>
      </w:r>
      <w:r w:rsidR="003769C5">
        <w:t>является</w:t>
      </w:r>
      <w:r w:rsidR="0004432C">
        <w:t xml:space="preserve"> </w:t>
      </w:r>
      <w:r w:rsidRPr="005E5D69">
        <w:rPr>
          <w:b/>
        </w:rPr>
        <w:t>нереалистичн</w:t>
      </w:r>
      <w:r w:rsidR="0004432C">
        <w:rPr>
          <w:b/>
        </w:rPr>
        <w:t>ой</w:t>
      </w:r>
      <w:r w:rsidR="003769C5">
        <w:rPr>
          <w:b/>
        </w:rPr>
        <w:t xml:space="preserve"> </w:t>
      </w:r>
      <w:r w:rsidR="003769C5" w:rsidRPr="003769C5">
        <w:t>и связана с тем, что</w:t>
      </w:r>
      <w:r w:rsidR="003769C5">
        <w:t xml:space="preserve"> </w:t>
      </w:r>
      <w:r w:rsidR="002F62F7">
        <w:t>сравнивать</w:t>
      </w:r>
      <w:r w:rsidR="00793845">
        <w:t xml:space="preserve"> друг с другом</w:t>
      </w:r>
      <w:r w:rsidR="002F62F7">
        <w:t xml:space="preserve"> размеры</w:t>
      </w:r>
      <w:r w:rsidR="003769C5">
        <w:t xml:space="preserve"> ВВП различных стран</w:t>
      </w:r>
      <w:r w:rsidR="002F62F7">
        <w:t xml:space="preserve">, путем пересчета их в </w:t>
      </w:r>
      <w:r w:rsidR="003769C5">
        <w:rPr>
          <w:rFonts w:ascii="Calibri" w:hAnsi="Calibri" w:cs="Calibri"/>
        </w:rPr>
        <w:t>€</w:t>
      </w:r>
      <w:r w:rsidR="003769C5" w:rsidRPr="003769C5">
        <w:t xml:space="preserve"> </w:t>
      </w:r>
      <w:r w:rsidR="003769C5">
        <w:t xml:space="preserve">или </w:t>
      </w:r>
      <w:r w:rsidR="003769C5" w:rsidRPr="003769C5">
        <w:t>$</w:t>
      </w:r>
      <w:r w:rsidR="002F62F7">
        <w:t xml:space="preserve"> по курсу</w:t>
      </w:r>
      <w:r w:rsidR="003769C5" w:rsidRPr="003769C5">
        <w:t xml:space="preserve"> </w:t>
      </w:r>
      <w:r w:rsidR="003769C5">
        <w:t>ЦБ</w:t>
      </w:r>
      <w:r w:rsidR="002F62F7">
        <w:t xml:space="preserve"> каждой из стран</w:t>
      </w:r>
      <w:r w:rsidR="003769C5">
        <w:t xml:space="preserve"> </w:t>
      </w:r>
      <w:r w:rsidR="003769C5" w:rsidRPr="00793845">
        <w:rPr>
          <w:b/>
        </w:rPr>
        <w:t>неве</w:t>
      </w:r>
      <w:r w:rsidR="002F62F7" w:rsidRPr="00793845">
        <w:rPr>
          <w:b/>
        </w:rPr>
        <w:t>рно</w:t>
      </w:r>
      <w:r w:rsidR="002F62F7">
        <w:t xml:space="preserve">. </w:t>
      </w:r>
    </w:p>
    <w:p w:rsidR="008B447A" w:rsidRDefault="008B447A" w:rsidP="003B7312">
      <w:pPr>
        <w:ind w:firstLine="709"/>
        <w:jc w:val="both"/>
      </w:pPr>
      <w:r>
        <w:t>На рис. 4 показаны удельные электрозатраты стран ЕС, США, России (в целом и отдельно по Европейской части+Урал, Сибирь +Дальний Восток), приходящиеся уже на 1000 ППС ВВП.</w:t>
      </w:r>
    </w:p>
    <w:p w:rsidR="00C10361" w:rsidRDefault="00C10361" w:rsidP="003B7312">
      <w:pPr>
        <w:ind w:firstLine="709"/>
        <w:jc w:val="both"/>
      </w:pPr>
    </w:p>
    <w:p w:rsidR="008B447A" w:rsidRDefault="007C1ADE" w:rsidP="003B7312">
      <w:pPr>
        <w:keepNext/>
        <w:ind w:hanging="284"/>
        <w:jc w:val="both"/>
      </w:pPr>
      <w:r>
        <w:rPr>
          <w:noProof/>
        </w:rPr>
        <w:drawing>
          <wp:inline distT="0" distB="0" distL="0" distR="0">
            <wp:extent cx="6090853" cy="3210805"/>
            <wp:effectExtent l="11426" t="6520" r="3246" b="2125"/>
            <wp:docPr id="97"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8B447A" w:rsidRPr="007A6291" w:rsidRDefault="008B447A" w:rsidP="003B7312">
      <w:pPr>
        <w:pStyle w:val="af6"/>
        <w:rPr>
          <w:b w:val="0"/>
          <w:color w:val="000000" w:themeColor="text1"/>
        </w:rPr>
      </w:pPr>
      <w:r w:rsidRPr="007A6291">
        <w:rPr>
          <w:b w:val="0"/>
          <w:color w:val="000000" w:themeColor="text1"/>
        </w:rPr>
        <w:t xml:space="preserve">Рис. </w:t>
      </w:r>
      <w:r w:rsidR="007D0094" w:rsidRPr="007A6291">
        <w:rPr>
          <w:b w:val="0"/>
          <w:color w:val="000000" w:themeColor="text1"/>
        </w:rPr>
        <w:t>П2</w:t>
      </w:r>
      <w:r w:rsidRPr="007A6291">
        <w:rPr>
          <w:b w:val="0"/>
          <w:color w:val="000000" w:themeColor="text1"/>
        </w:rPr>
        <w:t>. Удельные электрозатраты ВВП в кВт.ч, приходящиеся на 1000 ППС-ЕС ВВП в</w:t>
      </w:r>
      <w:r w:rsidR="00793845" w:rsidRPr="007A6291">
        <w:rPr>
          <w:b w:val="0"/>
          <w:color w:val="000000" w:themeColor="text1"/>
        </w:rPr>
        <w:t xml:space="preserve"> России (Европейская часть+Урал, Сибирь+Дальний Восток; вся страна), странах ЕС, Турции, США</w:t>
      </w:r>
      <w:r w:rsidRPr="007A6291">
        <w:rPr>
          <w:b w:val="0"/>
          <w:color w:val="000000" w:themeColor="text1"/>
        </w:rPr>
        <w:t xml:space="preserve">  в 2011 г.</w:t>
      </w:r>
    </w:p>
    <w:p w:rsidR="008B447A" w:rsidRDefault="008B447A" w:rsidP="003B7312">
      <w:pPr>
        <w:ind w:firstLine="709"/>
        <w:jc w:val="both"/>
      </w:pPr>
      <w:r>
        <w:t xml:space="preserve">Видна значительно более реалистичная картина для сравнения. В 2011 г. удельные электрозатраты </w:t>
      </w:r>
      <w:r w:rsidR="00793845">
        <w:t>России</w:t>
      </w:r>
      <w:r>
        <w:t xml:space="preserve"> равнялась </w:t>
      </w:r>
      <w:r w:rsidR="00793845">
        <w:t>402</w:t>
      </w:r>
      <w:r>
        <w:t xml:space="preserve"> кВт.ч/1000 ППС ВВП, что значительно ниже, чем в скандинавских странах: Финляндии, Норвегии, Швеции, а также </w:t>
      </w:r>
      <w:r w:rsidR="00793845">
        <w:t>Канаде и Южной Корее</w:t>
      </w:r>
      <w:r>
        <w:t xml:space="preserve">, в которых удельные электрозатраты выше, соответственно, на </w:t>
      </w:r>
      <w:r w:rsidR="00793845">
        <w:t>30</w:t>
      </w:r>
      <w:r>
        <w:t>%,</w:t>
      </w:r>
      <w:r w:rsidR="00B70A53">
        <w:t xml:space="preserve"> </w:t>
      </w:r>
      <w:r w:rsidR="00793845">
        <w:t>22</w:t>
      </w:r>
      <w:r>
        <w:t>%,</w:t>
      </w:r>
      <w:r w:rsidR="00B70A53">
        <w:t xml:space="preserve"> 11%</w:t>
      </w:r>
      <w:r>
        <w:t>,</w:t>
      </w:r>
      <w:r w:rsidR="00B70A53">
        <w:t xml:space="preserve"> 18</w:t>
      </w:r>
      <w:r>
        <w:t xml:space="preserve">% и </w:t>
      </w:r>
      <w:r w:rsidR="00B70A53">
        <w:t>4%</w:t>
      </w:r>
      <w:r>
        <w:t xml:space="preserve">. Тем не менее, удельные электрозатраты  экономики </w:t>
      </w:r>
      <w:r w:rsidR="00B70A53">
        <w:t>России</w:t>
      </w:r>
      <w:r>
        <w:t xml:space="preserve"> все еще достаточно высокие - на </w:t>
      </w:r>
      <w:r w:rsidR="00B70A53">
        <w:t>82%</w:t>
      </w:r>
      <w:r>
        <w:t xml:space="preserve"> выше, чем в среднем в ЕС-15+ Великобритании, на </w:t>
      </w:r>
      <w:r w:rsidR="00B70A53">
        <w:t>90% выше, чем в Германии.</w:t>
      </w:r>
    </w:p>
    <w:p w:rsidR="008B447A" w:rsidRDefault="008B447A" w:rsidP="003B7312">
      <w:pPr>
        <w:jc w:val="both"/>
      </w:pPr>
      <w:r>
        <w:t xml:space="preserve">Поэтому важнейшей стратегической задачей обеспечения экономического развития </w:t>
      </w:r>
      <w:r w:rsidR="00B70A53">
        <w:t>России</w:t>
      </w:r>
      <w:r>
        <w:t xml:space="preserve"> на среднесрочную перспективу должно быть повышение ее электроэффективности. </w:t>
      </w:r>
    </w:p>
    <w:p w:rsidR="007C6D36" w:rsidRDefault="007C6D36" w:rsidP="00212929">
      <w:pPr>
        <w:pStyle w:val="2"/>
      </w:pPr>
    </w:p>
    <w:p w:rsidR="007C6D36" w:rsidRDefault="007C6D36" w:rsidP="00212929">
      <w:pPr>
        <w:pStyle w:val="2"/>
      </w:pPr>
    </w:p>
    <w:p w:rsidR="00C10361" w:rsidRDefault="00C10361" w:rsidP="008B1D2F">
      <w:pPr>
        <w:pStyle w:val="10"/>
      </w:pPr>
    </w:p>
    <w:p w:rsidR="00C10361" w:rsidRDefault="00C10361" w:rsidP="003B7312">
      <w:pPr>
        <w:jc w:val="both"/>
      </w:pPr>
    </w:p>
    <w:p w:rsidR="00C10361" w:rsidRDefault="00C10361" w:rsidP="003B7312">
      <w:pPr>
        <w:jc w:val="both"/>
      </w:pPr>
    </w:p>
    <w:p w:rsidR="00C10361" w:rsidRDefault="00C10361" w:rsidP="003B7312">
      <w:pPr>
        <w:jc w:val="both"/>
      </w:pPr>
    </w:p>
    <w:p w:rsidR="007C6D36" w:rsidRDefault="007C6D36" w:rsidP="00212929">
      <w:pPr>
        <w:pStyle w:val="2"/>
      </w:pPr>
    </w:p>
    <w:p w:rsidR="00FC3BC6" w:rsidRDefault="00FC3BC6" w:rsidP="008B1D2F">
      <w:pPr>
        <w:pStyle w:val="10"/>
      </w:pPr>
    </w:p>
    <w:p w:rsidR="00FC3BC6" w:rsidRPr="00FC3BC6" w:rsidRDefault="00FC3BC6" w:rsidP="003B7312">
      <w:pPr>
        <w:jc w:val="both"/>
      </w:pPr>
    </w:p>
    <w:p w:rsidR="009478DB" w:rsidRDefault="009478DB" w:rsidP="00212929">
      <w:pPr>
        <w:pStyle w:val="2"/>
      </w:pPr>
      <w:bookmarkStart w:id="102" w:name="_Toc370759804"/>
      <w:bookmarkStart w:id="103" w:name="_Toc374557810"/>
      <w:r w:rsidRPr="00A81F9F">
        <w:t>Раздел П</w:t>
      </w:r>
      <w:r w:rsidR="00E74E62">
        <w:t>2</w:t>
      </w:r>
      <w:r w:rsidRPr="00A81F9F">
        <w:t>. Сравнение стоимости электроэнергии в России и других странах</w:t>
      </w:r>
      <w:bookmarkEnd w:id="102"/>
      <w:bookmarkEnd w:id="103"/>
      <w:r w:rsidRPr="00A81F9F">
        <w:t xml:space="preserve"> </w:t>
      </w:r>
    </w:p>
    <w:p w:rsidR="001E3A0A" w:rsidRDefault="007D0094" w:rsidP="003B7312">
      <w:pPr>
        <w:pStyle w:val="3"/>
        <w:jc w:val="both"/>
      </w:pPr>
      <w:bookmarkStart w:id="104" w:name="_Toc370759805"/>
      <w:bookmarkStart w:id="105" w:name="_Toc374557811"/>
      <w:r>
        <w:t xml:space="preserve">П2.1. </w:t>
      </w:r>
      <w:r w:rsidR="00E74E62">
        <w:t>Сравнение затрат на электроэнергию для конечных потребителей в различных странах.</w:t>
      </w:r>
      <w:bookmarkEnd w:id="104"/>
      <w:bookmarkEnd w:id="105"/>
      <w:r w:rsidR="00E74E62">
        <w:t xml:space="preserve"> </w:t>
      </w:r>
    </w:p>
    <w:p w:rsidR="001E3A0A" w:rsidRDefault="001E3A0A" w:rsidP="003B7312">
      <w:pPr>
        <w:jc w:val="both"/>
      </w:pPr>
    </w:p>
    <w:p w:rsidR="001E3A0A" w:rsidRDefault="001E3A0A" w:rsidP="003B7312">
      <w:pPr>
        <w:ind w:firstLine="851"/>
        <w:jc w:val="both"/>
      </w:pPr>
      <w:r>
        <w:t xml:space="preserve">Для того, чтобы сравнивать затраты на электроэнергию конечных потребителей в разных странах, представим их в доле ВВП этих стран. На рис. </w:t>
      </w:r>
      <w:r w:rsidR="003C19C1">
        <w:t>П3</w:t>
      </w:r>
      <w:r>
        <w:t xml:space="preserve"> показаны расходы конечных потребителей электроэнергии (с учетом всех налогов) в различных странах в доле ВВП в 2011 г. (для Чехии и России – в 2012 г.  и 2013-2014 гг.).</w:t>
      </w:r>
    </w:p>
    <w:p w:rsidR="001E3A0A" w:rsidRDefault="001E3A0A" w:rsidP="003B7312">
      <w:pPr>
        <w:ind w:firstLine="851"/>
        <w:jc w:val="both"/>
      </w:pPr>
    </w:p>
    <w:p w:rsidR="001E3A0A" w:rsidRDefault="001E3A0A" w:rsidP="003B7312">
      <w:pPr>
        <w:ind w:hanging="426"/>
        <w:jc w:val="both"/>
      </w:pPr>
    </w:p>
    <w:p w:rsidR="001E3A0A" w:rsidRDefault="007C1ADE" w:rsidP="003B7312">
      <w:pPr>
        <w:keepNext/>
        <w:jc w:val="both"/>
      </w:pPr>
      <w:r>
        <w:rPr>
          <w:noProof/>
        </w:rPr>
        <w:drawing>
          <wp:inline distT="0" distB="0" distL="0" distR="0">
            <wp:extent cx="6147837" cy="3584829"/>
            <wp:effectExtent l="10791" t="6096" r="4047" b="0"/>
            <wp:docPr id="9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E3A0A" w:rsidRPr="007A6291" w:rsidRDefault="001E3A0A" w:rsidP="003B7312">
      <w:pPr>
        <w:pStyle w:val="af6"/>
        <w:rPr>
          <w:b w:val="0"/>
          <w:color w:val="000000" w:themeColor="text1"/>
        </w:rPr>
      </w:pPr>
      <w:r w:rsidRPr="007A6291">
        <w:rPr>
          <w:b w:val="0"/>
          <w:color w:val="000000" w:themeColor="text1"/>
        </w:rPr>
        <w:t xml:space="preserve">Рис. </w:t>
      </w:r>
      <w:r w:rsidR="007D0094" w:rsidRPr="007A6291">
        <w:rPr>
          <w:b w:val="0"/>
          <w:color w:val="000000" w:themeColor="text1"/>
        </w:rPr>
        <w:t>П3</w:t>
      </w:r>
      <w:r w:rsidRPr="007A6291">
        <w:rPr>
          <w:b w:val="0"/>
          <w:color w:val="000000" w:themeColor="text1"/>
        </w:rPr>
        <w:t xml:space="preserve">. Расходы конечных потребителей электроэнергии (с учетом налогов) в странах ЕС-27, </w:t>
      </w:r>
      <w:r w:rsidRPr="007A6291">
        <w:rPr>
          <w:b w:val="0"/>
          <w:color w:val="000000" w:themeColor="text1"/>
          <w:lang w:val="en-US"/>
        </w:rPr>
        <w:t>OECD</w:t>
      </w:r>
      <w:r w:rsidRPr="007A6291">
        <w:rPr>
          <w:b w:val="0"/>
          <w:color w:val="000000" w:themeColor="text1"/>
        </w:rPr>
        <w:t xml:space="preserve">  и России в доле ВВП этих стран в 2011 г. (Болгария, Чехия и Россия-2012 г.) </w:t>
      </w:r>
    </w:p>
    <w:p w:rsidR="001E3A0A" w:rsidRDefault="001E3A0A" w:rsidP="003B7312">
      <w:pPr>
        <w:ind w:firstLine="851"/>
        <w:jc w:val="both"/>
      </w:pPr>
      <w:r>
        <w:t xml:space="preserve">Видно, что самые высокие расходы в Болгарии – 5,75% ВВП(2012г.), где в начале 2013 г. </w:t>
      </w:r>
      <w:r w:rsidR="00EC5084">
        <w:t>П</w:t>
      </w:r>
      <w:r>
        <w:t xml:space="preserve">равительство ушло в отставку из-за волнений населения, вызванных высокой стоимостью электроэнергии. Произошел коллапс экономики Болгарии.  Далее - Чехия, Словакия, Россия (2013-2014 гг.) и Венгрия, у которых доли этих расходов в ВВП равны, соответственно, 5,19% (2011 г.), 5,13% (2012 г.),  4,92%, 4,85% (Россия 2013-2014 гг.) и 4,66% (Россия 2012г.). </w:t>
      </w:r>
      <w:r w:rsidR="00EC5084">
        <w:t xml:space="preserve">Расходы конечных потребителей электроэнергии в доле ВВП в Германии составляет 3,17%, в </w:t>
      </w:r>
      <w:r>
        <w:t>США</w:t>
      </w:r>
      <w:r w:rsidR="00EC5084">
        <w:t xml:space="preserve"> – </w:t>
      </w:r>
      <w:r>
        <w:t>2,49%</w:t>
      </w:r>
      <w:r w:rsidR="00EC5084">
        <w:t>, или ниже российских, соответственно, на 32% и 47%.</w:t>
      </w:r>
      <w:r w:rsidRPr="00FD3951">
        <w:t xml:space="preserve"> Данный факт показывает, что цена электроэнергии для конечных потребителей в России существенно завышена,</w:t>
      </w:r>
      <w:r>
        <w:t xml:space="preserve"> если учитывать объем и структуру ее ВВП. Для того чтобы расходы конечных потребителей электроэнергии в </w:t>
      </w:r>
      <w:r w:rsidRPr="000948A2">
        <w:t>России</w:t>
      </w:r>
      <w:r>
        <w:t xml:space="preserve"> соответствовали уровню Германии необходимо снизить цену электроэнергии для конечных потребителей </w:t>
      </w:r>
      <w:r w:rsidRPr="00937FA0">
        <w:rPr>
          <w:b/>
        </w:rPr>
        <w:t>на 3</w:t>
      </w:r>
      <w:r w:rsidR="009C42E4">
        <w:rPr>
          <w:b/>
        </w:rPr>
        <w:t>2</w:t>
      </w:r>
      <w:r w:rsidRPr="00937FA0">
        <w:rPr>
          <w:b/>
        </w:rPr>
        <w:t>%.</w:t>
      </w:r>
    </w:p>
    <w:p w:rsidR="001E3A0A" w:rsidRDefault="001E3A0A" w:rsidP="003B7312">
      <w:pPr>
        <w:jc w:val="both"/>
      </w:pPr>
      <w:r>
        <w:t xml:space="preserve">Скандинавские страны, Канада и Южная Корея имеют самые высокие удельные электрозатраты ВВП среди стран ЕС и </w:t>
      </w:r>
      <w:r>
        <w:rPr>
          <w:lang w:val="en-US"/>
        </w:rPr>
        <w:t>OECD</w:t>
      </w:r>
      <w:r w:rsidR="000948A2">
        <w:t>, и выше, чем в России</w:t>
      </w:r>
      <w:r>
        <w:t xml:space="preserve"> (рис. </w:t>
      </w:r>
      <w:r w:rsidR="003C19C1">
        <w:t>П2</w:t>
      </w:r>
      <w:r>
        <w:t xml:space="preserve">) – более холодные климатические условия (за исключением Южной Кореи) и высокая доля электропотребления промышленностью в общем электропотреблении в стране, соответственно, высокий вклад промышленной продукции  и в ВВП (см. рис. 3). Однако расходы конечных потребителей электроэнергии в этих странах в доле ВВП достаточно умеренные и </w:t>
      </w:r>
      <w:r w:rsidR="000948A2">
        <w:t>заметно</w:t>
      </w:r>
      <w:r>
        <w:t xml:space="preserve"> ниже, чем в России. </w:t>
      </w:r>
    </w:p>
    <w:p w:rsidR="001E3A0A" w:rsidRPr="00273739" w:rsidRDefault="007D0094" w:rsidP="003B7312">
      <w:pPr>
        <w:pStyle w:val="3"/>
        <w:jc w:val="both"/>
      </w:pPr>
      <w:bookmarkStart w:id="106" w:name="_Toc370759806"/>
      <w:bookmarkStart w:id="107" w:name="_Toc374557812"/>
      <w:r>
        <w:t>П2.2.</w:t>
      </w:r>
      <w:r w:rsidR="001E3A0A">
        <w:t xml:space="preserve"> Затраты на электроэнергию, (включая все налоги), для промышленных потребителей в России, странах ЕС-27, </w:t>
      </w:r>
      <w:r w:rsidR="001E3A0A">
        <w:rPr>
          <w:lang w:val="en-US"/>
        </w:rPr>
        <w:t>OECD</w:t>
      </w:r>
      <w:bookmarkEnd w:id="106"/>
      <w:bookmarkEnd w:id="107"/>
      <w:r w:rsidR="001E3A0A" w:rsidRPr="00273739">
        <w:t xml:space="preserve"> </w:t>
      </w:r>
    </w:p>
    <w:p w:rsidR="001E3A0A" w:rsidRDefault="001E3A0A" w:rsidP="003B7312">
      <w:pPr>
        <w:ind w:firstLine="851"/>
        <w:jc w:val="both"/>
      </w:pPr>
    </w:p>
    <w:p w:rsidR="001E3A0A" w:rsidRDefault="001E3A0A" w:rsidP="003B7312">
      <w:pPr>
        <w:ind w:firstLine="851"/>
        <w:jc w:val="both"/>
      </w:pPr>
      <w:r>
        <w:t xml:space="preserve">На рис. </w:t>
      </w:r>
      <w:r w:rsidR="003C19C1">
        <w:t>П4</w:t>
      </w:r>
      <w:r>
        <w:t xml:space="preserve"> показана доля электропотребления промышленностью в общем объеме электропотребления в</w:t>
      </w:r>
      <w:r w:rsidR="003C19C1">
        <w:t xml:space="preserve"> России,</w:t>
      </w:r>
      <w:r>
        <w:t xml:space="preserve"> странах ЕС, </w:t>
      </w:r>
      <w:r>
        <w:rPr>
          <w:lang w:val="en-US"/>
        </w:rPr>
        <w:t>OECD</w:t>
      </w:r>
      <w:r>
        <w:t xml:space="preserve"> в 2011г. Видно, что самую высокую долю занимает промышленность России (62,8%), а далее - Люксембург (54,5%), Южная Корея (52,2%) и Финляндия (49,3%). </w:t>
      </w:r>
    </w:p>
    <w:p w:rsidR="003C19C1" w:rsidRDefault="003C19C1" w:rsidP="003B7312">
      <w:pPr>
        <w:ind w:firstLine="851"/>
        <w:jc w:val="both"/>
      </w:pPr>
    </w:p>
    <w:p w:rsidR="001E3A0A" w:rsidRDefault="007C1ADE" w:rsidP="003B7312">
      <w:pPr>
        <w:keepNext/>
        <w:jc w:val="both"/>
      </w:pPr>
      <w:r>
        <w:rPr>
          <w:noProof/>
        </w:rPr>
        <w:drawing>
          <wp:inline distT="0" distB="0" distL="0" distR="0">
            <wp:extent cx="5958848" cy="4070604"/>
            <wp:effectExtent l="10662" t="6096" r="2665" b="0"/>
            <wp:docPr id="9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E3A0A" w:rsidRPr="007A6291" w:rsidRDefault="001E3A0A" w:rsidP="001E3A0A">
      <w:pPr>
        <w:pStyle w:val="af6"/>
        <w:rPr>
          <w:b w:val="0"/>
          <w:color w:val="000000" w:themeColor="text1"/>
        </w:rPr>
      </w:pPr>
      <w:r w:rsidRPr="007A6291">
        <w:rPr>
          <w:b w:val="0"/>
          <w:color w:val="000000" w:themeColor="text1"/>
        </w:rPr>
        <w:t xml:space="preserve">Рис. </w:t>
      </w:r>
      <w:r w:rsidR="007D0094" w:rsidRPr="007A6291">
        <w:rPr>
          <w:b w:val="0"/>
          <w:color w:val="000000" w:themeColor="text1"/>
        </w:rPr>
        <w:t>П4</w:t>
      </w:r>
      <w:r w:rsidRPr="007A6291">
        <w:rPr>
          <w:b w:val="0"/>
          <w:color w:val="000000" w:themeColor="text1"/>
        </w:rPr>
        <w:t xml:space="preserve">. Доля электропотребления промышленностью в общем объеме электропотребления в России (2011г.), странах ЕС-27, </w:t>
      </w:r>
      <w:r w:rsidRPr="007A6291">
        <w:rPr>
          <w:b w:val="0"/>
          <w:color w:val="000000" w:themeColor="text1"/>
          <w:lang w:val="en-US"/>
        </w:rPr>
        <w:t>OECD</w:t>
      </w:r>
      <w:r w:rsidRPr="007A6291">
        <w:rPr>
          <w:b w:val="0"/>
          <w:color w:val="000000" w:themeColor="text1"/>
        </w:rPr>
        <w:t>.</w:t>
      </w:r>
    </w:p>
    <w:p w:rsidR="001E3A0A" w:rsidRDefault="001E3A0A" w:rsidP="003B7312">
      <w:pPr>
        <w:ind w:firstLine="851"/>
        <w:jc w:val="both"/>
      </w:pPr>
      <w:r>
        <w:t>Для сравнения затрат на электроэнергию промышленностью в различных странах рассмотрим</w:t>
      </w:r>
      <w:r w:rsidR="009537D1">
        <w:t xml:space="preserve"> эти затраты</w:t>
      </w:r>
      <w:r>
        <w:t xml:space="preserve"> в долях ВВП в расчете на 1% потребления</w:t>
      </w:r>
      <w:r w:rsidR="009537D1">
        <w:t xml:space="preserve"> промышленностью</w:t>
      </w:r>
      <w:r>
        <w:t xml:space="preserve"> от общего электропотребления в стране, т.е. сравним удельные затраты на электроэнергию, которые несет промышленность различных стран. </w:t>
      </w:r>
    </w:p>
    <w:p w:rsidR="001E3A0A" w:rsidRDefault="001E3A0A" w:rsidP="003B7312">
      <w:pPr>
        <w:ind w:firstLine="851"/>
        <w:jc w:val="both"/>
      </w:pPr>
      <w:r>
        <w:t xml:space="preserve">На рис. </w:t>
      </w:r>
      <w:r w:rsidR="009537D1">
        <w:t>П4</w:t>
      </w:r>
      <w:r>
        <w:t xml:space="preserve"> показаны эти удельные </w:t>
      </w:r>
      <w:r w:rsidRPr="00463357">
        <w:t>затраты в России</w:t>
      </w:r>
      <w:r>
        <w:t xml:space="preserve">, странах ЕС-27, </w:t>
      </w:r>
      <w:r>
        <w:rPr>
          <w:lang w:val="en-US"/>
        </w:rPr>
        <w:t>OECD</w:t>
      </w:r>
      <w:r>
        <w:t xml:space="preserve"> в 2011г. Видно, что самые высокие относительные удельные затраты</w:t>
      </w:r>
      <w:r w:rsidR="009537D1">
        <w:t xml:space="preserve"> на электроэнергию</w:t>
      </w:r>
      <w:r>
        <w:t xml:space="preserve"> </w:t>
      </w:r>
      <w:r w:rsidR="009537D1">
        <w:t>несет промышленность</w:t>
      </w:r>
      <w:r>
        <w:t xml:space="preserve"> Болгари</w:t>
      </w:r>
      <w:r w:rsidR="009537D1">
        <w:t xml:space="preserve">и </w:t>
      </w:r>
      <w:r>
        <w:t>(0,112% ВВП)</w:t>
      </w:r>
      <w:r w:rsidR="00EF7500">
        <w:t>. Как уже отмечалось выше, в Болгарии произошел коллапс экономики из-за сверхвысоких цен на электроэнергию. Д</w:t>
      </w:r>
      <w:r>
        <w:t xml:space="preserve">алее России (0,061% - в период 01.07.2013 – 31.06.2014 гг.; 0,059% - в 2012 г. и 0,057% ВВП в 2011 г.), Чехия (0,047% – в 2012 г. и 0,049% ВВП – в 2011 г.). </w:t>
      </w:r>
    </w:p>
    <w:p w:rsidR="001E3A0A" w:rsidRDefault="007C1ADE" w:rsidP="003B7312">
      <w:pPr>
        <w:keepNext/>
        <w:jc w:val="both"/>
      </w:pPr>
      <w:r>
        <w:rPr>
          <w:noProof/>
        </w:rPr>
        <w:drawing>
          <wp:inline distT="0" distB="0" distL="0" distR="0">
            <wp:extent cx="6089790" cy="3504566"/>
            <wp:effectExtent l="10490" t="5243" r="5245" b="4916"/>
            <wp:docPr id="10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E3A0A" w:rsidRPr="007A6291" w:rsidRDefault="001E3A0A" w:rsidP="001E3A0A">
      <w:pPr>
        <w:pStyle w:val="af6"/>
        <w:rPr>
          <w:b w:val="0"/>
          <w:color w:val="000000" w:themeColor="text1"/>
        </w:rPr>
      </w:pPr>
      <w:r w:rsidRPr="007A6291">
        <w:rPr>
          <w:b w:val="0"/>
          <w:color w:val="000000" w:themeColor="text1"/>
        </w:rPr>
        <w:t xml:space="preserve">Рис. </w:t>
      </w:r>
      <w:r w:rsidR="007D0094" w:rsidRPr="007A6291">
        <w:rPr>
          <w:b w:val="0"/>
          <w:color w:val="000000" w:themeColor="text1"/>
        </w:rPr>
        <w:t>П5</w:t>
      </w:r>
      <w:r w:rsidRPr="007A6291">
        <w:rPr>
          <w:b w:val="0"/>
          <w:color w:val="000000" w:themeColor="text1"/>
        </w:rPr>
        <w:t>. Удельные затраты</w:t>
      </w:r>
      <w:r w:rsidR="00FE5698" w:rsidRPr="007A6291">
        <w:rPr>
          <w:b w:val="0"/>
          <w:color w:val="000000" w:themeColor="text1"/>
        </w:rPr>
        <w:t xml:space="preserve"> промышленностью</w:t>
      </w:r>
      <w:r w:rsidRPr="007A6291">
        <w:rPr>
          <w:b w:val="0"/>
          <w:color w:val="000000" w:themeColor="text1"/>
        </w:rPr>
        <w:t xml:space="preserve"> на электроэнергию в долях ВВП (включая все налоги), приходящиеся на 1% электропотребления от общего электропотребления в России и в странах ЕС-27, </w:t>
      </w:r>
      <w:r w:rsidRPr="007A6291">
        <w:rPr>
          <w:b w:val="0"/>
          <w:color w:val="000000" w:themeColor="text1"/>
          <w:lang w:val="en-US"/>
        </w:rPr>
        <w:t>OECD</w:t>
      </w:r>
      <w:r w:rsidRPr="007A6291">
        <w:rPr>
          <w:b w:val="0"/>
          <w:color w:val="000000" w:themeColor="text1"/>
        </w:rPr>
        <w:t xml:space="preserve"> 2011 г.</w:t>
      </w:r>
    </w:p>
    <w:p w:rsidR="001E3A0A" w:rsidRDefault="001E3A0A" w:rsidP="003B7312">
      <w:pPr>
        <w:ind w:firstLine="851"/>
        <w:jc w:val="both"/>
      </w:pPr>
      <w:r>
        <w:t xml:space="preserve">Видно, что </w:t>
      </w:r>
      <w:r w:rsidRPr="009D2B97">
        <w:t>в Р</w:t>
      </w:r>
      <w:r>
        <w:t xml:space="preserve">оссии удельные затраты на электроэнергию в долях ВВП в промышленности в  2-3 раза выше, чем в странах с развитой экономикой  и богатых странах (группы </w:t>
      </w:r>
      <w:r>
        <w:rPr>
          <w:lang w:val="en-US"/>
        </w:rPr>
        <w:t>IV</w:t>
      </w:r>
      <w:r w:rsidRPr="00D05184">
        <w:t xml:space="preserve"> </w:t>
      </w:r>
      <w:r>
        <w:t xml:space="preserve">и </w:t>
      </w:r>
      <w:r>
        <w:rPr>
          <w:lang w:val="en-US"/>
        </w:rPr>
        <w:t>V</w:t>
      </w:r>
      <w:r w:rsidRPr="00D05184">
        <w:t>)</w:t>
      </w:r>
      <w:r>
        <w:t>,</w:t>
      </w:r>
      <w:r w:rsidRPr="00D05184">
        <w:t xml:space="preserve"> </w:t>
      </w:r>
      <w:r>
        <w:t xml:space="preserve">(см. рис., Глава 1). Например, </w:t>
      </w:r>
      <w:r w:rsidR="008C1615">
        <w:t xml:space="preserve">по сравнению с </w:t>
      </w:r>
      <w:r>
        <w:t xml:space="preserve"> Германи</w:t>
      </w:r>
      <w:r w:rsidR="008C1615">
        <w:t>ей (0,024%)</w:t>
      </w:r>
      <w:r>
        <w:t xml:space="preserve"> и США</w:t>
      </w:r>
      <w:r w:rsidR="008C1615">
        <w:t xml:space="preserve"> (0,018%) в России (0,059%) эти </w:t>
      </w:r>
      <w:r w:rsidR="00F61145">
        <w:t>затраты</w:t>
      </w:r>
      <w:r w:rsidR="008C1615">
        <w:t xml:space="preserve"> выше </w:t>
      </w:r>
      <w:r>
        <w:t xml:space="preserve"> </w:t>
      </w:r>
      <w:r w:rsidR="008C1615">
        <w:t xml:space="preserve">в 2,5 и 3,4 раза, соответственно. </w:t>
      </w:r>
      <w:r>
        <w:t xml:space="preserve"> </w:t>
      </w:r>
    </w:p>
    <w:p w:rsidR="001E3A0A" w:rsidRDefault="007D0094" w:rsidP="003B7312">
      <w:pPr>
        <w:pStyle w:val="3"/>
        <w:jc w:val="both"/>
      </w:pPr>
      <w:bookmarkStart w:id="108" w:name="_Toc370759807"/>
      <w:bookmarkStart w:id="109" w:name="_Toc374557813"/>
      <w:r>
        <w:t xml:space="preserve">П2.3. </w:t>
      </w:r>
      <w:r w:rsidR="001E3A0A">
        <w:t xml:space="preserve">Затраты населения на электроэнергию (с учетом всех налогов) в России, странах ЕС-27, </w:t>
      </w:r>
      <w:r w:rsidR="001E3A0A">
        <w:rPr>
          <w:lang w:val="en-US"/>
        </w:rPr>
        <w:t>OECD</w:t>
      </w:r>
      <w:r w:rsidR="00F61145">
        <w:t>.</w:t>
      </w:r>
      <w:bookmarkEnd w:id="108"/>
      <w:bookmarkEnd w:id="109"/>
      <w:r w:rsidR="00F61145">
        <w:t xml:space="preserve"> </w:t>
      </w:r>
      <w:r w:rsidR="001E3A0A">
        <w:t xml:space="preserve"> </w:t>
      </w:r>
    </w:p>
    <w:p w:rsidR="001E3A0A" w:rsidRDefault="001E3A0A" w:rsidP="003B7312">
      <w:pPr>
        <w:ind w:firstLine="851"/>
        <w:jc w:val="both"/>
      </w:pPr>
      <w:r>
        <w:t xml:space="preserve">Сначала сравним долю  электропотребления населения в общем </w:t>
      </w:r>
      <w:r w:rsidR="00A24D9E">
        <w:t>объеме электропотребления в год</w:t>
      </w:r>
      <w:r>
        <w:t xml:space="preserve"> (рис.</w:t>
      </w:r>
      <w:r w:rsidR="00A24D9E">
        <w:t xml:space="preserve"> </w:t>
      </w:r>
      <w:r w:rsidR="00F61145">
        <w:t>П6</w:t>
      </w:r>
      <w:r>
        <w:t>). Для этого сначала сравним долю электропотребления населения  в общем объеме электропотребления в год (рис. 5).</w:t>
      </w:r>
    </w:p>
    <w:p w:rsidR="001E3A0A" w:rsidRDefault="007C1ADE" w:rsidP="00A24D9E">
      <w:pPr>
        <w:keepNext/>
        <w:ind w:left="-284"/>
      </w:pPr>
      <w:r>
        <w:rPr>
          <w:noProof/>
        </w:rPr>
        <w:drawing>
          <wp:inline distT="0" distB="0" distL="0" distR="0">
            <wp:extent cx="6086053" cy="3802850"/>
            <wp:effectExtent l="12060" t="6021" r="7412" b="1129"/>
            <wp:docPr id="101"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E3A0A" w:rsidRPr="007A6291" w:rsidRDefault="001E3A0A" w:rsidP="001E3A0A">
      <w:pPr>
        <w:pStyle w:val="af6"/>
        <w:rPr>
          <w:b w:val="0"/>
          <w:color w:val="000000" w:themeColor="text1"/>
        </w:rPr>
      </w:pPr>
      <w:r w:rsidRPr="007A6291">
        <w:rPr>
          <w:b w:val="0"/>
          <w:color w:val="000000" w:themeColor="text1"/>
        </w:rPr>
        <w:t xml:space="preserve">Рис. </w:t>
      </w:r>
      <w:r w:rsidR="00F61145" w:rsidRPr="007A6291">
        <w:rPr>
          <w:b w:val="0"/>
          <w:color w:val="000000" w:themeColor="text1"/>
        </w:rPr>
        <w:t>П6</w:t>
      </w:r>
      <w:r w:rsidRPr="007A6291">
        <w:rPr>
          <w:b w:val="0"/>
          <w:color w:val="000000" w:themeColor="text1"/>
        </w:rPr>
        <w:t xml:space="preserve">. Доля электропотребления населения в общем объеме электропотребления в России, странах </w:t>
      </w:r>
      <w:r w:rsidRPr="007A6291">
        <w:rPr>
          <w:b w:val="0"/>
          <w:color w:val="000000" w:themeColor="text1"/>
          <w:lang w:val="en-US"/>
        </w:rPr>
        <w:t>OECD</w:t>
      </w:r>
      <w:r w:rsidRPr="007A6291">
        <w:rPr>
          <w:b w:val="0"/>
          <w:color w:val="000000" w:themeColor="text1"/>
        </w:rPr>
        <w:t xml:space="preserve"> </w:t>
      </w:r>
      <w:r w:rsidRPr="007A6291">
        <w:rPr>
          <w:b w:val="0"/>
          <w:color w:val="000000" w:themeColor="text1"/>
          <w:lang w:val="en-US"/>
        </w:rPr>
        <w:t>Europe</w:t>
      </w:r>
      <w:r w:rsidRPr="007A6291">
        <w:rPr>
          <w:b w:val="0"/>
          <w:color w:val="000000" w:themeColor="text1"/>
        </w:rPr>
        <w:t xml:space="preserve"> (ЕС-27) в 2011 г.</w:t>
      </w:r>
    </w:p>
    <w:p w:rsidR="001E3A0A" w:rsidRDefault="001E3A0A" w:rsidP="003B7312">
      <w:pPr>
        <w:ind w:firstLine="709"/>
        <w:jc w:val="both"/>
      </w:pPr>
      <w:r>
        <w:t>Видно, что самая высокая доля электропотребления населения имеет место в Великобритании, далее – США, Франция</w:t>
      </w:r>
      <w:r w:rsidRPr="00ED70B4">
        <w:t>. В России</w:t>
      </w:r>
      <w:r>
        <w:t xml:space="preserve"> эта доля (24,2) близка к Германии (26%), Бельгии (23,5%) и Польше (23%). Среди рассматриваемых стран самая низкая доля электропотребления населения в России – всего 12,5%. </w:t>
      </w:r>
    </w:p>
    <w:p w:rsidR="001E3A0A" w:rsidRDefault="001E3A0A" w:rsidP="003B7312">
      <w:pPr>
        <w:ind w:firstLine="709"/>
        <w:jc w:val="both"/>
      </w:pPr>
      <w:r>
        <w:t>Однако, для сопоставления затрат населения на электроэнергию в различных странах надо представить эти затраты в удельных показателях, а именно в долях от среднедушевого дохода населения в год в каждой стране (см. Общая часть). Собственно среднее подушевое электропотребление в год в различных странах определяется как объем конечного электропотребления домашних хозяйств в год, отнесенное к численности населения в стране (рис. 6). Сами расходы населения на электроэнергию в год равны произведению объема электропотребления домашних хозяйств в год на среднюю цену электроэнергии для домашних хозяйств в этом году. Удельные расходы населения на электроэнергию  - это расходы, приходящиеся на 1 человека в год.</w:t>
      </w:r>
    </w:p>
    <w:p w:rsidR="001E3A0A" w:rsidRDefault="007C1ADE" w:rsidP="001E3A0A">
      <w:pPr>
        <w:keepNext/>
        <w:ind w:hanging="1134"/>
      </w:pPr>
      <w:r>
        <w:rPr>
          <w:noProof/>
        </w:rPr>
        <w:drawing>
          <wp:inline distT="0" distB="0" distL="0" distR="0">
            <wp:extent cx="6983984" cy="4080129"/>
            <wp:effectExtent l="12192" t="6096" r="4699" b="0"/>
            <wp:docPr id="102"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E3A0A" w:rsidRPr="007A6291" w:rsidRDefault="001E3A0A" w:rsidP="001E3A0A">
      <w:pPr>
        <w:pStyle w:val="af6"/>
        <w:rPr>
          <w:b w:val="0"/>
          <w:color w:val="000000" w:themeColor="text1"/>
        </w:rPr>
      </w:pPr>
      <w:r w:rsidRPr="007A6291">
        <w:rPr>
          <w:b w:val="0"/>
          <w:color w:val="000000" w:themeColor="text1"/>
        </w:rPr>
        <w:t xml:space="preserve">Рис. </w:t>
      </w:r>
      <w:r w:rsidR="00901B6F" w:rsidRPr="007A6291">
        <w:rPr>
          <w:b w:val="0"/>
          <w:color w:val="000000" w:themeColor="text1"/>
        </w:rPr>
        <w:t>П</w:t>
      </w:r>
      <w:r w:rsidR="007A6291" w:rsidRPr="007A6291">
        <w:rPr>
          <w:b w:val="0"/>
          <w:color w:val="000000" w:themeColor="text1"/>
        </w:rPr>
        <w:t xml:space="preserve"> </w:t>
      </w:r>
      <w:r w:rsidR="00901B6F" w:rsidRPr="007A6291">
        <w:rPr>
          <w:b w:val="0"/>
          <w:color w:val="000000" w:themeColor="text1"/>
        </w:rPr>
        <w:t>7</w:t>
      </w:r>
      <w:r w:rsidRPr="007A6291">
        <w:rPr>
          <w:b w:val="0"/>
          <w:color w:val="000000" w:themeColor="text1"/>
        </w:rPr>
        <w:t xml:space="preserve">. Среднедушевое электропотребление в </w:t>
      </w:r>
      <w:r w:rsidR="00901B6F" w:rsidRPr="007A6291">
        <w:rPr>
          <w:b w:val="0"/>
          <w:color w:val="000000" w:themeColor="text1"/>
        </w:rPr>
        <w:t>России</w:t>
      </w:r>
      <w:r w:rsidRPr="007A6291">
        <w:rPr>
          <w:b w:val="0"/>
          <w:color w:val="000000" w:themeColor="text1"/>
        </w:rPr>
        <w:t xml:space="preserve">, странах ЕС-27, </w:t>
      </w:r>
      <w:r w:rsidRPr="007A6291">
        <w:rPr>
          <w:b w:val="0"/>
          <w:color w:val="000000" w:themeColor="text1"/>
          <w:lang w:val="en-US"/>
        </w:rPr>
        <w:t>OECD</w:t>
      </w:r>
      <w:r w:rsidR="00901B6F" w:rsidRPr="007A6291">
        <w:rPr>
          <w:b w:val="0"/>
          <w:color w:val="000000" w:themeColor="text1"/>
        </w:rPr>
        <w:t xml:space="preserve"> </w:t>
      </w:r>
      <w:r w:rsidRPr="007A6291">
        <w:rPr>
          <w:b w:val="0"/>
          <w:color w:val="000000" w:themeColor="text1"/>
        </w:rPr>
        <w:t>в 2011 г.</w:t>
      </w:r>
    </w:p>
    <w:p w:rsidR="001E3A0A" w:rsidRDefault="001E3A0A" w:rsidP="003B7312">
      <w:pPr>
        <w:ind w:firstLine="851"/>
        <w:jc w:val="both"/>
      </w:pPr>
      <w:r>
        <w:t>Видно, что самое высокое среднедушевое электропотребление имеет место в Норвегии 7350 кВт.ч, далее идут США (4590 кВт.ч) и северные страны - Канада, Швеция и Финляндия.  Самый низкий уровень среднедушевого электропотребления в Турции 620 кВт.ч. Россия находится на 4 м месте с конца. Вообще говоря, величина  среднедушевого электропотребления  в год является</w:t>
      </w:r>
      <w:r w:rsidR="00901B6F">
        <w:t xml:space="preserve"> одним из</w:t>
      </w:r>
      <w:r>
        <w:t xml:space="preserve"> индикаторо</w:t>
      </w:r>
      <w:r w:rsidR="00901B6F">
        <w:t>в</w:t>
      </w:r>
      <w:r>
        <w:t xml:space="preserve"> уровня </w:t>
      </w:r>
      <w:r w:rsidR="00901B6F">
        <w:t>благосостояния населения</w:t>
      </w:r>
      <w:r>
        <w:t xml:space="preserve"> страны</w:t>
      </w:r>
      <w:r w:rsidR="00901B6F">
        <w:t xml:space="preserve">, а, следовательно, </w:t>
      </w:r>
      <w:r w:rsidR="00A85C28">
        <w:t xml:space="preserve">ее </w:t>
      </w:r>
      <w:r w:rsidR="00901B6F">
        <w:t>экономического развития</w:t>
      </w:r>
      <w:r>
        <w:t>.</w:t>
      </w:r>
    </w:p>
    <w:p w:rsidR="001E3A0A" w:rsidRDefault="001E3A0A" w:rsidP="00901B6F">
      <w:pPr>
        <w:ind w:firstLine="851"/>
      </w:pPr>
      <w:r>
        <w:t xml:space="preserve"> </w:t>
      </w:r>
    </w:p>
    <w:p w:rsidR="001E3A0A" w:rsidRDefault="007C1ADE" w:rsidP="001E3A0A">
      <w:pPr>
        <w:ind w:left="-993"/>
      </w:pPr>
      <w:r>
        <w:rPr>
          <w:noProof/>
        </w:rPr>
        <w:drawing>
          <wp:inline distT="0" distB="0" distL="0" distR="0">
            <wp:extent cx="7088124" cy="3693033"/>
            <wp:effectExtent l="12192" t="12192" r="5334" b="0"/>
            <wp:docPr id="103"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E3A0A" w:rsidRPr="007A6291" w:rsidRDefault="001E3A0A" w:rsidP="001E3A0A">
      <w:pPr>
        <w:pStyle w:val="af6"/>
        <w:rPr>
          <w:b w:val="0"/>
          <w:color w:val="000000" w:themeColor="text1"/>
        </w:rPr>
      </w:pPr>
      <w:r w:rsidRPr="007A6291">
        <w:rPr>
          <w:b w:val="0"/>
          <w:color w:val="000000" w:themeColor="text1"/>
        </w:rPr>
        <w:t xml:space="preserve">Рис. </w:t>
      </w:r>
      <w:r w:rsidR="00901B6F" w:rsidRPr="007A6291">
        <w:rPr>
          <w:b w:val="0"/>
          <w:color w:val="000000" w:themeColor="text1"/>
        </w:rPr>
        <w:t>П8</w:t>
      </w:r>
      <w:r w:rsidRPr="007A6291">
        <w:rPr>
          <w:b w:val="0"/>
          <w:color w:val="000000" w:themeColor="text1"/>
        </w:rPr>
        <w:t xml:space="preserve">. Доля затрат на электроэнергию (включая все налоги) в среднедушевых доходах населения в </w:t>
      </w:r>
      <w:r w:rsidR="00901B6F" w:rsidRPr="007A6291">
        <w:rPr>
          <w:b w:val="0"/>
          <w:color w:val="000000" w:themeColor="text1"/>
        </w:rPr>
        <w:t>России</w:t>
      </w:r>
      <w:r w:rsidRPr="007A6291">
        <w:rPr>
          <w:b w:val="0"/>
          <w:color w:val="000000" w:themeColor="text1"/>
        </w:rPr>
        <w:t xml:space="preserve">, странах ЕС-27, </w:t>
      </w:r>
      <w:r w:rsidRPr="007A6291">
        <w:rPr>
          <w:b w:val="0"/>
          <w:color w:val="000000" w:themeColor="text1"/>
          <w:lang w:val="en-US"/>
        </w:rPr>
        <w:t>OECD</w:t>
      </w:r>
      <w:r w:rsidRPr="007A6291">
        <w:rPr>
          <w:b w:val="0"/>
          <w:color w:val="000000" w:themeColor="text1"/>
        </w:rPr>
        <w:t xml:space="preserve"> в 2011 г.</w:t>
      </w:r>
    </w:p>
    <w:p w:rsidR="00343764" w:rsidRDefault="00343764" w:rsidP="001E3A0A"/>
    <w:p w:rsidR="00892C6D" w:rsidRDefault="00343764" w:rsidP="003B7312">
      <w:pPr>
        <w:ind w:firstLine="851"/>
        <w:jc w:val="both"/>
      </w:pPr>
      <w:r>
        <w:t>Видно, что в России доля затрат населения на электроэнергию, включая все налоги, в их среднедушевых доходах, невысока, всего около 1%. Однако, применительно к нашей стране, правильнее считать совместные затраты домашних хозяйств и на электроэнергию, и на тепло</w:t>
      </w:r>
      <w:r w:rsidR="00330DD1">
        <w:t xml:space="preserve">. </w:t>
      </w:r>
      <w:r w:rsidR="00330DD1" w:rsidRPr="00330DD1">
        <w:t xml:space="preserve"> </w:t>
      </w:r>
      <w:r w:rsidR="00330DD1">
        <w:t xml:space="preserve">В среднем, доля затрат </w:t>
      </w:r>
      <w:r w:rsidR="00A3024D">
        <w:t>на электроэнергию в общих затрат</w:t>
      </w:r>
      <w:r w:rsidR="00330DD1">
        <w:t xml:space="preserve">ах домашних хозяйств на электроэнергию и тепло составляют 25%. С учетом затрат на тепло в период 01.07.2013 г.-30.08.2014 г.  Россия </w:t>
      </w:r>
      <w:r w:rsidR="00892C6D">
        <w:t>переходит</w:t>
      </w:r>
      <w:r w:rsidR="00330DD1">
        <w:t xml:space="preserve"> уже </w:t>
      </w:r>
      <w:r w:rsidR="00892C6D" w:rsidRPr="00892C6D">
        <w:t>на перво</w:t>
      </w:r>
      <w:r w:rsidR="00892C6D">
        <w:t>е</w:t>
      </w:r>
      <w:r w:rsidR="00892C6D" w:rsidRPr="00892C6D">
        <w:t xml:space="preserve"> </w:t>
      </w:r>
      <w:r w:rsidR="00330DD1" w:rsidRPr="00892C6D">
        <w:t>мест</w:t>
      </w:r>
      <w:r w:rsidR="00892C6D">
        <w:t xml:space="preserve">о. </w:t>
      </w:r>
    </w:p>
    <w:p w:rsidR="001E3A0A" w:rsidRDefault="000C4241" w:rsidP="003B7312">
      <w:pPr>
        <w:ind w:firstLine="851"/>
        <w:jc w:val="both"/>
      </w:pPr>
      <w:r>
        <w:t xml:space="preserve">Проведенное сопоставление показывает, что </w:t>
      </w:r>
      <w:r w:rsidR="001E3A0A">
        <w:t xml:space="preserve"> важнейшей стратегической задачей </w:t>
      </w:r>
      <w:r>
        <w:t>экономического</w:t>
      </w:r>
      <w:r w:rsidR="001E3A0A">
        <w:t xml:space="preserve"> развития</w:t>
      </w:r>
      <w:r>
        <w:t xml:space="preserve"> России</w:t>
      </w:r>
      <w:r w:rsidR="001E3A0A">
        <w:t xml:space="preserve"> на среднесрочную перспективу должно быть как повышение ее электроэффективности (снижение удельных электрозатрат ВВП), так и снижение цены электроэнергии для конечных потребителей. Удельные электрозатраты ВВП должны быть снижены, а цена электроэнергии </w:t>
      </w:r>
      <w:r>
        <w:t xml:space="preserve">уменьшена </w:t>
      </w:r>
      <w:r w:rsidR="001E3A0A">
        <w:t>до такого уровня, чтобы  расходы конечных потребителей  электроэнергии (включая все налоги) в доле ВВП равнялись среднему уровню в ЕС-27. Сохранение же существующего уровня цен на электроэнергию  будет вызывать стагнацию или даже спад в экономическом развитии страны.</w:t>
      </w:r>
    </w:p>
    <w:p w:rsidR="001E3A0A" w:rsidRDefault="001E3A0A" w:rsidP="003B7312">
      <w:pPr>
        <w:jc w:val="both"/>
      </w:pPr>
    </w:p>
    <w:p w:rsidR="00E74E62" w:rsidRPr="00A81F9F" w:rsidRDefault="00E74E62" w:rsidP="003B7312">
      <w:pPr>
        <w:pStyle w:val="3"/>
        <w:jc w:val="both"/>
      </w:pPr>
      <w:r>
        <w:t xml:space="preserve"> </w:t>
      </w:r>
    </w:p>
    <w:p w:rsidR="009478DB" w:rsidRPr="00A81F9F" w:rsidRDefault="009478DB" w:rsidP="00E40517">
      <w:pPr>
        <w:ind w:firstLine="709"/>
        <w:jc w:val="both"/>
      </w:pPr>
    </w:p>
    <w:p w:rsidR="00E74E62" w:rsidRDefault="00E74E62" w:rsidP="00E40517">
      <w:pPr>
        <w:ind w:firstLine="709"/>
        <w:jc w:val="both"/>
      </w:pPr>
    </w:p>
    <w:p w:rsidR="00E74E62" w:rsidRDefault="00E74E62" w:rsidP="00E40517">
      <w:pPr>
        <w:ind w:firstLine="709"/>
        <w:jc w:val="both"/>
      </w:pPr>
    </w:p>
    <w:p w:rsidR="000912D8" w:rsidRDefault="000912D8" w:rsidP="00E40517">
      <w:pPr>
        <w:ind w:firstLine="709"/>
        <w:jc w:val="both"/>
      </w:pPr>
    </w:p>
    <w:p w:rsidR="000912D8" w:rsidRDefault="000912D8" w:rsidP="00E40517">
      <w:pPr>
        <w:ind w:firstLine="709"/>
        <w:jc w:val="both"/>
      </w:pPr>
    </w:p>
    <w:p w:rsidR="000912D8" w:rsidRDefault="000912D8" w:rsidP="00E40517">
      <w:pPr>
        <w:ind w:firstLine="709"/>
        <w:jc w:val="both"/>
      </w:pPr>
    </w:p>
    <w:p w:rsidR="000912D8" w:rsidRDefault="000912D8" w:rsidP="00E40517">
      <w:pPr>
        <w:ind w:firstLine="709"/>
        <w:jc w:val="both"/>
      </w:pPr>
    </w:p>
    <w:p w:rsidR="000912D8" w:rsidRDefault="000912D8" w:rsidP="00E40517">
      <w:pPr>
        <w:ind w:firstLine="709"/>
        <w:jc w:val="both"/>
      </w:pPr>
    </w:p>
    <w:p w:rsidR="003D35F7" w:rsidRPr="003D35F7" w:rsidRDefault="000028D0" w:rsidP="001B47F2">
      <w:pPr>
        <w:pStyle w:val="3"/>
        <w:rPr>
          <w:sz w:val="28"/>
          <w:szCs w:val="28"/>
        </w:rPr>
      </w:pPr>
      <w:bookmarkStart w:id="110" w:name="_Toc370759808"/>
      <w:bookmarkStart w:id="111" w:name="_Toc374557814"/>
      <w:r>
        <w:rPr>
          <w:sz w:val="28"/>
          <w:szCs w:val="28"/>
        </w:rPr>
        <w:t>П</w:t>
      </w:r>
      <w:r w:rsidR="003D35F7">
        <w:rPr>
          <w:sz w:val="28"/>
          <w:szCs w:val="28"/>
        </w:rPr>
        <w:t>2.4</w:t>
      </w:r>
      <w:r w:rsidR="00A30F20" w:rsidRPr="00A30F20">
        <w:rPr>
          <w:sz w:val="28"/>
          <w:szCs w:val="28"/>
        </w:rPr>
        <w:t xml:space="preserve">. </w:t>
      </w:r>
      <w:r w:rsidR="003D35F7" w:rsidRPr="003D35F7">
        <w:rPr>
          <w:sz w:val="28"/>
          <w:szCs w:val="28"/>
        </w:rPr>
        <w:t>Сравнение цены электроэнергии в России с другими странами, пересчитанные по паритету покупательной способности, рассчитанному по всему ВВП</w:t>
      </w:r>
      <w:bookmarkEnd w:id="110"/>
      <w:bookmarkEnd w:id="111"/>
    </w:p>
    <w:p w:rsidR="00904630" w:rsidRDefault="00904630" w:rsidP="00EE3ED4">
      <w:pPr>
        <w:ind w:firstLine="567"/>
        <w:jc w:val="both"/>
        <w:rPr>
          <w:b/>
          <w:sz w:val="28"/>
          <w:szCs w:val="28"/>
        </w:rPr>
      </w:pPr>
    </w:p>
    <w:p w:rsidR="00904630" w:rsidRPr="00904630" w:rsidRDefault="000028D0" w:rsidP="001B47F2">
      <w:pPr>
        <w:pStyle w:val="4"/>
      </w:pPr>
      <w:bookmarkStart w:id="112" w:name="_Toc370759809"/>
      <w:r>
        <w:t>П</w:t>
      </w:r>
      <w:r w:rsidR="00904630">
        <w:t>2.4.1. Сравнение внутренних и экспортных цен энергоносителей</w:t>
      </w:r>
      <w:bookmarkEnd w:id="112"/>
      <w:r w:rsidR="00904630">
        <w:t xml:space="preserve"> </w:t>
      </w:r>
    </w:p>
    <w:p w:rsidR="00904630" w:rsidRDefault="00904630" w:rsidP="00EE3ED4">
      <w:pPr>
        <w:ind w:firstLine="567"/>
        <w:jc w:val="both"/>
      </w:pPr>
    </w:p>
    <w:p w:rsidR="00EE3ED4" w:rsidRPr="00EE3ED4" w:rsidRDefault="00EE3ED4" w:rsidP="003B7312">
      <w:pPr>
        <w:ind w:firstLine="567"/>
        <w:jc w:val="both"/>
      </w:pPr>
      <w:r w:rsidRPr="00D969A3">
        <w:t xml:space="preserve">Традиционное сравнение, когда сопоставляются внутренние и экспортные цены , выраженные в валюте (евро, например), показывает нам идиллическую картину: в 2012 году внутренние цены на газ почти втрое меньше экспортных, угля – в два раза меньше, а нефти – почти в два раза меньше (см. </w:t>
      </w:r>
      <w:r w:rsidR="007D2455">
        <w:t>рис. П9</w:t>
      </w:r>
      <w:r w:rsidRPr="00EE3ED4">
        <w:t>).</w:t>
      </w:r>
    </w:p>
    <w:p w:rsidR="00EE3ED4" w:rsidRPr="00EE3ED4" w:rsidRDefault="00EE3ED4" w:rsidP="003B7312">
      <w:pPr>
        <w:ind w:firstLine="567"/>
        <w:jc w:val="both"/>
      </w:pPr>
    </w:p>
    <w:p w:rsidR="00EE3ED4" w:rsidRPr="00D969A3" w:rsidRDefault="007C1ADE" w:rsidP="003B7312">
      <w:pPr>
        <w:ind w:firstLine="567"/>
        <w:jc w:val="both"/>
      </w:pPr>
      <w:r>
        <w:rPr>
          <w:noProof/>
        </w:rPr>
        <w:drawing>
          <wp:inline distT="0" distB="0" distL="0" distR="0">
            <wp:extent cx="5408608" cy="3222507"/>
            <wp:effectExtent l="12192" t="6096" r="8450" b="372"/>
            <wp:docPr id="10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EE3ED4" w:rsidRPr="008C1021" w:rsidRDefault="00EE3ED4" w:rsidP="003B7312">
      <w:pPr>
        <w:ind w:firstLine="709"/>
        <w:jc w:val="both"/>
      </w:pPr>
      <w:r w:rsidRPr="00D969A3">
        <w:t xml:space="preserve">Рис. </w:t>
      </w:r>
      <w:r w:rsidR="007D2455">
        <w:t>П9</w:t>
      </w:r>
      <w:r w:rsidRPr="00D969A3">
        <w:t>. Сравнение внутрироссийских цен приобретения, (включая ТЭС), и экспортных цен: природного газа</w:t>
      </w:r>
      <w:r w:rsidRPr="00E71D03">
        <w:t xml:space="preserve"> </w:t>
      </w:r>
      <w:r w:rsidRPr="008C1021">
        <w:t xml:space="preserve">за 1000 куб. м, каменного энергетического угля и нефти за 1 тонну, пересчитанных в € ЦБ, </w:t>
      </w:r>
      <w:r w:rsidRPr="008C1021">
        <w:rPr>
          <w:noProof/>
        </w:rPr>
        <w:t xml:space="preserve">в 2012г. </w:t>
      </w:r>
      <w:r w:rsidRPr="008C1021">
        <w:t xml:space="preserve">(по данным Росстата, </w:t>
      </w:r>
      <w:hyperlink r:id="rId125" w:history="1">
        <w:r w:rsidRPr="008C1021">
          <w:rPr>
            <w:rStyle w:val="a4"/>
          </w:rPr>
          <w:t>http://www.gks.ru/wps/wcm/connect/rosstat_main/rosstat/ru/statistics/tariffs/#</w:t>
        </w:r>
      </w:hyperlink>
      <w:r w:rsidRPr="008C1021">
        <w:t>)</w:t>
      </w:r>
    </w:p>
    <w:p w:rsidR="00EE3ED4" w:rsidRPr="008C1021" w:rsidRDefault="00EE3ED4" w:rsidP="003B7312">
      <w:pPr>
        <w:ind w:firstLine="709"/>
        <w:jc w:val="both"/>
      </w:pPr>
    </w:p>
    <w:p w:rsidR="00EE3ED4" w:rsidRPr="008C1021" w:rsidRDefault="00EE3ED4" w:rsidP="003B7312">
      <w:pPr>
        <w:ind w:firstLine="567"/>
        <w:jc w:val="both"/>
      </w:pPr>
      <w:r w:rsidRPr="008C1021">
        <w:t xml:space="preserve">А теперь давайте пересчитаем все эти цены через ППС-ЕС. При этом для европейских стран, которые являются основными импортерами российских углеводородов, в среднем 1 ППС-ЕС=1,1 € ЦБ. Результат представлен на </w:t>
      </w:r>
      <w:r>
        <w:t>рис. П 12</w:t>
      </w:r>
      <w:r w:rsidRPr="008C1021">
        <w:t xml:space="preserve"> и он несколько ошеломляет:</w:t>
      </w:r>
    </w:p>
    <w:p w:rsidR="00EE3ED4" w:rsidRPr="008C1021" w:rsidRDefault="00EE3ED4" w:rsidP="003B7312">
      <w:pPr>
        <w:ind w:firstLine="567"/>
        <w:jc w:val="both"/>
        <w:rPr>
          <w:rStyle w:val="af5"/>
          <w:rFonts w:eastAsia="Calibri"/>
          <w:b w:val="0"/>
          <w:i/>
          <w:sz w:val="24"/>
          <w:szCs w:val="24"/>
        </w:rPr>
      </w:pPr>
      <w:r w:rsidRPr="008C1021">
        <w:t xml:space="preserve">-- внутренние цены на газ в России оказываются всего на </w:t>
      </w:r>
      <w:r w:rsidRPr="008C1021">
        <w:rPr>
          <w:rStyle w:val="af5"/>
          <w:rFonts w:eastAsia="Calibri"/>
          <w:sz w:val="24"/>
          <w:szCs w:val="24"/>
        </w:rPr>
        <w:t>34,7%, а не в 2,7 раза, меньше экспортных цен,</w:t>
      </w:r>
    </w:p>
    <w:p w:rsidR="00EE3ED4" w:rsidRPr="008C1021" w:rsidRDefault="00EE3ED4" w:rsidP="003B7312">
      <w:pPr>
        <w:ind w:firstLine="567"/>
        <w:jc w:val="both"/>
        <w:rPr>
          <w:rStyle w:val="af5"/>
          <w:rFonts w:eastAsia="Calibri"/>
          <w:b w:val="0"/>
          <w:i/>
          <w:sz w:val="24"/>
          <w:szCs w:val="24"/>
        </w:rPr>
      </w:pPr>
      <w:r w:rsidRPr="008C1021">
        <w:rPr>
          <w:rStyle w:val="af5"/>
          <w:rFonts w:eastAsia="Calibri"/>
          <w:sz w:val="24"/>
          <w:szCs w:val="24"/>
        </w:rPr>
        <w:t>-- внутренние цены на уголь всего на 12,1% дешевле экспортных цен на него,</w:t>
      </w:r>
    </w:p>
    <w:p w:rsidR="00EE3ED4" w:rsidRPr="00D969A3" w:rsidRDefault="00EE3ED4" w:rsidP="003B7312">
      <w:pPr>
        <w:ind w:firstLine="567"/>
        <w:jc w:val="both"/>
        <w:rPr>
          <w:rStyle w:val="af5"/>
          <w:rFonts w:eastAsia="Calibri"/>
          <w:b w:val="0"/>
          <w:i/>
          <w:sz w:val="24"/>
          <w:szCs w:val="24"/>
        </w:rPr>
      </w:pPr>
      <w:r w:rsidRPr="008C1021">
        <w:rPr>
          <w:rStyle w:val="af5"/>
          <w:rFonts w:eastAsia="Calibri"/>
          <w:sz w:val="24"/>
          <w:szCs w:val="24"/>
        </w:rPr>
        <w:t>-- внутренние цены на нефть всего на 10,4% дешевле экспортных цен на нее.</w:t>
      </w:r>
    </w:p>
    <w:p w:rsidR="00EE3ED4" w:rsidRPr="00D969A3" w:rsidRDefault="007C1ADE" w:rsidP="003B7312">
      <w:pPr>
        <w:ind w:firstLine="567"/>
        <w:jc w:val="both"/>
        <w:rPr>
          <w:b/>
          <w:i/>
        </w:rPr>
      </w:pPr>
      <w:r>
        <w:rPr>
          <w:b/>
          <w:i/>
          <w:noProof/>
        </w:rPr>
        <w:drawing>
          <wp:inline distT="0" distB="0" distL="0" distR="0">
            <wp:extent cx="5470444" cy="3411140"/>
            <wp:effectExtent l="12192" t="6096" r="3764" b="2239"/>
            <wp:docPr id="105"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EE3ED4" w:rsidRPr="008C1021" w:rsidRDefault="00EE3ED4" w:rsidP="00EE3ED4">
      <w:pPr>
        <w:ind w:firstLine="709"/>
        <w:jc w:val="both"/>
        <w:rPr>
          <w:rStyle w:val="af5"/>
          <w:rFonts w:eastAsia="Calibri"/>
          <w:sz w:val="30"/>
        </w:rPr>
      </w:pPr>
      <w:r w:rsidRPr="00D969A3">
        <w:rPr>
          <w:noProof/>
        </w:rPr>
        <w:t xml:space="preserve">Рис. </w:t>
      </w:r>
      <w:r w:rsidR="007D2455">
        <w:rPr>
          <w:noProof/>
        </w:rPr>
        <w:t>П10</w:t>
      </w:r>
      <w:r w:rsidRPr="00D969A3">
        <w:rPr>
          <w:noProof/>
        </w:rPr>
        <w:t xml:space="preserve">. Внутрироссийские цены приобретения, включая ТЭС, и экспортные цены природного </w:t>
      </w:r>
      <w:r w:rsidRPr="008C1021">
        <w:rPr>
          <w:noProof/>
        </w:rPr>
        <w:t xml:space="preserve">газа </w:t>
      </w:r>
      <w:r w:rsidRPr="008C1021">
        <w:t>за 1000 куб. м</w:t>
      </w:r>
      <w:r w:rsidRPr="008C1021">
        <w:rPr>
          <w:noProof/>
        </w:rPr>
        <w:t>, каменного энергетического угля и  нефти за 1 тонну, соответственно в ППС ЕС (27 стран), в России и в среднем страны ЕС (зона евро) в 2012 г.</w:t>
      </w:r>
    </w:p>
    <w:p w:rsidR="00EE3ED4" w:rsidRPr="008C1021" w:rsidRDefault="00EE3ED4" w:rsidP="00EE3ED4">
      <w:pPr>
        <w:ind w:firstLine="567"/>
        <w:jc w:val="both"/>
      </w:pPr>
    </w:p>
    <w:p w:rsidR="00EE3ED4" w:rsidRPr="008C1021" w:rsidRDefault="00EE3ED4" w:rsidP="00EE3ED4">
      <w:pPr>
        <w:ind w:firstLine="567"/>
        <w:jc w:val="both"/>
      </w:pPr>
      <w:r w:rsidRPr="008C1021">
        <w:t xml:space="preserve">Стоит особенно отметить, что внутренняя цена на нефть, выраженная в ППС-ЕС, близка к экспортной. Но ведь внутренняя цена на нефть это и есть экспортная – только за вычетом экспортной пошлины. Отсюда следует, что формула расчета экспортной пошлины составлена таким образом, чтобы внутренняя цена нефти, пересчитанная в ППС-ЕС, оказывалась максимально близко с экспортной. Судя по всему, под это равенство Центробанком, не суть важно -- специально или нет, подгоняется и курс рубля к евро (доллара). А для связи между курсом евро и доллара Центральный банк использует их текущий кросс-курс на международном валютном рынке. </w:t>
      </w:r>
    </w:p>
    <w:p w:rsidR="00EE3ED4" w:rsidRPr="008C1021" w:rsidRDefault="00EE3ED4" w:rsidP="00EE3ED4">
      <w:pPr>
        <w:ind w:firstLine="567"/>
        <w:jc w:val="both"/>
      </w:pPr>
      <w:r w:rsidRPr="008C1021">
        <w:t>Особая ситуация с природным газом. Дело в том, экспортная цена газа подразумевает его транспорт не до границ страны, а до границ газотранспортной системы, то есть до границ Украины, а это сама по себе весьма затратная процедура. Плюс при пересечении границы взимается 30%-ая пошлина. Поэтому наиболее правильно сравнивать внутренние цены не с экспортной ценой, а с равновесной. Например, для Польши  - экспортная цена минус пошлина, минус транспорт по территории Украины (Это примерно 23 € или 20,9 ППС-ЕС за 1000 куб. м в 2012 г).  Из рис. 2 видно, что в 2012 г. внутренняя цена газа, рассчитанная через ППС ЕС, стала уже на 6% выше равновесной, и дальнейший рост цены газа уже некуда.</w:t>
      </w:r>
    </w:p>
    <w:p w:rsidR="00EE3ED4" w:rsidRPr="008C1021" w:rsidRDefault="00EE3ED4" w:rsidP="00EE3ED4">
      <w:pPr>
        <w:ind w:firstLine="567"/>
        <w:jc w:val="both"/>
      </w:pPr>
      <w:r w:rsidRPr="008C1021">
        <w:t>Отметим, что на практике при оценке доступности того или иного энергоносителя в разных странах, надо учитывать еще и стоимость транспорта (железная дорога, трубопровод или морской фрахт) от российской границы до потребителя, а также хранения в стране-импортере (газохранилища, угольные склады и нефте-, мазуто- хранилища). Для угля и газа это еще 20-30% от экспортной цены, а для нефти – 10-15%.</w:t>
      </w:r>
    </w:p>
    <w:p w:rsidR="00EE3ED4" w:rsidRPr="008C1021" w:rsidRDefault="00EE3ED4" w:rsidP="00EE3ED4">
      <w:pPr>
        <w:ind w:firstLine="567"/>
        <w:jc w:val="both"/>
      </w:pPr>
      <w:r w:rsidRPr="008C1021">
        <w:t xml:space="preserve">Отдельно интересно сопоставить цены на энергоносители для ТЭС в России и США,  у которых структуры генерирующих мощностей близки между собой. Отличие одно: в США  45% производства электроэнергии осуществляется на угольных ТЭС  и 20% - на газозвых, а в России  наоборот - 50% - на газовых и 17% - на угольных ТЭС. При этом и газ, и уголь добывается </w:t>
      </w:r>
      <w:r w:rsidRPr="008C1021">
        <w:rPr>
          <w:b/>
        </w:rPr>
        <w:t>внутри этих стран</w:t>
      </w:r>
      <w:r w:rsidRPr="008C1021">
        <w:t>, и расстояния от места добычи угля до ТЭС сопоставимы, а в цене газа для ТЭС стоимость транспортировки не превышает 20-30%. Кроме того, следует отметить, что доля производства электроэнергии на мазуте (нефти) в обеих странах – незначительна.</w:t>
      </w:r>
    </w:p>
    <w:p w:rsidR="00EE3ED4" w:rsidRPr="00D969A3" w:rsidRDefault="00EE3ED4" w:rsidP="00EE3ED4">
      <w:pPr>
        <w:ind w:firstLine="567"/>
        <w:jc w:val="both"/>
      </w:pPr>
      <w:r w:rsidRPr="008C1021">
        <w:t xml:space="preserve">Сначала сопоставим внутренние российские цены энергоносителей в 2012 г., пересчитанные в $ ЦБ (1 $ ЦБ=31,07 руб.) с аналогичными ценами в США, (см. рис. </w:t>
      </w:r>
      <w:r>
        <w:t>П13</w:t>
      </w:r>
      <w:r w:rsidRPr="008C1021">
        <w:t>)</w:t>
      </w:r>
    </w:p>
    <w:p w:rsidR="00EE3ED4" w:rsidRPr="00D969A3" w:rsidRDefault="00EE3ED4" w:rsidP="00EE3ED4">
      <w:pPr>
        <w:ind w:firstLine="567"/>
        <w:jc w:val="both"/>
      </w:pPr>
    </w:p>
    <w:p w:rsidR="00EE3ED4" w:rsidRPr="00D969A3" w:rsidRDefault="007C1ADE" w:rsidP="00EE3ED4">
      <w:pPr>
        <w:ind w:hanging="284"/>
        <w:jc w:val="both"/>
      </w:pPr>
      <w:r>
        <w:rPr>
          <w:noProof/>
        </w:rPr>
        <w:drawing>
          <wp:inline distT="0" distB="0" distL="0" distR="0">
            <wp:extent cx="5526602" cy="3279608"/>
            <wp:effectExtent l="12192" t="6096" r="4756" b="421"/>
            <wp:docPr id="106"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EE3ED4" w:rsidRPr="00D969A3" w:rsidRDefault="00EE3ED4" w:rsidP="00EE3ED4">
      <w:pPr>
        <w:ind w:firstLine="709"/>
        <w:jc w:val="both"/>
      </w:pPr>
      <w:r w:rsidRPr="00D969A3">
        <w:t xml:space="preserve">Рис. </w:t>
      </w:r>
      <w:r w:rsidR="007D2455">
        <w:t>П11</w:t>
      </w:r>
      <w:r w:rsidRPr="00D969A3">
        <w:t xml:space="preserve">. Сравнение внутренних цен приобретения, (включая ТЭС) в России и США: природного газа, каменного энергетического угля и нефти, пересчитанных в $ ЦБ, </w:t>
      </w:r>
      <w:r w:rsidRPr="00D969A3">
        <w:rPr>
          <w:noProof/>
        </w:rPr>
        <w:t>в 2012г.</w:t>
      </w:r>
    </w:p>
    <w:p w:rsidR="00EE3ED4" w:rsidRPr="00D969A3" w:rsidRDefault="00EE3ED4" w:rsidP="00EE3ED4">
      <w:pPr>
        <w:ind w:firstLine="709"/>
        <w:jc w:val="both"/>
      </w:pPr>
      <w:r w:rsidRPr="00D969A3">
        <w:t>Из рис.</w:t>
      </w:r>
      <w:r>
        <w:t>П1</w:t>
      </w:r>
      <w:r w:rsidR="007D2455">
        <w:t>1</w:t>
      </w:r>
      <w:r w:rsidRPr="00D969A3">
        <w:t xml:space="preserve"> видно, что даже при таком (некорректном) сопоставлении цена российского газа превысила цену газа в США на 35%, а угля – на 6,7% в 2012г. Цена нефти в $ ЦБ в России  ниже американской на 41%. </w:t>
      </w:r>
    </w:p>
    <w:p w:rsidR="00EE3ED4" w:rsidRPr="00D969A3" w:rsidRDefault="00EE3ED4" w:rsidP="00EE3ED4">
      <w:pPr>
        <w:ind w:firstLine="567"/>
        <w:jc w:val="both"/>
      </w:pPr>
      <w:r w:rsidRPr="00D969A3">
        <w:t>Теперь проведем сопоставление цен на энергоносители корректным способом, т.е. пересчитанных через $ППС. В 2012 г. в России 1 $ ППС =19,25 руб. (Росстат), а в США по определению 1$ППС≡1$.</w:t>
      </w:r>
    </w:p>
    <w:p w:rsidR="00EE3ED4" w:rsidRPr="00D969A3" w:rsidRDefault="00EE3ED4" w:rsidP="00EE3ED4">
      <w:pPr>
        <w:ind w:firstLine="567"/>
        <w:jc w:val="both"/>
      </w:pPr>
      <w:r w:rsidRPr="00D969A3">
        <w:t xml:space="preserve">В этом случае видно, что ситуация стала совсем </w:t>
      </w:r>
      <w:r w:rsidRPr="00D969A3">
        <w:rPr>
          <w:b/>
        </w:rPr>
        <w:t>гротескной</w:t>
      </w:r>
      <w:r w:rsidRPr="00D969A3">
        <w:t xml:space="preserve"> (см. рис.</w:t>
      </w:r>
      <w:r w:rsidR="007D2455">
        <w:t>П12</w:t>
      </w:r>
      <w:r w:rsidRPr="00D969A3">
        <w:t>).</w:t>
      </w:r>
    </w:p>
    <w:p w:rsidR="00EE3ED4" w:rsidRPr="00D969A3" w:rsidRDefault="00EE3ED4" w:rsidP="00EE3ED4">
      <w:pPr>
        <w:ind w:firstLine="567"/>
        <w:jc w:val="both"/>
      </w:pPr>
      <w:r w:rsidRPr="00D969A3">
        <w:t xml:space="preserve"> </w:t>
      </w:r>
    </w:p>
    <w:p w:rsidR="00EE3ED4" w:rsidRPr="00D969A3" w:rsidRDefault="00EE3ED4" w:rsidP="00EE3ED4">
      <w:pPr>
        <w:ind w:hanging="567"/>
        <w:jc w:val="both"/>
      </w:pPr>
    </w:p>
    <w:p w:rsidR="00EE3ED4" w:rsidRPr="00D969A3" w:rsidRDefault="007C1ADE" w:rsidP="00EE3ED4">
      <w:pPr>
        <w:ind w:hanging="426"/>
        <w:jc w:val="both"/>
      </w:pPr>
      <w:r>
        <w:rPr>
          <w:noProof/>
        </w:rPr>
        <w:drawing>
          <wp:inline distT="0" distB="0" distL="0" distR="0">
            <wp:extent cx="5937758" cy="3670554"/>
            <wp:effectExtent l="12192" t="6096" r="3175" b="0"/>
            <wp:docPr id="10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EE3ED4" w:rsidRPr="00D969A3" w:rsidRDefault="00EE3ED4" w:rsidP="00EE3ED4">
      <w:pPr>
        <w:ind w:firstLine="567"/>
        <w:jc w:val="both"/>
      </w:pPr>
    </w:p>
    <w:p w:rsidR="00EE3ED4" w:rsidRPr="00D969A3" w:rsidRDefault="00EE3ED4" w:rsidP="00EE3ED4">
      <w:pPr>
        <w:ind w:firstLine="709"/>
        <w:jc w:val="both"/>
      </w:pPr>
      <w:r w:rsidRPr="00D969A3">
        <w:t xml:space="preserve">Рис. </w:t>
      </w:r>
      <w:r w:rsidR="007D2455">
        <w:t>П12</w:t>
      </w:r>
      <w:r w:rsidRPr="00D969A3">
        <w:t xml:space="preserve">. Сравнение внутренних цен приобретения, (включая ТЭС) в России и США: природного газа, каменного энергетического угля и нефти, пересчитанных в $ ППС, </w:t>
      </w:r>
      <w:r w:rsidRPr="00D969A3">
        <w:rPr>
          <w:noProof/>
        </w:rPr>
        <w:t>в 2012г.</w:t>
      </w:r>
    </w:p>
    <w:p w:rsidR="00EE3ED4" w:rsidRPr="00D969A3" w:rsidRDefault="00EE3ED4" w:rsidP="00EE3ED4">
      <w:pPr>
        <w:ind w:firstLine="567"/>
        <w:jc w:val="both"/>
      </w:pPr>
    </w:p>
    <w:p w:rsidR="00EE3ED4" w:rsidRPr="00D969A3" w:rsidRDefault="00EE3ED4" w:rsidP="00EE3ED4">
      <w:pPr>
        <w:ind w:firstLine="567"/>
        <w:jc w:val="both"/>
      </w:pPr>
      <w:r w:rsidRPr="00D969A3">
        <w:t>Из рис.</w:t>
      </w:r>
      <w:r w:rsidR="000C1F09">
        <w:t xml:space="preserve"> П1</w:t>
      </w:r>
      <w:r w:rsidR="007D2455">
        <w:t>2</w:t>
      </w:r>
      <w:r w:rsidRPr="00D969A3">
        <w:t xml:space="preserve"> видно, что сопоставимые цены природного газа и каменного энергетического угля в России по сравнению  с США </w:t>
      </w:r>
      <w:r w:rsidRPr="00D969A3">
        <w:rPr>
          <w:b/>
        </w:rPr>
        <w:t>существенно выше</w:t>
      </w:r>
      <w:r w:rsidRPr="00D969A3">
        <w:t xml:space="preserve"> соответственно  в 2,2 и -  в 1,7 раза. Следует отметить, что  средние теплотворные способности каменных энергетических углей России и США близки между собой и составляют  5500 ккал/кг. </w:t>
      </w:r>
    </w:p>
    <w:p w:rsidR="00EE3ED4" w:rsidRPr="00D969A3" w:rsidRDefault="00EE3ED4" w:rsidP="00EE3ED4">
      <w:pPr>
        <w:ind w:firstLine="567"/>
        <w:jc w:val="both"/>
      </w:pPr>
    </w:p>
    <w:p w:rsidR="00EE3ED4" w:rsidRPr="00D969A3" w:rsidRDefault="00EE3ED4" w:rsidP="00EE3ED4">
      <w:pPr>
        <w:ind w:firstLine="567"/>
        <w:jc w:val="both"/>
      </w:pPr>
      <w:r w:rsidRPr="00D969A3">
        <w:t>Это важно для понимания, почему цены на электроэнергию для промышленности в России в 2,5 раза выше, чем в США, а перекрестное субсидирование стоимости электроэнергии для населения за счет промышленности сопоставимо с  выручкой от ее продажи (см. ниже).</w:t>
      </w:r>
    </w:p>
    <w:p w:rsidR="00EE3ED4" w:rsidRPr="00D969A3" w:rsidRDefault="00EE3ED4" w:rsidP="00EE3ED4">
      <w:pPr>
        <w:jc w:val="both"/>
      </w:pPr>
    </w:p>
    <w:p w:rsidR="00EE3ED4" w:rsidRPr="00A30F20" w:rsidRDefault="000028D0" w:rsidP="001B47F2">
      <w:pPr>
        <w:pStyle w:val="4"/>
      </w:pPr>
      <w:bookmarkStart w:id="113" w:name="_Toc370759810"/>
      <w:r>
        <w:t>П</w:t>
      </w:r>
      <w:r w:rsidR="00904630">
        <w:t>2</w:t>
      </w:r>
      <w:r w:rsidR="00A30F20" w:rsidRPr="00A30F20">
        <w:t>.2.</w:t>
      </w:r>
      <w:r w:rsidR="00904630">
        <w:t>2</w:t>
      </w:r>
      <w:r>
        <w:t>.</w:t>
      </w:r>
      <w:r w:rsidR="00904630">
        <w:t xml:space="preserve"> Сравнение цены электроэнергии для промышленности и населения в России  с другими странами по ППС-ЕС, рассчитанному по всему ВВП</w:t>
      </w:r>
      <w:bookmarkEnd w:id="113"/>
    </w:p>
    <w:p w:rsidR="00EE3ED4" w:rsidRPr="00D969A3" w:rsidRDefault="00EE3ED4" w:rsidP="00EE3ED4">
      <w:pPr>
        <w:ind w:firstLine="567"/>
        <w:jc w:val="both"/>
      </w:pPr>
    </w:p>
    <w:p w:rsidR="00EE3ED4" w:rsidRPr="00D969A3" w:rsidRDefault="00EE3ED4" w:rsidP="00EE3ED4">
      <w:pPr>
        <w:ind w:firstLine="567"/>
        <w:jc w:val="both"/>
      </w:pPr>
      <w:r w:rsidRPr="00D969A3">
        <w:t>Вообще говоря, не все товары или услуги подходят для сравнения цен на них через $ППС или ППС-ЕС. Вот, например, автомобили. Можно сравнивать доступность производимых на местных рынках автомобилей марки Ford в США и России (сколько таких авто граждане указанных стран могут купить на свой годовой доход или зарплату), но сравнивать их цены, выраженные в ППС, рассчитанному по всему ВВП, будет некорректно. Ведь собираются они в основном из импортных деталей, на новом импортном оборудовании, так что их цены в России будут отражать не внутристрановые реалии, а лишь отпускную ценовую политику иностранного производителя. То же самое относится к лекарствам, т.к. доля импортных лекарств в России, купленных за валюту по курсу $ ЦБ, составляет 80%  рынка. Хороший пример -- Биг Мак. Последний представляет товар, фактически свободный от трансграничных расходов, поскольку производится локально из местных ингредиентов и местной рабочей силой, поэтому цены на него в разных странах можно сравнивать напрямую, через курс национальной валюты.</w:t>
      </w:r>
    </w:p>
    <w:p w:rsidR="00EE3ED4" w:rsidRPr="00D969A3" w:rsidRDefault="00EE3ED4" w:rsidP="00EE3ED4">
      <w:pPr>
        <w:ind w:firstLine="567"/>
        <w:jc w:val="both"/>
      </w:pPr>
      <w:r w:rsidRPr="00D969A3">
        <w:t>В середине 2012 г., цена Биг Мака в России равнялась 79,23 руб., т.е. по текущему курсу ЦБ 2,55$, в то же время в США его цена составляла 4,20$. Таким образом, $ППС  по ценам Биг Мака в России и США, должен равняться 18,86 рублям, что всего на 2% отличается от значения $ ППС=19,25 руб., рассчитанного по всему ВВП. Это обстоятельство еще раз подтверждает, что сопоставление цен на энергоносители, а также электроэнергию, как будет показано ниже, в России с другими странами, в частности</w:t>
      </w:r>
      <w:r w:rsidRPr="00D969A3">
        <w:rPr>
          <w:b/>
        </w:rPr>
        <w:t xml:space="preserve"> для населения</w:t>
      </w:r>
      <w:r w:rsidRPr="00D969A3">
        <w:t xml:space="preserve">, </w:t>
      </w:r>
      <w:r w:rsidRPr="00D969A3">
        <w:rPr>
          <w:b/>
        </w:rPr>
        <w:t>надо проводить</w:t>
      </w:r>
      <w:r w:rsidRPr="00D969A3">
        <w:t xml:space="preserve"> не в $ ЦБ или € ЦБ, а по $ППС или ППС (ЕС 27 стран). </w:t>
      </w:r>
    </w:p>
    <w:p w:rsidR="00EE3ED4" w:rsidRPr="00D969A3" w:rsidRDefault="00EE3ED4" w:rsidP="00EE3ED4">
      <w:pPr>
        <w:ind w:firstLine="567"/>
        <w:jc w:val="both"/>
      </w:pPr>
      <w:r w:rsidRPr="00D969A3">
        <w:t xml:space="preserve">Наибольший интерес для сравнения представляют те товары, которые производятся национальным капиталом, так сказать, в чистом виде, то есть на отечественных предприятиях с амортизированным оборудованием, на российском топливе и отечественной рабочей силой, а доля неамортизированного импортного оборудования или комплектующих - незначительна. Особенный интерес в этом плане представляет электроэнергия. Это не только сугубо внутренний продукт, но и один из самых значимых для функционирования всей экономики страны. Скажем, доля электроэнергетики (2,07 трлн. руб.) в общем объеме ВВП (55,8 трлн. руб. –  в 2011 году) составляет существенную величину – 3,7%. Кроме того, существует довольно жесткая связь между ростом потребления электроэнергии и ростом ВВП. Скажем, в годы падения ВВП скажем в 1991-1998 и 2009 годах, на 1% падения ВВП приходится в среднем 0,55% падения потребления электроэнергии. А в периоды роста ВВП, например, в 1999-2008 годах, на 1% роста ВВП приходилось 0,33% роста потребления электроэнергии. Поэтому, крайне важно понять, насколько адекватны внутренние цены на электроэнергию внутренним ценам на энергоносители (см. рис. 2, 4). </w:t>
      </w:r>
    </w:p>
    <w:p w:rsidR="00EE3ED4" w:rsidRPr="00D969A3" w:rsidRDefault="00EE3ED4" w:rsidP="00EE3ED4">
      <w:pPr>
        <w:ind w:firstLine="709"/>
        <w:jc w:val="both"/>
      </w:pPr>
      <w:r w:rsidRPr="00D969A3">
        <w:t xml:space="preserve">Для правильного сопоставления цены электроэнергии для отдельных типов потребителей в различных странах, необходимо ТОЧНО указывать с какими типами потребителей происходит такое сравнение, ведь от этого будет зависеть конечный результат. Действительно, взглянем на </w:t>
      </w:r>
      <w:r w:rsidR="000C1F09">
        <w:t>рис. П15,</w:t>
      </w:r>
      <w:r w:rsidRPr="00D969A3">
        <w:t xml:space="preserve"> на котором представлены конечные цены для разных групп потребления в России. (Источник: </w:t>
      </w:r>
      <w:r w:rsidRPr="00D969A3">
        <w:rPr>
          <w:bCs/>
        </w:rPr>
        <w:t xml:space="preserve">«Анализ итогов деятельности электроэнергетики России в 2011 г., прогноз на 2012 г.» -- Минэнерго, 2012). Следует иметь в виду, чем больше мощность, необходимая потребителям, тем меньше цена электроэнергии для потребителей. Например, в </w:t>
      </w:r>
      <w:smartTag w:uri="urn:schemas-microsoft-com:office:smarttags" w:element="metricconverter">
        <w:smartTagPr>
          <w:attr w:name="ProductID" w:val="2011 г"/>
        </w:smartTagPr>
        <w:r w:rsidRPr="00D969A3">
          <w:rPr>
            <w:bCs/>
          </w:rPr>
          <w:t>2011 г</w:t>
        </w:r>
      </w:smartTag>
      <w:r w:rsidRPr="00D969A3">
        <w:rPr>
          <w:bCs/>
        </w:rPr>
        <w:t>. цена для промышленных потребителей мощностью выше 750 КВА равнялась</w:t>
      </w:r>
      <w:r w:rsidRPr="00D969A3">
        <w:t xml:space="preserve"> 1,997 руб. (0,049 € ЦБ)  за 1 КВт-ч без НДС, а до 750 КВА -- 2,906 руб. (0,071 € ЦБ) за 1 КВт-ч без НДС.</w:t>
      </w:r>
    </w:p>
    <w:p w:rsidR="00EE3ED4" w:rsidRPr="00D969A3" w:rsidRDefault="00EE3ED4" w:rsidP="00EE3ED4">
      <w:pPr>
        <w:ind w:firstLine="709"/>
        <w:jc w:val="both"/>
      </w:pPr>
    </w:p>
    <w:p w:rsidR="00EE3ED4" w:rsidRPr="00D969A3" w:rsidRDefault="007C1ADE" w:rsidP="00EE3ED4">
      <w:pPr>
        <w:ind w:firstLine="709"/>
        <w:jc w:val="both"/>
        <w:rPr>
          <w:bCs/>
        </w:rPr>
      </w:pPr>
      <w:r>
        <w:rPr>
          <w:noProof/>
        </w:rPr>
        <w:drawing>
          <wp:inline distT="0" distB="0" distL="0" distR="0">
            <wp:extent cx="5372100" cy="3524250"/>
            <wp:effectExtent l="19050" t="19050" r="19050" b="1905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9" cstate="print"/>
                    <a:srcRect l="13126" t="21016" r="8125" b="15611"/>
                    <a:stretch>
                      <a:fillRect/>
                    </a:stretch>
                  </pic:blipFill>
                  <pic:spPr bwMode="auto">
                    <a:xfrm>
                      <a:off x="0" y="0"/>
                      <a:ext cx="5372100" cy="3524250"/>
                    </a:xfrm>
                    <a:prstGeom prst="rect">
                      <a:avLst/>
                    </a:prstGeom>
                    <a:noFill/>
                    <a:ln w="6350" cmpd="sng">
                      <a:solidFill>
                        <a:srgbClr val="000000"/>
                      </a:solidFill>
                      <a:miter lim="800000"/>
                      <a:headEnd/>
                      <a:tailEnd/>
                    </a:ln>
                    <a:effectLst/>
                  </pic:spPr>
                </pic:pic>
              </a:graphicData>
            </a:graphic>
          </wp:inline>
        </w:drawing>
      </w:r>
    </w:p>
    <w:p w:rsidR="00EE3ED4" w:rsidRPr="00D969A3" w:rsidRDefault="00EE3ED4" w:rsidP="00EE3ED4">
      <w:pPr>
        <w:jc w:val="both"/>
      </w:pPr>
      <w:r w:rsidRPr="00D969A3">
        <w:tab/>
      </w:r>
    </w:p>
    <w:p w:rsidR="00EE3ED4" w:rsidRPr="00D969A3" w:rsidRDefault="00EE3ED4" w:rsidP="00EE3ED4">
      <w:pPr>
        <w:ind w:firstLine="709"/>
        <w:jc w:val="both"/>
        <w:rPr>
          <w:bCs/>
        </w:rPr>
      </w:pPr>
      <w:r w:rsidRPr="00D969A3">
        <w:t xml:space="preserve">Рис. </w:t>
      </w:r>
      <w:r w:rsidR="00D812C0">
        <w:t>П13</w:t>
      </w:r>
      <w:r w:rsidRPr="00D969A3">
        <w:t xml:space="preserve"> </w:t>
      </w:r>
      <w:r w:rsidRPr="00D969A3">
        <w:rPr>
          <w:bCs/>
        </w:rPr>
        <w:t>Средние цены на электроэнергию (без НДС) и темп их прироста по группам потребителей в 2010-2011 гг.</w:t>
      </w:r>
    </w:p>
    <w:p w:rsidR="00EE3ED4" w:rsidRPr="00D969A3" w:rsidRDefault="00EE3ED4" w:rsidP="00EE3ED4">
      <w:pPr>
        <w:jc w:val="both"/>
      </w:pPr>
    </w:p>
    <w:p w:rsidR="00EE3ED4" w:rsidRPr="00D969A3" w:rsidRDefault="00EE3ED4" w:rsidP="00EE3ED4">
      <w:pPr>
        <w:ind w:firstLine="709"/>
        <w:jc w:val="both"/>
        <w:rPr>
          <w:bCs/>
        </w:rPr>
      </w:pPr>
      <w:r w:rsidRPr="00D969A3">
        <w:t xml:space="preserve">В базе Евростата доступны </w:t>
      </w:r>
      <w:r w:rsidRPr="00D969A3">
        <w:rPr>
          <w:bCs/>
        </w:rPr>
        <w:t>конечные цены</w:t>
      </w:r>
      <w:r w:rsidRPr="00D969A3">
        <w:t xml:space="preserve"> </w:t>
      </w:r>
      <w:r w:rsidRPr="00D969A3">
        <w:rPr>
          <w:bCs/>
        </w:rPr>
        <w:t xml:space="preserve">на электроэнергию </w:t>
      </w:r>
      <w:r w:rsidRPr="00D969A3">
        <w:t xml:space="preserve">(без НДС и специальных налогов на электроэнергию) </w:t>
      </w:r>
      <w:r w:rsidRPr="00D969A3">
        <w:rPr>
          <w:bCs/>
        </w:rPr>
        <w:t>для среднего размера промышленных потребителей за 1кВт-ч в евро, пересчитанные по курсу ЦБ каждой страны и действовавшие в 2012 году. Средние по размеру промышленные потребители – те предприятия, чье годовое потребление электроэнергии составляет от 500 до 2000 МВт-ч. Это основа экономики любой развитой страны. Необходимая электрическая мощность для покрытия такого потребления (при работе 2,6 тыс. часов в год -- 52 недели по 5 рабочих дней, состоящих из 10 часов) будет равняться не более 2000 МВт-ч / 2600 часов ≈ 750 кВт мощности. Это примерно соответствует российским промпотребителям, подключенным к мощностям до 750 КВА.</w:t>
      </w:r>
    </w:p>
    <w:p w:rsidR="00EE3ED4" w:rsidRPr="00D969A3" w:rsidRDefault="00EE3ED4" w:rsidP="00EE3ED4">
      <w:pPr>
        <w:ind w:firstLine="709"/>
        <w:jc w:val="both"/>
        <w:rPr>
          <w:bCs/>
        </w:rPr>
      </w:pPr>
      <w:r w:rsidRPr="00D969A3">
        <w:rPr>
          <w:bCs/>
        </w:rPr>
        <w:t>Номинальная, рассчитанная исходя из текущего обменного курса, стоимость электроэнергии для средних промышленных предприятий в России на 55% выше, чем в США, но дешевле, чем в большинстве стран Европ</w:t>
      </w:r>
      <w:r w:rsidR="000C1F09">
        <w:rPr>
          <w:bCs/>
        </w:rPr>
        <w:t>ы (рис. П16</w:t>
      </w:r>
      <w:r w:rsidRPr="00D969A3">
        <w:rPr>
          <w:bCs/>
        </w:rPr>
        <w:t>), в среднем по ЕС – на 23%.</w:t>
      </w:r>
    </w:p>
    <w:p w:rsidR="00EE3ED4" w:rsidRPr="00D969A3" w:rsidRDefault="007C1ADE" w:rsidP="00EE3ED4">
      <w:pPr>
        <w:jc w:val="both"/>
        <w:rPr>
          <w:bCs/>
        </w:rPr>
      </w:pPr>
      <w:r>
        <w:rPr>
          <w:noProof/>
        </w:rPr>
        <w:drawing>
          <wp:inline distT="0" distB="0" distL="0" distR="0">
            <wp:extent cx="5803507" cy="7280529"/>
            <wp:effectExtent l="18288" t="6096" r="7505" b="0"/>
            <wp:docPr id="10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EE3ED4" w:rsidRPr="00D969A3" w:rsidRDefault="00EE3ED4" w:rsidP="00EE3ED4">
      <w:pPr>
        <w:ind w:firstLine="709"/>
        <w:jc w:val="both"/>
        <w:rPr>
          <w:bCs/>
        </w:rPr>
      </w:pPr>
      <w:r w:rsidRPr="00D969A3">
        <w:rPr>
          <w:bCs/>
        </w:rPr>
        <w:t xml:space="preserve">Рис. </w:t>
      </w:r>
      <w:r w:rsidR="00D812C0">
        <w:rPr>
          <w:bCs/>
        </w:rPr>
        <w:t>П14</w:t>
      </w:r>
      <w:r w:rsidRPr="00D969A3">
        <w:rPr>
          <w:bCs/>
        </w:rPr>
        <w:t>. Цена электроэнергии в первом полугодии 2012 г. в € ЦБ за кВт.ч (без НДС и других  налогов на электроэнергию) для промышленных потребителей 500-2000 МВт.ч в год  (в России - менее 750КВА)) в странах ЕС, США и России</w:t>
      </w:r>
    </w:p>
    <w:p w:rsidR="00EE3ED4" w:rsidRPr="00D969A3" w:rsidRDefault="00EE3ED4" w:rsidP="00EE3ED4">
      <w:pPr>
        <w:jc w:val="both"/>
      </w:pPr>
    </w:p>
    <w:p w:rsidR="00EE3ED4" w:rsidRPr="00D969A3" w:rsidRDefault="00EE3ED4" w:rsidP="00EE3ED4">
      <w:pPr>
        <w:ind w:firstLine="709"/>
        <w:jc w:val="both"/>
        <w:rPr>
          <w:bCs/>
          <w:iCs/>
        </w:rPr>
      </w:pPr>
      <w:r w:rsidRPr="00D969A3">
        <w:rPr>
          <w:bCs/>
        </w:rPr>
        <w:t xml:space="preserve">Пересчет стоимость электроэнергии через ППС дает более печальную картину, см. </w:t>
      </w:r>
      <w:r w:rsidR="000C1F09">
        <w:rPr>
          <w:bCs/>
        </w:rPr>
        <w:t>П17</w:t>
      </w:r>
      <w:r w:rsidRPr="00D969A3">
        <w:rPr>
          <w:bCs/>
        </w:rPr>
        <w:t>. В</w:t>
      </w:r>
      <w:r w:rsidRPr="00D969A3">
        <w:rPr>
          <w:bCs/>
          <w:iCs/>
        </w:rPr>
        <w:t xml:space="preserve"> 2012 г. цена электроэнергии в России для средних промышленных предприятий составила 0,122 ППС-ЕС за кВт-ч. -- существенно выше, чем в старых странах ЕС (15 стран), Северной Европы и США. Например, по сравнению с США – в 2,5 раза, с Германией -- на 41%, со средней в ЕС (27 стран) – на 25%. Только в новых странах ЕС, а также Италии и Турции электроэнергия пока еще дороже, чем в России.</w:t>
      </w:r>
    </w:p>
    <w:p w:rsidR="00EE3ED4" w:rsidRPr="00D969A3" w:rsidRDefault="00EE3ED4" w:rsidP="00EE3ED4">
      <w:pPr>
        <w:ind w:firstLine="709"/>
        <w:jc w:val="both"/>
        <w:rPr>
          <w:bCs/>
          <w:iCs/>
        </w:rPr>
      </w:pPr>
    </w:p>
    <w:p w:rsidR="00EE3ED4" w:rsidRPr="00D969A3" w:rsidRDefault="007C1ADE" w:rsidP="00EE3ED4">
      <w:pPr>
        <w:jc w:val="both"/>
        <w:rPr>
          <w:bCs/>
          <w:iCs/>
        </w:rPr>
      </w:pPr>
      <w:r>
        <w:rPr>
          <w:noProof/>
        </w:rPr>
        <w:drawing>
          <wp:inline distT="0" distB="0" distL="0" distR="0">
            <wp:extent cx="5855920" cy="8220974"/>
            <wp:effectExtent l="12192" t="6096" r="8813" b="2530"/>
            <wp:docPr id="1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EE3ED4" w:rsidRPr="00D812C0" w:rsidRDefault="00EE3ED4" w:rsidP="00D812C0">
      <w:pPr>
        <w:ind w:firstLine="709"/>
        <w:jc w:val="both"/>
      </w:pPr>
      <w:r w:rsidRPr="00D969A3">
        <w:rPr>
          <w:bCs/>
          <w:iCs/>
        </w:rPr>
        <w:t xml:space="preserve">Рис. </w:t>
      </w:r>
      <w:r w:rsidR="000C1F09">
        <w:rPr>
          <w:bCs/>
          <w:iCs/>
        </w:rPr>
        <w:t>П1</w:t>
      </w:r>
      <w:r w:rsidR="00D812C0">
        <w:rPr>
          <w:bCs/>
          <w:iCs/>
        </w:rPr>
        <w:t>5</w:t>
      </w:r>
      <w:r w:rsidRPr="00D969A3">
        <w:rPr>
          <w:bCs/>
          <w:iCs/>
        </w:rPr>
        <w:t xml:space="preserve">. </w:t>
      </w:r>
      <w:r w:rsidRPr="00D969A3">
        <w:t xml:space="preserve">Цена электроэнергии  в первом полугодии 2012 г. в ППС за 1 КВт.ч. (без НДС и других налогов на электроэнергию) для промышленных потребителей 500-2000 МВт.ч в год в России (менее 750 КВА), Болгарии (в 2012 г. и 2013 г.), в странах ЕС и США </w:t>
      </w:r>
    </w:p>
    <w:p w:rsidR="00EE3ED4" w:rsidRPr="00D969A3" w:rsidRDefault="00EE3ED4" w:rsidP="00EE3ED4">
      <w:pPr>
        <w:ind w:firstLine="709"/>
        <w:jc w:val="both"/>
        <w:rPr>
          <w:bCs/>
          <w:iCs/>
        </w:rPr>
      </w:pPr>
      <w:r w:rsidRPr="00D969A3">
        <w:rPr>
          <w:bCs/>
          <w:iCs/>
        </w:rPr>
        <w:t>Значительно более низкая цена электроэнергии в США, по сравнению с ЕС и Россией, объясняется тем, что в этой стране, (как это было показано выше), цена природного газа и угля для тепловых станций в $ППС почти в два раза меньше. При этом следует иметь в виду, что в себестоимости  производства электроэнергии стоимость энергоносителей на угольных ТЭС составляет 50-70%, а на газовых – 60-80%.</w:t>
      </w:r>
    </w:p>
    <w:p w:rsidR="00EE3ED4" w:rsidRPr="00D969A3" w:rsidRDefault="00EE3ED4" w:rsidP="00EE3ED4">
      <w:pPr>
        <w:ind w:firstLine="709"/>
        <w:jc w:val="both"/>
        <w:rPr>
          <w:bCs/>
          <w:iCs/>
        </w:rPr>
      </w:pPr>
      <w:r w:rsidRPr="00D969A3">
        <w:rPr>
          <w:bCs/>
          <w:iCs/>
        </w:rPr>
        <w:t>Кроме того, в отличие от России: и в «старых» странах ЕС,  и в США  государство жестко ограничивает рост стоимости электроэнергии. Для этого оно отслеживает норму прибыли в электроэнергетической отрасли (в среднем  - 5%, а максимум – 10%).  Управление и государственными, и частными  энергетическими компаниями осуществляется высокоэффективными топ-менеджерами, одна из главных задач которых повышать конкурентоспособность, снижать издержки,стимулировать внедрение новых технологий.</w:t>
      </w:r>
    </w:p>
    <w:p w:rsidR="00EE3ED4" w:rsidRPr="008C1021" w:rsidRDefault="00EE3ED4" w:rsidP="00EE3ED4">
      <w:pPr>
        <w:ind w:firstLine="709"/>
        <w:jc w:val="both"/>
        <w:rPr>
          <w:bCs/>
          <w:iCs/>
        </w:rPr>
      </w:pPr>
      <w:r w:rsidRPr="00D969A3">
        <w:rPr>
          <w:bCs/>
          <w:iCs/>
        </w:rPr>
        <w:t xml:space="preserve">Ситуация с ценами на электроэнергию в России на самом деле вопиющая. При значительно более низкой стоимости энергоносителей для российских ТЭС, чем в странах ЕС (в частности, цена природного газа, рассчитанная в ППС-ЕС, у нас все еще </w:t>
      </w:r>
      <w:r w:rsidRPr="008C1021">
        <w:rPr>
          <w:bCs/>
          <w:iCs/>
        </w:rPr>
        <w:t>на 34,7% ниже среднеевропейской), а цена электроэнергии для средних промышленных потребителей выше на 25%.</w:t>
      </w:r>
    </w:p>
    <w:p w:rsidR="00EE3ED4" w:rsidRPr="008C1021" w:rsidRDefault="00EE3ED4" w:rsidP="00EE3ED4">
      <w:pPr>
        <w:ind w:firstLine="709"/>
        <w:jc w:val="both"/>
        <w:rPr>
          <w:bCs/>
        </w:rPr>
      </w:pPr>
      <w:r w:rsidRPr="008C1021">
        <w:rPr>
          <w:bCs/>
          <w:iCs/>
        </w:rPr>
        <w:t>При этом, доля природного газа в себестоимости производства электроэнергии в России на газовых ТЭС составляет 60-70%, а половина суммарной выработки электроэнергии в стране производится как раз на этих ТЭС.</w:t>
      </w:r>
    </w:p>
    <w:p w:rsidR="00EE3ED4" w:rsidRPr="008C1021" w:rsidRDefault="00EE3ED4" w:rsidP="00EE3ED4">
      <w:pPr>
        <w:ind w:firstLine="720"/>
        <w:jc w:val="both"/>
        <w:rPr>
          <w:bCs/>
          <w:iCs/>
        </w:rPr>
      </w:pPr>
      <w:r w:rsidRPr="008C1021">
        <w:t xml:space="preserve">И дальше будет только хуже. Согласно документу Министерства экономического развития РФ "Сценарные условия для формирования вариантов прогноза социально-экономического развития в 2013-2015 гг." рост оптовых цен на газ в 2013-2014 годах для всех категорий потребителей РФ составит по 15% в год с ежегодной индексацией  1 июля. </w:t>
      </w:r>
      <w:r w:rsidRPr="008C1021">
        <w:rPr>
          <w:bCs/>
          <w:iCs/>
        </w:rPr>
        <w:t xml:space="preserve">Поэтому уже в </w:t>
      </w:r>
      <w:smartTag w:uri="urn:schemas-microsoft-com:office:smarttags" w:element="metricconverter">
        <w:smartTagPr>
          <w:attr w:name="ProductID" w:val="2015 г"/>
        </w:smartTagPr>
        <w:r w:rsidRPr="008C1021">
          <w:rPr>
            <w:bCs/>
            <w:iCs/>
          </w:rPr>
          <w:t>2015 году</w:t>
        </w:r>
      </w:smartTag>
      <w:r w:rsidRPr="008C1021">
        <w:rPr>
          <w:bCs/>
          <w:iCs/>
        </w:rPr>
        <w:t xml:space="preserve"> цена электроэнергии в России для промышленных потребителей станет, одной из </w:t>
      </w:r>
      <w:r w:rsidRPr="008C1021">
        <w:rPr>
          <w:iCs/>
        </w:rPr>
        <w:t>самых высоких</w:t>
      </w:r>
      <w:r w:rsidRPr="008C1021">
        <w:rPr>
          <w:bCs/>
          <w:iCs/>
        </w:rPr>
        <w:t xml:space="preserve"> в Европе. А это, в свою очередь, является одной из основных причин снижения темпа роста ВВП и электропотребления и, конце концов, стагнации экономики страны. </w:t>
      </w:r>
    </w:p>
    <w:p w:rsidR="000413AF" w:rsidRDefault="000413AF" w:rsidP="00EE3ED4">
      <w:pPr>
        <w:ind w:firstLine="720"/>
        <w:jc w:val="both"/>
        <w:rPr>
          <w:bCs/>
          <w:iCs/>
          <w:u w:val="single"/>
        </w:rPr>
      </w:pPr>
    </w:p>
    <w:p w:rsidR="00EE3ED4" w:rsidRDefault="000028D0" w:rsidP="001B47F2">
      <w:pPr>
        <w:pStyle w:val="4"/>
      </w:pPr>
      <w:bookmarkStart w:id="114" w:name="_Toc370759811"/>
      <w:r>
        <w:t>П</w:t>
      </w:r>
      <w:r w:rsidR="00904630">
        <w:t>2.2</w:t>
      </w:r>
      <w:r w:rsidR="000413AF" w:rsidRPr="000413AF">
        <w:t>.</w:t>
      </w:r>
      <w:r w:rsidR="00904630">
        <w:t>3</w:t>
      </w:r>
      <w:r>
        <w:t>.</w:t>
      </w:r>
      <w:r w:rsidR="00904630">
        <w:t xml:space="preserve"> </w:t>
      </w:r>
      <w:r w:rsidR="00940630">
        <w:t>Определение уровня цен на электроэнергию и тепло, который могут вызвать дополнительное социальное напряжение</w:t>
      </w:r>
      <w:bookmarkEnd w:id="114"/>
      <w:r w:rsidR="00940630">
        <w:t xml:space="preserve"> </w:t>
      </w:r>
    </w:p>
    <w:p w:rsidR="00940630" w:rsidRPr="000413AF" w:rsidRDefault="00940630" w:rsidP="001B47F2">
      <w:pPr>
        <w:pStyle w:val="4"/>
      </w:pPr>
    </w:p>
    <w:p w:rsidR="00EE3ED4" w:rsidRPr="00D969A3" w:rsidRDefault="00EE3ED4" w:rsidP="00EE3ED4">
      <w:pPr>
        <w:ind w:firstLine="709"/>
        <w:jc w:val="both"/>
        <w:rPr>
          <w:rFonts w:cs="Arial"/>
          <w:bCs/>
          <w:szCs w:val="26"/>
        </w:rPr>
      </w:pPr>
      <w:r w:rsidRPr="00D969A3">
        <w:rPr>
          <w:bCs/>
        </w:rPr>
        <w:t>Но что будет, если оставить все по-прежнему? За примерами далеко ходить не надо: в</w:t>
      </w:r>
      <w:r w:rsidRPr="00D969A3">
        <w:rPr>
          <w:rFonts w:cs="Arial"/>
          <w:bCs/>
          <w:szCs w:val="26"/>
        </w:rPr>
        <w:t xml:space="preserve"> Болгарии, где стоимость электроэнергии в этом году стала самой большой в Европе (см. </w:t>
      </w:r>
      <w:r w:rsidR="000C1F09">
        <w:rPr>
          <w:rFonts w:cs="Arial"/>
          <w:bCs/>
          <w:szCs w:val="26"/>
        </w:rPr>
        <w:t>рис</w:t>
      </w:r>
      <w:r w:rsidRPr="00D969A3">
        <w:rPr>
          <w:rFonts w:cs="Arial"/>
          <w:bCs/>
          <w:szCs w:val="26"/>
        </w:rPr>
        <w:t xml:space="preserve"> </w:t>
      </w:r>
      <w:r w:rsidR="000C1F09">
        <w:rPr>
          <w:rFonts w:cs="Arial"/>
          <w:bCs/>
          <w:szCs w:val="26"/>
        </w:rPr>
        <w:t>П16</w:t>
      </w:r>
      <w:r w:rsidRPr="00D969A3">
        <w:rPr>
          <w:rFonts w:cs="Arial"/>
          <w:bCs/>
          <w:szCs w:val="26"/>
        </w:rPr>
        <w:t>), народные волнения по этому поводу привели к отставке Правительства Бойко Борисова.</w:t>
      </w:r>
    </w:p>
    <w:p w:rsidR="00EE3ED4" w:rsidRPr="00D969A3" w:rsidRDefault="00EE3ED4" w:rsidP="00EE3ED4">
      <w:pPr>
        <w:ind w:firstLine="709"/>
        <w:jc w:val="both"/>
        <w:rPr>
          <w:b/>
          <w:bCs/>
          <w:iCs/>
        </w:rPr>
      </w:pPr>
      <w:r w:rsidRPr="00D969A3">
        <w:rPr>
          <w:bCs/>
          <w:iCs/>
        </w:rPr>
        <w:t xml:space="preserve">В прошлом году цена электроэнергии для средних промышленных потребителей, там достигла 0,151 ППС-ЕС за 1 кВт-ч. Это в 3,1 раз выше, чем в США, в полтора раза </w:t>
      </w:r>
      <w:r w:rsidRPr="00D969A3">
        <w:rPr>
          <w:rStyle w:val="af5"/>
          <w:rFonts w:eastAsia="Calibri"/>
          <w:sz w:val="24"/>
          <w:szCs w:val="24"/>
        </w:rPr>
        <w:t>выше</w:t>
      </w:r>
      <w:r w:rsidRPr="00D969A3">
        <w:rPr>
          <w:b/>
          <w:bCs/>
          <w:i/>
          <w:iCs/>
        </w:rPr>
        <w:t>,</w:t>
      </w:r>
      <w:r w:rsidRPr="00D969A3">
        <w:rPr>
          <w:bCs/>
          <w:iCs/>
        </w:rPr>
        <w:t xml:space="preserve"> чем в среднем в ЕС и на четверть выше, чем в России. А в начале 2013 года она стала самой высокой в Европе,. </w:t>
      </w:r>
      <w:r w:rsidRPr="00D969A3">
        <w:rPr>
          <w:bCs/>
        </w:rPr>
        <w:t xml:space="preserve">Такой ценовой перекос </w:t>
      </w:r>
      <w:r w:rsidRPr="00D969A3">
        <w:t>вызвал стагнацию роста реального сектора экономики Болгарии, свертывание промышленного производства, снижение ВВП и резкое снижение электропотребления. Все могло бы и ограничиться экономическим спадом, однако пострадало и население, которое, не долго думая, и вышло на баррикады, протестуя против ценовой вакханалии.</w:t>
      </w:r>
    </w:p>
    <w:p w:rsidR="00EE3ED4" w:rsidRDefault="00EE3ED4" w:rsidP="00EE3ED4">
      <w:pPr>
        <w:ind w:firstLine="567"/>
        <w:jc w:val="both"/>
      </w:pPr>
      <w:r w:rsidRPr="00D969A3">
        <w:t>В базе Евростата представлены конечные цены (без НДС и других специальных налогов) на электроэнергию для домашних хозяйств за 1 КВт-ч в евро, пересчитанные по курсу ЦБ каждой страны</w:t>
      </w:r>
      <w:r w:rsidRPr="00D969A3">
        <w:rPr>
          <w:rStyle w:val="af5"/>
          <w:rFonts w:eastAsia="Calibri"/>
          <w:sz w:val="24"/>
          <w:szCs w:val="24"/>
        </w:rPr>
        <w:t xml:space="preserve"> </w:t>
      </w:r>
      <w:r w:rsidRPr="00D969A3">
        <w:t>и</w:t>
      </w:r>
      <w:r w:rsidRPr="00D969A3">
        <w:rPr>
          <w:rStyle w:val="af5"/>
          <w:rFonts w:eastAsia="Calibri"/>
          <w:sz w:val="24"/>
          <w:szCs w:val="24"/>
        </w:rPr>
        <w:t xml:space="preserve"> </w:t>
      </w:r>
      <w:r w:rsidRPr="00D969A3">
        <w:t xml:space="preserve">действовавшие в первом полугодии 2012 года. К этим хозяйствам причисляются те, кто потребляет в год от 2500 до 5000 </w:t>
      </w:r>
      <w:r w:rsidR="00D812C0">
        <w:t>КВт-ч (рис. 16</w:t>
      </w:r>
      <w:r w:rsidRPr="00D969A3">
        <w:t>). В 2011 году в России среднее потребление на душу населения равнялось 900 КВт-ч. в год. Так что на домашнее хозяйство, что при среднероссийском составе семьи из 2,7 человека, приходилось 2430 кВт-ч, т.е. почти столько же, сколько и у хозяйств Еврозоны. По материалам Минэнерго, в 2011 году среднеотпускной тариф для населения составил 1,795 руб. (0,0439 €) за КВт-ч без НДС (для населения Европейской части России и Урала эта величина равняется 1,888 руб. за КВт-ч. или 0,0462 €). Аналогичный документ за 2012 год пока не опубликован, поэтому для оценки условимся считать, что рост цены в 2012 году будет такой же, как и в 2011 (в 2011, по отношению к 2010 году цены на электроэнергию для населения подорожали на 10,8%). Тогда можем считать, что в 2012 году среднеотпускной тариф составит 1,99 рублей (0,0498 €) за 1 кВт-ч.</w:t>
      </w:r>
    </w:p>
    <w:p w:rsidR="007A6291" w:rsidRDefault="007A6291" w:rsidP="00EE3ED4">
      <w:pPr>
        <w:ind w:firstLine="567"/>
        <w:jc w:val="both"/>
      </w:pPr>
    </w:p>
    <w:p w:rsidR="007A6291" w:rsidRDefault="007A6291" w:rsidP="00EE3ED4">
      <w:pPr>
        <w:ind w:firstLine="567"/>
        <w:jc w:val="both"/>
      </w:pPr>
    </w:p>
    <w:p w:rsidR="00023331" w:rsidRPr="00D969A3" w:rsidRDefault="00023331" w:rsidP="00EE3ED4">
      <w:pPr>
        <w:ind w:firstLine="567"/>
        <w:jc w:val="both"/>
      </w:pPr>
    </w:p>
    <w:p w:rsidR="00EE3ED4" w:rsidRPr="00D969A3" w:rsidRDefault="007C1ADE" w:rsidP="00EE3ED4">
      <w:pPr>
        <w:ind w:firstLine="567"/>
        <w:jc w:val="both"/>
      </w:pPr>
      <w:r>
        <w:rPr>
          <w:noProof/>
        </w:rPr>
        <w:drawing>
          <wp:inline distT="0" distB="0" distL="0" distR="0">
            <wp:extent cx="5937758" cy="7364549"/>
            <wp:effectExtent l="12192" t="6096" r="3175" b="1705"/>
            <wp:docPr id="11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EE3ED4" w:rsidRPr="00D969A3" w:rsidRDefault="00EE3ED4" w:rsidP="00F826C2">
      <w:pPr>
        <w:ind w:firstLine="851"/>
        <w:jc w:val="both"/>
      </w:pPr>
      <w:r w:rsidRPr="00D969A3">
        <w:t xml:space="preserve">Рис. </w:t>
      </w:r>
      <w:r w:rsidR="00D812C0">
        <w:t>П16</w:t>
      </w:r>
      <w:r w:rsidRPr="00D969A3">
        <w:t>. Цена электроэнергии для населения (домашних хозяйств с потреблением электроэнергии в диапазоне 2500-5000 кВт.ч. в год) в различных странах в € ЦБ за 1 кВт.ч. (без НДС и специальных налогов на электроэнергию) в первом полугодии 2012 г.</w:t>
      </w:r>
    </w:p>
    <w:p w:rsidR="00EE3ED4" w:rsidRPr="00D969A3" w:rsidRDefault="00EE3ED4" w:rsidP="00EE3ED4">
      <w:pPr>
        <w:ind w:firstLine="567"/>
        <w:jc w:val="both"/>
      </w:pPr>
    </w:p>
    <w:p w:rsidR="00EE3ED4" w:rsidRPr="00D969A3" w:rsidRDefault="00EE3ED4" w:rsidP="00EE3ED4">
      <w:pPr>
        <w:ind w:firstLine="567"/>
        <w:jc w:val="both"/>
      </w:pPr>
      <w:r w:rsidRPr="00D969A3">
        <w:t xml:space="preserve">Формально, цены электроэнергии для населения России и Болгарии, рассчитанные в евро по курсу ЦБ этих стран, существенно ниже, чем в других странах ЕС. Но все меняется, если сделать их перерасчет не по курсу валют ЦБ, а по ППС-ЕС (рис. </w:t>
      </w:r>
      <w:r w:rsidR="000C1F09">
        <w:t>П1</w:t>
      </w:r>
      <w:r w:rsidR="00D812C0">
        <w:t>7</w:t>
      </w:r>
      <w:r w:rsidRPr="00D969A3">
        <w:t xml:space="preserve">). Тогда среднеотпускная цена электроэнергии для населения России будет равняться 1,99/24,95 = 0,0797 ППС-ЕС. Это цена выше, чем во Франции и США, но все равно остается значительно ниже, по сравнению с другими странами. Однако, для жителей Центрального федерального округа (ЦФО) утвержденный тариф на электроэнергию (0,115 ППС-ЕС за кВт-ч.) значительно выше, чем в целом ряде стран Европы. Однако, если в ближайшие три года будет продолжаться ежегодный 15%-ый рост цены газа, то это неизбежно приведет к росту среднеотпускной цене электроэнергии для населения страны в ЦФО до 0,15 ППС-ЕС за кВт-ч. То есть уже через два года она достигнет уровня отпускных цен в Болгарии в 2012 году (0,156 ППС-ЕС за кВт-ч). </w:t>
      </w:r>
    </w:p>
    <w:p w:rsidR="00EE3ED4" w:rsidRPr="00D969A3" w:rsidRDefault="00EE3ED4" w:rsidP="00EE3ED4">
      <w:pPr>
        <w:ind w:firstLine="708"/>
        <w:jc w:val="both"/>
      </w:pPr>
      <w:r w:rsidRPr="00D969A3">
        <w:t>В Болгарии, в начале 2013 года, произошел скачкообразный рост цены электроэнергии для населения на 30% к уровню 2012 года (0,156 ППС ЕС) и сделал электроэнергию для населения в этой стране самой высокой в Европе – 0,203ППС-ЕС за 1 кВт.ч. Согласно данным Евростата, в 2012 году среднедушевой доход в Болгарии был равен 5170 ППС-ЕС (</w:t>
      </w:r>
      <w:hyperlink r:id="rId133" w:history="1">
        <w:r w:rsidRPr="00D969A3">
          <w:rPr>
            <w:rStyle w:val="a4"/>
            <w:rFonts w:ascii="Arial" w:hAnsi="Arial"/>
            <w:sz w:val="20"/>
            <w:szCs w:val="20"/>
          </w:rPr>
          <w:t>http://www.newsbg.ru/ekonomika/100-ekonomika/5241-k-kontsu-2012-goda-rost-dohodov-bolgarskih-semej-obognal-rost-rashodov.html</w:t>
        </w:r>
      </w:hyperlink>
      <w:r w:rsidRPr="00D969A3">
        <w:rPr>
          <w:rFonts w:ascii="Arial" w:hAnsi="Arial" w:cs="Arial"/>
          <w:sz w:val="20"/>
          <w:szCs w:val="20"/>
        </w:rPr>
        <w:t>).</w:t>
      </w:r>
      <w:r w:rsidRPr="00D969A3">
        <w:t>Нетрудно посчитать, что исходя их ежегодного потребления в 1300 кВт-ч. в год на 1 человека, затраты на электроэнергию в 2012г. равнялись 0,156*1300 +20% НДС = 243 ППС ЕС или 4,7% от среднегодовых доходов в 2012 г. Эта величина выросла в 2013 году до 6,1% -- и население Болгарии вышло на улицы смело Правительство Бойко Борисова. Таким образом, критическая точка «народных выступлений» находится в диапазоне 4,7% и 6,1% или, в среднем,  - 5,4%.</w:t>
      </w:r>
    </w:p>
    <w:p w:rsidR="00EE3ED4" w:rsidRPr="00D969A3" w:rsidRDefault="00EE3ED4" w:rsidP="00EE3ED4">
      <w:pPr>
        <w:jc w:val="both"/>
      </w:pPr>
    </w:p>
    <w:p w:rsidR="00EE3ED4" w:rsidRPr="00D969A3" w:rsidRDefault="00EE3ED4" w:rsidP="00EE3ED4">
      <w:pPr>
        <w:jc w:val="both"/>
        <w:rPr>
          <w:rFonts w:ascii="Arial" w:hAnsi="Arial" w:cs="Arial"/>
          <w:sz w:val="20"/>
          <w:szCs w:val="20"/>
        </w:rPr>
      </w:pPr>
    </w:p>
    <w:p w:rsidR="00EE3ED4" w:rsidRPr="00D969A3" w:rsidRDefault="00EE3ED4" w:rsidP="00EE3ED4">
      <w:pPr>
        <w:jc w:val="both"/>
        <w:rPr>
          <w:rFonts w:ascii="Arial" w:hAnsi="Arial" w:cs="Arial"/>
          <w:sz w:val="20"/>
          <w:szCs w:val="20"/>
        </w:rPr>
      </w:pPr>
    </w:p>
    <w:p w:rsidR="00EE3ED4" w:rsidRPr="00D969A3" w:rsidRDefault="007C1ADE" w:rsidP="00EE3ED4">
      <w:pPr>
        <w:jc w:val="both"/>
        <w:rPr>
          <w:rFonts w:ascii="Arial" w:hAnsi="Arial" w:cs="Arial"/>
          <w:sz w:val="20"/>
          <w:szCs w:val="20"/>
        </w:rPr>
      </w:pPr>
      <w:r>
        <w:rPr>
          <w:rFonts w:ascii="Arial" w:hAnsi="Arial" w:cs="Arial"/>
          <w:noProof/>
          <w:sz w:val="20"/>
          <w:szCs w:val="20"/>
        </w:rPr>
        <w:drawing>
          <wp:inline distT="0" distB="0" distL="0" distR="0">
            <wp:extent cx="5715889" cy="8537829"/>
            <wp:effectExtent l="12192" t="6096" r="5969" b="0"/>
            <wp:docPr id="1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EE3ED4" w:rsidRPr="00D969A3" w:rsidRDefault="00EE3ED4" w:rsidP="00EE3ED4">
      <w:pPr>
        <w:ind w:firstLine="709"/>
        <w:jc w:val="both"/>
        <w:rPr>
          <w:bCs/>
        </w:rPr>
      </w:pPr>
      <w:r w:rsidRPr="00D969A3">
        <w:t xml:space="preserve">Рис. </w:t>
      </w:r>
      <w:r w:rsidR="000C1F09">
        <w:t>П1</w:t>
      </w:r>
      <w:r w:rsidR="00D812C0">
        <w:t>7</w:t>
      </w:r>
      <w:r w:rsidRPr="00D969A3">
        <w:t xml:space="preserve">. </w:t>
      </w:r>
      <w:r w:rsidRPr="00D969A3">
        <w:rPr>
          <w:bCs/>
        </w:rPr>
        <w:t xml:space="preserve">Цена электроэнергии для населения (домашних хозяйств с потреблением электроэнергии между 2500 и 5000 КВт.ч  в год) в различных странах в </w:t>
      </w:r>
      <w:r w:rsidRPr="00D969A3">
        <w:t>ППС за 1 КВт.ч.</w:t>
      </w:r>
      <w:r w:rsidRPr="00D969A3">
        <w:rPr>
          <w:bCs/>
        </w:rPr>
        <w:t xml:space="preserve"> (без НДС и специальных налогов на электроэнергию) в первом полугодии 2012 г.</w:t>
      </w:r>
    </w:p>
    <w:p w:rsidR="00EE3ED4" w:rsidRPr="00D969A3" w:rsidRDefault="00EE3ED4" w:rsidP="00EE3ED4">
      <w:pPr>
        <w:ind w:firstLine="708"/>
        <w:jc w:val="both"/>
      </w:pPr>
      <w:r w:rsidRPr="00D969A3">
        <w:t xml:space="preserve">В России в 2012г.  потребление электроэнергии составляет 910 кВт-ч на человека в год, соответственно,  ежегодные затраты на электроэнергию составляют 910*1,99 +18% НДС = 2100 руб. или 85 ППС ЕС на человека. Но, в отличие от Болгарии, в России, необходимо суммировать затраты на электроэнергию с затратами на тепло, при этом доля  затрат на электроэнергию составляет около 30% от общей суммы затрат. Тогда, на 1 человека приходится 282 ППС ЕС в год суммарно на электроэнергию и тепло с учетом НДС. В 1 квартале 2012 г. в России  52,4% населения имели среднедушевые годовые доходы меньше, чем 180 тыс. руб.  в год (http://www.gks.ru/bgd/regl/b12_01/IssWWW.exe/Stg/d03/3-1-2.htm) или менее 7200 ППС ЕС, что  в 1,6 раза выше, чем в среднем по Болгарии. Т.к. в России, по сравнению с Болгарией, имеет место намного более значительное расслоение населения по доходам, примем (с запасом) величину в 180 тыс. руб. в качестве среднедушевого годового дохода. Тогда, в 2012 г. в среднем по России доля затрат на оплату электроэнергии и тепла составила 3,9%, однако, для 31,4% населения, среднедушевые доходы которой составляют менее 120 тыс. руб. в год (4810 ППС-ЕС) эта доля составит уже 5,9% от средних подушевых доходов. Для этой части населения оплата электроэнергии и тепла становится уже неподъемной. </w:t>
      </w:r>
    </w:p>
    <w:p w:rsidR="00EE3ED4" w:rsidRPr="00D969A3" w:rsidRDefault="00EE3ED4" w:rsidP="00EE3ED4">
      <w:pPr>
        <w:ind w:firstLine="708"/>
        <w:jc w:val="both"/>
      </w:pPr>
      <w:r w:rsidRPr="00D969A3">
        <w:t>В ЦФО затраты на электроэнергию составляют 900*0,115 +18% НДС= 122ППС-ЕС, а общие затраты на электроэнергию и тепло – 407 ППС-ЕС или  5,7% от средних годовых подушевых доходов, т.е. уже превысило критическую точку в 5,4%, при которой население Болгарии вышло на улицы. Последующий ежегодный 15%-й директивный рост цены газа с 1 июля 2013 г. и 2014 г.  вызывает соответствующий рост цены электроэнергии для населения на 10,8% в год, (см. рис. 5). Соответственно, это приведет к  росту доли затрат до 6,3% и 7,0% от среднедушевого годового дохода. И нет никаких гарантий, что  россияне в 2014-2015 гг., как и болгары в январе 2013 г., не выйдут на баррикады.</w:t>
      </w:r>
    </w:p>
    <w:p w:rsidR="00EE3ED4" w:rsidRPr="00D969A3" w:rsidRDefault="00EE3ED4" w:rsidP="00EE3ED4">
      <w:pPr>
        <w:ind w:firstLine="708"/>
        <w:jc w:val="both"/>
      </w:pPr>
    </w:p>
    <w:p w:rsidR="00EE3ED4" w:rsidRPr="00B22F4A" w:rsidRDefault="000028D0" w:rsidP="00B22F4A">
      <w:pPr>
        <w:pStyle w:val="4"/>
      </w:pPr>
      <w:bookmarkStart w:id="115" w:name="_Toc370759812"/>
      <w:r>
        <w:t>П</w:t>
      </w:r>
      <w:r w:rsidR="0087297E">
        <w:t>2.2</w:t>
      </w:r>
      <w:r w:rsidR="000413AF" w:rsidRPr="000413AF">
        <w:t>.</w:t>
      </w:r>
      <w:r w:rsidR="0087297E">
        <w:t>4</w:t>
      </w:r>
      <w:r>
        <w:t>.</w:t>
      </w:r>
      <w:r w:rsidR="000413AF" w:rsidRPr="000413AF">
        <w:t xml:space="preserve"> </w:t>
      </w:r>
      <w:r w:rsidR="00EE3ED4" w:rsidRPr="000413AF">
        <w:t>Тупик перекрестного субсидирования. Есть ли выход?</w:t>
      </w:r>
      <w:bookmarkEnd w:id="115"/>
      <w:r w:rsidR="00EE3ED4" w:rsidRPr="000413AF">
        <w:t xml:space="preserve"> </w:t>
      </w:r>
    </w:p>
    <w:p w:rsidR="00EE3ED4" w:rsidRPr="00D969A3" w:rsidRDefault="00EE3ED4" w:rsidP="00EE3ED4">
      <w:pPr>
        <w:ind w:firstLine="708"/>
        <w:jc w:val="both"/>
        <w:rPr>
          <w:sz w:val="40"/>
        </w:rPr>
      </w:pPr>
      <w:r w:rsidRPr="00D969A3">
        <w:rPr>
          <w:szCs w:val="20"/>
          <w:shd w:val="clear" w:color="auto" w:fill="FFFFFF"/>
        </w:rPr>
        <w:t xml:space="preserve">Перекрестное субсидирование в электроэнергетике — это уменьшение тарифов на электроэнергию для населения и объектов социальной сферы за счет их роста для промышленности. В последние годы объемы перекрестного субсидирования только росли и  стали  очень серьезной  проблемой. По </w:t>
      </w:r>
      <w:r w:rsidRPr="00D969A3">
        <w:t xml:space="preserve">данным </w:t>
      </w:r>
      <w:r w:rsidRPr="00D969A3">
        <w:rPr>
          <w:szCs w:val="20"/>
          <w:shd w:val="clear" w:color="auto" w:fill="FFFFFF"/>
        </w:rPr>
        <w:t xml:space="preserve">энергетического центра бизнес-школы Сколково, </w:t>
      </w:r>
      <w:hyperlink r:id="rId135" w:history="1">
        <w:r w:rsidRPr="00D969A3">
          <w:rPr>
            <w:rStyle w:val="a4"/>
            <w:szCs w:val="20"/>
            <w:shd w:val="clear" w:color="auto" w:fill="FFFFFF"/>
          </w:rPr>
          <w:t>http://www.gks.ru/bgd/regl/b12_01/IssWWW.exe/Stg/d03/3-1-2.htm</w:t>
        </w:r>
      </w:hyperlink>
      <w:r w:rsidRPr="00D969A3">
        <w:rPr>
          <w:szCs w:val="20"/>
          <w:shd w:val="clear" w:color="auto" w:fill="FFFFFF"/>
        </w:rPr>
        <w:t xml:space="preserve"> </w:t>
      </w:r>
      <w:r w:rsidRPr="00D969A3">
        <w:t xml:space="preserve">в 2011 г. этот объем составил 324 млрд. руб. (без НДС), из которых на население приходилось 200 млрд. руб. без НДС или 236 млрд. руб с НДС. Это привело к снижению роста промышленного производства на 3,6%. </w:t>
      </w:r>
    </w:p>
    <w:p w:rsidR="00EE3ED4" w:rsidRPr="00D969A3" w:rsidRDefault="00EE3ED4" w:rsidP="00EE3ED4">
      <w:pPr>
        <w:ind w:firstLine="708"/>
        <w:jc w:val="both"/>
        <w:rPr>
          <w:shd w:val="clear" w:color="auto" w:fill="FFFFFF"/>
        </w:rPr>
      </w:pPr>
      <w:r w:rsidRPr="00D969A3">
        <w:t>Президент В.В. Путин</w:t>
      </w:r>
      <w:r w:rsidRPr="00D969A3">
        <w:rPr>
          <w:rFonts w:ascii="Verdana" w:hAnsi="Verdana"/>
          <w:sz w:val="20"/>
          <w:szCs w:val="20"/>
          <w:shd w:val="clear" w:color="auto" w:fill="FFFFFF"/>
        </w:rPr>
        <w:t xml:space="preserve"> </w:t>
      </w:r>
      <w:r w:rsidRPr="00D969A3">
        <w:rPr>
          <w:shd w:val="clear" w:color="auto" w:fill="FFFFFF"/>
        </w:rPr>
        <w:t>потребовал от правительства решить этот вопрос «на основе взвешенного, выверенного подхода». «Хочу сразу же подчеркнуть: главный ориентир здесь остается прежним — не допустить необоснованного роста тарифов на электроэнергию для населения и для малого бизнеса», — предупредил президент.</w:t>
      </w:r>
    </w:p>
    <w:p w:rsidR="00EE3ED4" w:rsidRPr="00D969A3" w:rsidRDefault="00EE3ED4" w:rsidP="00EE3ED4">
      <w:pPr>
        <w:ind w:firstLine="708"/>
        <w:jc w:val="both"/>
        <w:rPr>
          <w:shd w:val="clear" w:color="auto" w:fill="FFFFFF"/>
        </w:rPr>
      </w:pPr>
      <w:r w:rsidRPr="00D969A3">
        <w:rPr>
          <w:shd w:val="clear" w:color="auto" w:fill="FFFFFF"/>
        </w:rPr>
        <w:t>План мероприятий, предлагаемый Минэнерго сводится к тому, чтобы законодательно определить объем субсидирования и постепенно его снижать. Для того чтобы не вызвать социального напряжения, предлагается программа защиты наименее обеспеченных слоев населения.  В частности, планируется ввести социальную норму потребления электроэнергии, свыше которой электроэнергия должна будет оплачиваться по повышенному тарифу.</w:t>
      </w:r>
    </w:p>
    <w:p w:rsidR="00EE3ED4" w:rsidRPr="00D969A3" w:rsidRDefault="00EE3ED4" w:rsidP="00EE3ED4">
      <w:pPr>
        <w:ind w:firstLine="708"/>
        <w:jc w:val="both"/>
        <w:rPr>
          <w:shd w:val="clear" w:color="auto" w:fill="FFFFFF"/>
        </w:rPr>
      </w:pPr>
      <w:r w:rsidRPr="00D969A3">
        <w:rPr>
          <w:shd w:val="clear" w:color="auto" w:fill="FFFFFF"/>
        </w:rPr>
        <w:t xml:space="preserve">Давайте рассмотрим, на сколько повысится тариф для основной массы населения после введения этой программы.  </w:t>
      </w:r>
    </w:p>
    <w:p w:rsidR="00EE3ED4" w:rsidRPr="00D969A3" w:rsidRDefault="00EE3ED4" w:rsidP="00EE3ED4">
      <w:pPr>
        <w:ind w:firstLine="708"/>
        <w:jc w:val="both"/>
        <w:rPr>
          <w:shd w:val="clear" w:color="auto" w:fill="FFFFFF"/>
        </w:rPr>
      </w:pPr>
      <w:r w:rsidRPr="00D969A3">
        <w:rPr>
          <w:shd w:val="clear" w:color="auto" w:fill="FFFFFF"/>
        </w:rPr>
        <w:t>В России в 2012 г. доля электроэнергии, потребляемая населения, составила 12,6% или 130 млрд. кВт.ч со средней стоимостью 1,99 руб. за 1 кВт.ч. (без НДС)  или 2,35 руб за 1 кВт.ч с НДС с общим объемом выручки  304 млрд. руб. с НДС.</w:t>
      </w:r>
    </w:p>
    <w:p w:rsidR="00EE3ED4" w:rsidRPr="00D969A3" w:rsidRDefault="00EE3ED4" w:rsidP="00EE3ED4">
      <w:pPr>
        <w:ind w:firstLine="708"/>
        <w:jc w:val="both"/>
        <w:rPr>
          <w:shd w:val="clear" w:color="auto" w:fill="FFFFFF"/>
        </w:rPr>
      </w:pPr>
      <w:r w:rsidRPr="00D969A3">
        <w:rPr>
          <w:shd w:val="clear" w:color="auto" w:fill="FFFFFF"/>
        </w:rPr>
        <w:t xml:space="preserve">Предположим, с запасом, что социальная норма потребления будет равняться 606 кВт.ч. в год (50 КВт.ч на человека в месяц – норма, обсуждаемая в экспертных кругах) или 2/3 от среднегодового электропотребления в стране на человека - 910 кВт.ч.,  или  всего на все население (143 млн. человек) – 87 млрд кВт.ч. Примем, что оплата этой части потребления будет производиться по уровню тарифа 2012 г. – 2,35 руб. за 1 кВт.ч. с НДС. Тогда объем выручки от продажи электроэнергии в пределах социальной нормы составит – 606 кВт.ч.*2,35руб/кВт.ч*143 млн. чел = 203 млрд. руб. с НДС. Остальная часть электроэнергии должна будет оплачиваться по повышенным тарифам. Чтобы избежать перекрестного субсидирования, его величина должна равняться (304-203+236)/43 млрд. кВтч. = 7,8 руб. за 1 кВт.ч. с НДС. </w:t>
      </w:r>
    </w:p>
    <w:p w:rsidR="00EE3ED4" w:rsidRPr="00D969A3" w:rsidRDefault="00EE3ED4" w:rsidP="00EE3ED4">
      <w:pPr>
        <w:ind w:firstLine="708"/>
        <w:jc w:val="both"/>
        <w:rPr>
          <w:shd w:val="clear" w:color="auto" w:fill="FFFFFF"/>
        </w:rPr>
      </w:pPr>
      <w:r w:rsidRPr="00D969A3">
        <w:rPr>
          <w:shd w:val="clear" w:color="auto" w:fill="FFFFFF"/>
        </w:rPr>
        <w:t>Для среднероссийской семьи, состоящей из 2,7 человек со среднегодовым уровнем электропотребления  2460 кВт.ч., оплата электроэнергии составит 1640*2,35 руб +  820*7,8  =3550+6400=9 950 руб. в год или 830 руб. в мес. на семью.</w:t>
      </w:r>
    </w:p>
    <w:p w:rsidR="00EE3ED4" w:rsidRPr="00D969A3" w:rsidRDefault="00EE3ED4" w:rsidP="00EE3ED4">
      <w:pPr>
        <w:ind w:firstLine="708"/>
        <w:jc w:val="both"/>
        <w:rPr>
          <w:shd w:val="clear" w:color="auto" w:fill="FFFFFF"/>
        </w:rPr>
      </w:pPr>
      <w:r w:rsidRPr="00D969A3">
        <w:rPr>
          <w:shd w:val="clear" w:color="auto" w:fill="FFFFFF"/>
        </w:rPr>
        <w:t xml:space="preserve">По сравнению с действующей системой оплаты 910*2,35*2,7 = 5 770 руб. в год или 480 руб. в мес. на семью. Таким образом, расходы на оплату электроэнергии для населения увеличится в среднем в 1,7 раз или до 0,085 € ЦБ за 1 кВт.ч (без НДС) при расчете по курсу ЦБ, т.е. выше, чем в Болгарии, Эстонии, Румынии и США, или  до 0,136 ППС-ЕС за 1 кВт.ч. (без НДС), при расчете в ППС-ЕС, т.е. дороже, чем в среднем в странах ЕС на 3,3%, Эстонии –26%, Швеции – 37%, Финляндии -52%, Франции – 72%, США – на 74%.  </w:t>
      </w:r>
    </w:p>
    <w:p w:rsidR="00EE3ED4" w:rsidRPr="00D812C0" w:rsidRDefault="00EE3ED4" w:rsidP="00D812C0">
      <w:pPr>
        <w:ind w:firstLine="708"/>
        <w:jc w:val="both"/>
        <w:rPr>
          <w:shd w:val="clear" w:color="auto" w:fill="FFFFFF"/>
        </w:rPr>
      </w:pPr>
      <w:r w:rsidRPr="00D969A3">
        <w:rPr>
          <w:shd w:val="clear" w:color="auto" w:fill="FFFFFF"/>
        </w:rPr>
        <w:t xml:space="preserve">В предлагаемой программе рост тарифов на электроэнергию, приходящийся на 1 человека, составит 1550 руб. в год или 62 ППС-ЕС. Это приведет к суммарному увеличению доли оплаты электроэнергии и тепла в среднедушевом годовом доходе на 0,86 % или до 4,76%. </w:t>
      </w:r>
      <w:r w:rsidRPr="00D969A3">
        <w:t xml:space="preserve">Уже в 2014 г. за счет </w:t>
      </w:r>
      <w:r w:rsidRPr="00D969A3">
        <w:rPr>
          <w:shd w:val="clear" w:color="auto" w:fill="FFFFFF"/>
        </w:rPr>
        <w:t xml:space="preserve">повышения на 15% </w:t>
      </w:r>
      <w:r w:rsidRPr="00D969A3">
        <w:t>цены газа 1 июля 2013 г. и 2014 г. эта доля составит уже 5,84% (для населения  всей страны), т.е. попадет в «критический диапазон» - 4,7%-6,1%, при котором население Болгарии вышло на улицы. .  А для населения ЦФО эта доля составит 8,4% и станет вообще неподъемным для большей его части.</w:t>
      </w:r>
    </w:p>
    <w:p w:rsidR="00EE3ED4" w:rsidRPr="00D969A3" w:rsidRDefault="00EE3ED4" w:rsidP="00EE3ED4">
      <w:pPr>
        <w:jc w:val="both"/>
        <w:rPr>
          <w:shd w:val="clear" w:color="auto" w:fill="FFFFFF"/>
        </w:rPr>
      </w:pPr>
      <w:r w:rsidRPr="00D969A3">
        <w:rPr>
          <w:shd w:val="clear" w:color="auto" w:fill="FFFFFF"/>
        </w:rPr>
        <w:t>Этот анализ показывает, что предложенная программа постепенного уменьшения перекрестного субсидирования неработоспособна из-за неоправданно высокой доли затрат на электроэнергию и тепло в уровне доходов населения.</w:t>
      </w:r>
    </w:p>
    <w:p w:rsidR="00EE3ED4" w:rsidRDefault="00EE3ED4" w:rsidP="00B22F4A">
      <w:pPr>
        <w:jc w:val="both"/>
      </w:pPr>
    </w:p>
    <w:p w:rsidR="009478DB" w:rsidRDefault="00B22F4A" w:rsidP="00212929">
      <w:pPr>
        <w:pStyle w:val="2"/>
      </w:pPr>
      <w:r>
        <w:br w:type="page"/>
      </w:r>
      <w:bookmarkStart w:id="116" w:name="_Toc370759813"/>
      <w:bookmarkStart w:id="117" w:name="_Toc374557815"/>
      <w:r w:rsidR="009478DB" w:rsidRPr="00A81F9F">
        <w:t>Раздел П</w:t>
      </w:r>
      <w:r w:rsidR="000413AF">
        <w:t>4</w:t>
      </w:r>
      <w:r w:rsidR="009478DB" w:rsidRPr="00A81F9F">
        <w:t>. «Предложения по дальнейшему развитию реформы в электроэнергетике»</w:t>
      </w:r>
      <w:r w:rsidR="009478DB">
        <w:t xml:space="preserve"> (написано проф. Кутовым Г.П.).</w:t>
      </w:r>
      <w:bookmarkEnd w:id="116"/>
      <w:bookmarkEnd w:id="117"/>
    </w:p>
    <w:p w:rsidR="00B22F4A" w:rsidRPr="00B22F4A" w:rsidRDefault="00B22F4A" w:rsidP="008B1D2F">
      <w:pPr>
        <w:pStyle w:val="10"/>
      </w:pPr>
    </w:p>
    <w:p w:rsidR="009478DB" w:rsidRPr="00A81F9F" w:rsidRDefault="009478DB" w:rsidP="009221EB">
      <w:pPr>
        <w:ind w:firstLine="567"/>
        <w:jc w:val="both"/>
      </w:pPr>
      <w:r w:rsidRPr="00A81F9F">
        <w:t>Сложившиеся в электроэнергетике механизмы ценообразования, а также инвестиционные риски в развитие энергогенерирующих мощностей и сетевой комплекс с учетом перекрестного субсидирования стали слишком обременительными для экономики промышленных предприятий. В настоящее время конечные цены на электроэнергию для отечественной промышленности уже существенно выше соответствующих цен в США и наиболее развитых стран ЕС как бы их не сравнивать. Но самое главное - нет рыночных механизмов сдерживания роста цен, ради чего была проведена реформа электроэнергетической отрасли .</w:t>
      </w:r>
    </w:p>
    <w:p w:rsidR="009478DB" w:rsidRPr="00A81F9F" w:rsidRDefault="009478DB" w:rsidP="009221EB">
      <w:pPr>
        <w:ind w:firstLine="567"/>
        <w:jc w:val="both"/>
      </w:pPr>
      <w:r w:rsidRPr="00A81F9F">
        <w:t>Сложившаяся структура цены для конечного потребителя «с легкой руки» ФСТ России приобрела экономически парадоксальный вид – доля цены производства электроэнергии составляет чуть выше 40%, в то время как доля всех инфраструктурных составляющих достигла почти 58%. регулируются государством. А ведь все стоимости услуг инфраструктурных организаций  (тарифы) регулируются государством. Именно эта доля должна быть уменьшена как минимум в 2 раза по аналогии с зарубежными странами.</w:t>
      </w:r>
    </w:p>
    <w:p w:rsidR="009478DB" w:rsidRPr="00A81F9F" w:rsidRDefault="009478DB" w:rsidP="009221EB">
      <w:pPr>
        <w:ind w:firstLine="567"/>
        <w:jc w:val="both"/>
      </w:pPr>
      <w:r w:rsidRPr="00A81F9F">
        <w:t>Предлагается продолжить реформу в сфере энергосбережения и энергоэффективности по следующим направлениям:</w:t>
      </w:r>
    </w:p>
    <w:p w:rsidR="009478DB" w:rsidRPr="00A81F9F" w:rsidRDefault="009478DB" w:rsidP="009221EB">
      <w:pPr>
        <w:numPr>
          <w:ilvl w:val="0"/>
          <w:numId w:val="22"/>
        </w:numPr>
        <w:tabs>
          <w:tab w:val="clear" w:pos="720"/>
          <w:tab w:val="num" w:pos="0"/>
        </w:tabs>
        <w:ind w:left="0" w:firstLine="540"/>
        <w:jc w:val="both"/>
      </w:pPr>
      <w:r w:rsidRPr="00A81F9F">
        <w:t xml:space="preserve">Открыть реальную конкуренцию инвестиционных проектов генерации с равноправным участием проектов блок-электростанций промышленных предприятий на розничном рынке электроэнергии, а также организовать механизмы конкурентных поставок электроэнергии потребителями по прямым договорам с правом потребителей покупать электроэнергию на розничном или оптовом рынках. </w:t>
      </w:r>
    </w:p>
    <w:p w:rsidR="009478DB" w:rsidRPr="00A81F9F" w:rsidRDefault="009478DB" w:rsidP="009221EB">
      <w:pPr>
        <w:jc w:val="both"/>
      </w:pPr>
      <w:r w:rsidRPr="00A81F9F">
        <w:t>Эта задача может быть решена, в первую очередь, организацией тендерного отбора инвестиционных проектов с участием блок-электростанций промышленных предприятий и исключением из Правил оптового рынка электроэнергии и мощности директивного требования обязательной поставки на оптовый рынок всей произведенной электроэнергии генерацией с установленной мощностью свыше 25 МВт (ПП от РФ от 27.12.2010 г., пункт 31.)</w:t>
      </w:r>
    </w:p>
    <w:p w:rsidR="009478DB" w:rsidRPr="00A81F9F" w:rsidRDefault="009478DB" w:rsidP="009221EB">
      <w:pPr>
        <w:ind w:firstLine="720"/>
        <w:jc w:val="both"/>
      </w:pPr>
      <w:r w:rsidRPr="00A81F9F">
        <w:t>Справочно: Перед каждым относительно крупным предприятием сегодня стоит задача строительства за свой счет собственной блок-электростанции с установленной мощностью свыше 25,0 МВт с удельной стоимостью 1,0-1,2 тыс. долл. США за 1 кВт против 2,5-3,0 тыс. долл. США за кВт, которые сегодня вкладываются в строительство новых крупных электростанций без компетентной экспертизы их проектной стоимости. Эти показатели не учитывают удорожание их стоимости из-за необходимости строительства электрических сетей для выдачи и распределения их мощности, что утяжеляет показатели не менее чем в 1,5 раза. Кроме того, по так называемым договорам поставки мощностей потребителей обязывают оплатить возврат инвесторам финансовых средств неоправданно дорогих электростанций.</w:t>
      </w:r>
    </w:p>
    <w:p w:rsidR="009478DB" w:rsidRPr="00A81F9F" w:rsidRDefault="009478DB" w:rsidP="00B22F4A">
      <w:pPr>
        <w:ind w:firstLine="720"/>
        <w:jc w:val="both"/>
      </w:pPr>
      <w:r w:rsidRPr="00A81F9F">
        <w:t>Положительное решение этой задачи позволит сформировать действительно конкурентную среду производителей и поставщиков электроэнергии (мощности) непосредственно на розничных рынках электроэнергии, на каждом из которых будет на конкурентных условиях присутствовать электроэнергия ФОРЭМ со своими ценами поставок, обеспечивая тем самым энергобалансовую надежность электроснабжения. В результате будут работать механизмы ценового сдерживания (давления) на производителей энергии.</w:t>
      </w:r>
    </w:p>
    <w:p w:rsidR="009478DB" w:rsidRPr="00A81F9F" w:rsidRDefault="009478DB" w:rsidP="005123DC">
      <w:pPr>
        <w:ind w:firstLine="720"/>
        <w:jc w:val="both"/>
      </w:pPr>
      <w:r w:rsidRPr="00A81F9F">
        <w:t>2. Обеспечить всем потребителям электроэнергии инвестиционный доступ на оплату на мощность новых энергоблоков, а также доступ к электрической сети новым потребителям электроэнергии, за счет которых, вообще говоря, и осуществляется их строительство.  Всем им должны быть предоставлены имущественные права как потребителям-инвесторам, за счет которых осуществляется финансирование строительства нового имущества в генерирующей компании или электросетевом комплексе соответствующей электросетевой компании.</w:t>
      </w:r>
    </w:p>
    <w:p w:rsidR="009478DB" w:rsidRPr="00A81F9F" w:rsidRDefault="009478DB" w:rsidP="009221EB">
      <w:pPr>
        <w:ind w:firstLine="720"/>
        <w:jc w:val="both"/>
      </w:pPr>
      <w:r w:rsidRPr="00A81F9F">
        <w:t>Эта задача может быть решена через механизм эмиссии так называемых инфраструктурных конвертируемых облигаций (акций) генерирующими компаниями или территориальными сетевыми компаниями на весь, например, пятилетний объем необходимых инвестиций на строительство новой генерации или по развитию электросетевого комплекса для обеспечения технологического присоединения вновь заявившихся потребителей электроэнергии. Покупая соответствующий пакет облигаций, потребитель – инвестор, во-первых, обеспечивает генерирующую или сетевую компанию инвестиционными средствами и, во-вторых, может распорядиться пакетом ценных бумаг по своему усмотрению. Такое решение не станет обременением тарифов на электроэнергию для существующих потребителей за счет ее инвестиционной составляющей.</w:t>
      </w:r>
    </w:p>
    <w:p w:rsidR="009478DB" w:rsidRPr="00A81F9F" w:rsidRDefault="009478DB" w:rsidP="005123DC">
      <w:pPr>
        <w:ind w:firstLine="720"/>
        <w:jc w:val="both"/>
      </w:pPr>
      <w:r w:rsidRPr="00A81F9F">
        <w:t>3. Разработать меры по ликвидации перекрестного субсидирования промышленностью стоимости электро- и теплоэнергии для других потребителей. Эта задача может быть решена при наличии политической воли программно-целевым подходом и в приемлемые сроки.</w:t>
      </w:r>
    </w:p>
    <w:p w:rsidR="009478DB" w:rsidRPr="00A81F9F" w:rsidRDefault="009478DB" w:rsidP="009221EB">
      <w:pPr>
        <w:ind w:firstLine="720"/>
        <w:jc w:val="both"/>
      </w:pPr>
      <w:r w:rsidRPr="00A81F9F">
        <w:t>Справочно: Объемы перекрестного субсидирования в текущем году оцениваются величиной около 500-550 млрд. руб./ год, в т.ч.:</w:t>
      </w:r>
    </w:p>
    <w:p w:rsidR="009478DB" w:rsidRPr="00A81F9F" w:rsidRDefault="009478DB" w:rsidP="009221EB">
      <w:pPr>
        <w:ind w:firstLine="900"/>
        <w:jc w:val="both"/>
      </w:pPr>
      <w:r w:rsidRPr="00A81F9F">
        <w:t>судбсидирование тарифов на электроэнергию для населения  - 200 млрд. руб/год;</w:t>
      </w:r>
    </w:p>
    <w:p w:rsidR="009478DB" w:rsidRPr="00A81F9F" w:rsidRDefault="009478DB" w:rsidP="00845294">
      <w:pPr>
        <w:numPr>
          <w:ilvl w:val="1"/>
          <w:numId w:val="26"/>
        </w:numPr>
        <w:jc w:val="both"/>
      </w:pPr>
      <w:r w:rsidRPr="00A81F9F">
        <w:t>судбсидирование тарифов на теплооэнергию для населения от промышленных котельных                                                                           - 60 млрд.руб/год;</w:t>
      </w:r>
    </w:p>
    <w:p w:rsidR="009478DB" w:rsidRPr="00A81F9F" w:rsidRDefault="009478DB" w:rsidP="00845294">
      <w:pPr>
        <w:numPr>
          <w:ilvl w:val="1"/>
          <w:numId w:val="26"/>
        </w:numPr>
        <w:jc w:val="both"/>
      </w:pPr>
      <w:r w:rsidRPr="00A81F9F">
        <w:t>судбсидирование стоимости теплоэнергии за счет электроэнергии при комбинированном из производстве                                 -120 млрд руб/год.</w:t>
      </w:r>
    </w:p>
    <w:p w:rsidR="009478DB" w:rsidRPr="00A81F9F" w:rsidRDefault="009478DB" w:rsidP="00845294">
      <w:pPr>
        <w:numPr>
          <w:ilvl w:val="1"/>
          <w:numId w:val="26"/>
        </w:numPr>
        <w:jc w:val="both"/>
      </w:pPr>
      <w:r w:rsidRPr="00A81F9F">
        <w:t>субсидирование за счет «последней мили»                   - 80 млрд. руб /год;</w:t>
      </w:r>
    </w:p>
    <w:p w:rsidR="009478DB" w:rsidRPr="00A81F9F" w:rsidRDefault="009478DB" w:rsidP="00845294">
      <w:pPr>
        <w:numPr>
          <w:ilvl w:val="1"/>
          <w:numId w:val="26"/>
        </w:numPr>
        <w:jc w:val="both"/>
      </w:pPr>
      <w:r w:rsidRPr="00A81F9F">
        <w:t>межрегиональное субсидирование                                 – 40 млрд. руб/ год.</w:t>
      </w:r>
    </w:p>
    <w:p w:rsidR="009478DB" w:rsidRPr="00A81F9F" w:rsidRDefault="009478DB" w:rsidP="00845294">
      <w:pPr>
        <w:numPr>
          <w:ilvl w:val="1"/>
          <w:numId w:val="26"/>
        </w:numPr>
        <w:jc w:val="both"/>
      </w:pPr>
      <w:r w:rsidRPr="00A81F9F">
        <w:t>оплата договоров поставки мощности                             – 50 млрд руб/год.</w:t>
      </w:r>
    </w:p>
    <w:p w:rsidR="009478DB" w:rsidRPr="00A81F9F" w:rsidRDefault="009478DB" w:rsidP="00845294">
      <w:pPr>
        <w:ind w:left="6120"/>
        <w:jc w:val="both"/>
      </w:pPr>
      <w:r w:rsidRPr="00A81F9F">
        <w:t>Итого – 550 млрд руб/год</w:t>
      </w:r>
    </w:p>
    <w:p w:rsidR="009478DB" w:rsidRPr="00A81F9F" w:rsidRDefault="009478DB" w:rsidP="009221EB">
      <w:pPr>
        <w:ind w:firstLine="5940"/>
        <w:jc w:val="both"/>
      </w:pPr>
    </w:p>
    <w:p w:rsidR="009478DB" w:rsidRPr="00A81F9F" w:rsidRDefault="009478DB" w:rsidP="009221EB">
      <w:pPr>
        <w:ind w:firstLine="720"/>
        <w:jc w:val="both"/>
      </w:pPr>
      <w:r w:rsidRPr="00A81F9F">
        <w:t>Ежегодное изъятие у промышленности свыше 500 млрд руб. существенно сокращает ее инвестиционные возможности для инновационного технологического переоснащения и, в конечном итоге, снижает конкурентоспособность ее продукции на зарубежных и отечественных рынках.</w:t>
      </w:r>
    </w:p>
    <w:p w:rsidR="009478DB" w:rsidRPr="00A81F9F" w:rsidRDefault="009478DB" w:rsidP="00845294">
      <w:pPr>
        <w:numPr>
          <w:ilvl w:val="0"/>
          <w:numId w:val="23"/>
        </w:numPr>
        <w:tabs>
          <w:tab w:val="clear" w:pos="720"/>
        </w:tabs>
        <w:ind w:left="0" w:firstLine="720"/>
        <w:jc w:val="both"/>
      </w:pPr>
      <w:r w:rsidRPr="00A81F9F">
        <w:t xml:space="preserve">В новой схеме и программе развития ЕЭС России на  2013-2019 гг. пересмотреть инвестиционную программу строительства электростанций </w:t>
      </w:r>
    </w:p>
    <w:p w:rsidR="00332B14" w:rsidRDefault="009478DB" w:rsidP="00332B14">
      <w:pPr>
        <w:ind w:firstLine="720"/>
        <w:jc w:val="both"/>
      </w:pPr>
      <w:r w:rsidRPr="00A81F9F">
        <w:t>Учитывая важность подготавливаемых решений по переходу на долгосрочное ценообразование в естественно монопольных и конкурентных сферах хозяйствования энергетики, просьба включить эти пред</w:t>
      </w:r>
      <w:r w:rsidR="001B47F2">
        <w:t>ложения в сводное заключение.</w:t>
      </w:r>
    </w:p>
    <w:sectPr w:rsidR="00332B14" w:rsidSect="00023331">
      <w:footnotePr>
        <w:pos w:val="beneathText"/>
      </w:footnotePr>
      <w:pgSz w:w="11906" w:h="16838"/>
      <w:pgMar w:top="1134" w:right="1133"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6B" w:rsidRDefault="00FF796B" w:rsidP="00EE1A61">
      <w:r>
        <w:separator/>
      </w:r>
    </w:p>
  </w:endnote>
  <w:endnote w:type="continuationSeparator" w:id="0">
    <w:p w:rsidR="00FF796B" w:rsidRDefault="00FF796B" w:rsidP="00EE1A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3E" w:rsidRDefault="00C03B3E" w:rsidP="00EE1A6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03B3E" w:rsidRDefault="00C03B3E" w:rsidP="00EE1A61">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3B3E" w:rsidRDefault="00C03B3E" w:rsidP="00EE1A61">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5A5B07">
      <w:rPr>
        <w:rStyle w:val="a9"/>
        <w:noProof/>
      </w:rPr>
      <w:t>5</w:t>
    </w:r>
    <w:r>
      <w:rPr>
        <w:rStyle w:val="a9"/>
      </w:rPr>
      <w:fldChar w:fldCharType="end"/>
    </w:r>
  </w:p>
  <w:p w:rsidR="00C03B3E" w:rsidRDefault="00C03B3E" w:rsidP="00EE1A61">
    <w:pPr>
      <w:pStyle w:val="a7"/>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6B" w:rsidRDefault="00FF796B" w:rsidP="00EE1A61">
      <w:r>
        <w:separator/>
      </w:r>
    </w:p>
  </w:footnote>
  <w:footnote w:type="continuationSeparator" w:id="0">
    <w:p w:rsidR="00FF796B" w:rsidRDefault="00FF796B" w:rsidP="00EE1A6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638BB8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E346992"/>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8B657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7F9034F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C4899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2AA681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E84CE8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17C2DF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AD8F70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1F0C312"/>
    <w:lvl w:ilvl="0">
      <w:start w:val="1"/>
      <w:numFmt w:val="bullet"/>
      <w:lvlText w:val=""/>
      <w:lvlJc w:val="left"/>
      <w:pPr>
        <w:tabs>
          <w:tab w:val="num" w:pos="360"/>
        </w:tabs>
        <w:ind w:left="360" w:hanging="360"/>
      </w:pPr>
      <w:rPr>
        <w:rFonts w:ascii="Symbol" w:hAnsi="Symbol" w:hint="default"/>
      </w:rPr>
    </w:lvl>
  </w:abstractNum>
  <w:abstractNum w:abstractNumId="10">
    <w:nsid w:val="03672BFD"/>
    <w:multiLevelType w:val="hybridMultilevel"/>
    <w:tmpl w:val="4202CA88"/>
    <w:lvl w:ilvl="0" w:tplc="055E4D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3806873"/>
    <w:multiLevelType w:val="hybridMultilevel"/>
    <w:tmpl w:val="B7D05380"/>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059F5BB0"/>
    <w:multiLevelType w:val="hybridMultilevel"/>
    <w:tmpl w:val="6E32D10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3E2E20"/>
    <w:multiLevelType w:val="multilevel"/>
    <w:tmpl w:val="59A80518"/>
    <w:lvl w:ilvl="0">
      <w:start w:val="1"/>
      <w:numFmt w:val="decimal"/>
      <w:lvlText w:val="%1."/>
      <w:lvlJc w:val="left"/>
      <w:pPr>
        <w:ind w:left="675" w:hanging="675"/>
      </w:pPr>
      <w:rPr>
        <w:rFonts w:hint="default"/>
      </w:rPr>
    </w:lvl>
    <w:lvl w:ilvl="1">
      <w:start w:val="1"/>
      <w:numFmt w:val="decimal"/>
      <w:lvlText w:val="%1.%2."/>
      <w:lvlJc w:val="left"/>
      <w:pPr>
        <w:ind w:left="1440" w:hanging="720"/>
      </w:pPr>
      <w:rPr>
        <w:rFonts w:hint="default"/>
      </w:rPr>
    </w:lvl>
    <w:lvl w:ilvl="2">
      <w:start w:val="4"/>
      <w:numFmt w:val="decimal"/>
      <w:lvlText w:val="%1.%2.%3."/>
      <w:lvlJc w:val="left"/>
      <w:pPr>
        <w:ind w:left="143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4">
    <w:nsid w:val="0AC13793"/>
    <w:multiLevelType w:val="hybridMultilevel"/>
    <w:tmpl w:val="6D001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950C2A"/>
    <w:multiLevelType w:val="hybridMultilevel"/>
    <w:tmpl w:val="AC8E33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CBA3998"/>
    <w:multiLevelType w:val="hybridMultilevel"/>
    <w:tmpl w:val="58A2C2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56B2191"/>
    <w:multiLevelType w:val="hybridMultilevel"/>
    <w:tmpl w:val="EFBED7FE"/>
    <w:lvl w:ilvl="0" w:tplc="0419000F">
      <w:start w:val="3"/>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2A460126"/>
    <w:multiLevelType w:val="multilevel"/>
    <w:tmpl w:val="7C36AC1E"/>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883"/>
        </w:tabs>
        <w:ind w:left="883" w:hanging="600"/>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19">
    <w:nsid w:val="2CD231A8"/>
    <w:multiLevelType w:val="hybridMultilevel"/>
    <w:tmpl w:val="4912BE1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E953C9B"/>
    <w:multiLevelType w:val="multilevel"/>
    <w:tmpl w:val="C9FAF68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363A1A43"/>
    <w:multiLevelType w:val="hybridMultilevel"/>
    <w:tmpl w:val="F5A0A67A"/>
    <w:lvl w:ilvl="0" w:tplc="E6E0AA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A0D33E1"/>
    <w:multiLevelType w:val="hybridMultilevel"/>
    <w:tmpl w:val="E4FC580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3">
    <w:nsid w:val="3D6D3A05"/>
    <w:multiLevelType w:val="hybridMultilevel"/>
    <w:tmpl w:val="2CAC52A4"/>
    <w:lvl w:ilvl="0" w:tplc="550E83B6">
      <w:start w:val="1"/>
      <w:numFmt w:val="bullet"/>
      <w:lvlText w:val=""/>
      <w:lvlJc w:val="left"/>
      <w:pPr>
        <w:tabs>
          <w:tab w:val="num" w:pos="720"/>
        </w:tabs>
        <w:ind w:left="720" w:hanging="360"/>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60B6002"/>
    <w:multiLevelType w:val="hybridMultilevel"/>
    <w:tmpl w:val="C8CA84AC"/>
    <w:lvl w:ilvl="0" w:tplc="AD16DB0A">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5">
    <w:nsid w:val="4767765A"/>
    <w:multiLevelType w:val="hybridMultilevel"/>
    <w:tmpl w:val="3B4666C4"/>
    <w:lvl w:ilvl="0" w:tplc="04190005">
      <w:start w:val="1"/>
      <w:numFmt w:val="bullet"/>
      <w:lvlText w:val=""/>
      <w:lvlJc w:val="left"/>
      <w:pPr>
        <w:tabs>
          <w:tab w:val="num" w:pos="720"/>
        </w:tabs>
        <w:ind w:left="72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4C216576"/>
    <w:multiLevelType w:val="hybridMultilevel"/>
    <w:tmpl w:val="E70A06C8"/>
    <w:lvl w:ilvl="0" w:tplc="D6A2B8BE">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7">
    <w:nsid w:val="4DA504A6"/>
    <w:multiLevelType w:val="hybridMultilevel"/>
    <w:tmpl w:val="408807A2"/>
    <w:lvl w:ilvl="0" w:tplc="83E08F84">
      <w:start w:val="1"/>
      <w:numFmt w:val="decimal"/>
      <w:lvlText w:val="%1."/>
      <w:lvlJc w:val="left"/>
      <w:pPr>
        <w:tabs>
          <w:tab w:val="num" w:pos="1572"/>
        </w:tabs>
        <w:ind w:left="1572" w:hanging="1005"/>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28">
    <w:nsid w:val="4FDC7E6A"/>
    <w:multiLevelType w:val="hybridMultilevel"/>
    <w:tmpl w:val="D8B2E0BA"/>
    <w:lvl w:ilvl="0" w:tplc="04190003">
      <w:start w:val="1"/>
      <w:numFmt w:val="bullet"/>
      <w:lvlText w:val="o"/>
      <w:lvlJc w:val="left"/>
      <w:pPr>
        <w:tabs>
          <w:tab w:val="num" w:pos="1429"/>
        </w:tabs>
        <w:ind w:left="1429" w:hanging="360"/>
      </w:pPr>
      <w:rPr>
        <w:rFonts w:ascii="Courier New" w:hAnsi="Courier New"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nsid w:val="50034F55"/>
    <w:multiLevelType w:val="multilevel"/>
    <w:tmpl w:val="F1D87A1C"/>
    <w:lvl w:ilvl="0">
      <w:start w:val="1"/>
      <w:numFmt w:val="decimal"/>
      <w:lvlText w:val="%1."/>
      <w:lvlJc w:val="left"/>
      <w:pPr>
        <w:ind w:left="450" w:hanging="450"/>
      </w:pPr>
      <w:rPr>
        <w:rFonts w:hint="default"/>
      </w:rPr>
    </w:lvl>
    <w:lvl w:ilvl="1">
      <w:start w:val="3"/>
      <w:numFmt w:val="decimal"/>
      <w:lvlText w:val="%1.%2."/>
      <w:lvlJc w:val="left"/>
      <w:pPr>
        <w:ind w:left="1112" w:hanging="720"/>
      </w:pPr>
      <w:rPr>
        <w:rFonts w:hint="default"/>
      </w:rPr>
    </w:lvl>
    <w:lvl w:ilvl="2">
      <w:start w:val="1"/>
      <w:numFmt w:val="decimal"/>
      <w:lvlText w:val="%1.%2.%3."/>
      <w:lvlJc w:val="left"/>
      <w:pPr>
        <w:ind w:left="1504" w:hanging="720"/>
      </w:pPr>
      <w:rPr>
        <w:rFonts w:hint="default"/>
      </w:rPr>
    </w:lvl>
    <w:lvl w:ilvl="3">
      <w:start w:val="1"/>
      <w:numFmt w:val="decimal"/>
      <w:lvlText w:val="%1.%2.%3.%4."/>
      <w:lvlJc w:val="left"/>
      <w:pPr>
        <w:ind w:left="2256" w:hanging="1080"/>
      </w:pPr>
      <w:rPr>
        <w:rFonts w:hint="default"/>
      </w:rPr>
    </w:lvl>
    <w:lvl w:ilvl="4">
      <w:start w:val="1"/>
      <w:numFmt w:val="decimal"/>
      <w:lvlText w:val="%1.%2.%3.%4.%5."/>
      <w:lvlJc w:val="left"/>
      <w:pPr>
        <w:ind w:left="3008" w:hanging="1440"/>
      </w:pPr>
      <w:rPr>
        <w:rFonts w:hint="default"/>
      </w:rPr>
    </w:lvl>
    <w:lvl w:ilvl="5">
      <w:start w:val="1"/>
      <w:numFmt w:val="decimal"/>
      <w:lvlText w:val="%1.%2.%3.%4.%5.%6."/>
      <w:lvlJc w:val="left"/>
      <w:pPr>
        <w:ind w:left="3400" w:hanging="1440"/>
      </w:pPr>
      <w:rPr>
        <w:rFonts w:hint="default"/>
      </w:rPr>
    </w:lvl>
    <w:lvl w:ilvl="6">
      <w:start w:val="1"/>
      <w:numFmt w:val="decimal"/>
      <w:lvlText w:val="%1.%2.%3.%4.%5.%6.%7."/>
      <w:lvlJc w:val="left"/>
      <w:pPr>
        <w:ind w:left="4152" w:hanging="1800"/>
      </w:pPr>
      <w:rPr>
        <w:rFonts w:hint="default"/>
      </w:rPr>
    </w:lvl>
    <w:lvl w:ilvl="7">
      <w:start w:val="1"/>
      <w:numFmt w:val="decimal"/>
      <w:lvlText w:val="%1.%2.%3.%4.%5.%6.%7.%8."/>
      <w:lvlJc w:val="left"/>
      <w:pPr>
        <w:ind w:left="4544" w:hanging="1800"/>
      </w:pPr>
      <w:rPr>
        <w:rFonts w:hint="default"/>
      </w:rPr>
    </w:lvl>
    <w:lvl w:ilvl="8">
      <w:start w:val="1"/>
      <w:numFmt w:val="decimal"/>
      <w:lvlText w:val="%1.%2.%3.%4.%5.%6.%7.%8.%9."/>
      <w:lvlJc w:val="left"/>
      <w:pPr>
        <w:ind w:left="5296" w:hanging="2160"/>
      </w:pPr>
      <w:rPr>
        <w:rFonts w:hint="default"/>
      </w:rPr>
    </w:lvl>
  </w:abstractNum>
  <w:abstractNum w:abstractNumId="30">
    <w:nsid w:val="50CE38EE"/>
    <w:multiLevelType w:val="hybridMultilevel"/>
    <w:tmpl w:val="26804500"/>
    <w:lvl w:ilvl="0" w:tplc="133AED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15876BC"/>
    <w:multiLevelType w:val="hybridMultilevel"/>
    <w:tmpl w:val="C9FAF68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5A675A6B"/>
    <w:multiLevelType w:val="hybridMultilevel"/>
    <w:tmpl w:val="05E818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B23167B"/>
    <w:multiLevelType w:val="hybridMultilevel"/>
    <w:tmpl w:val="3774D786"/>
    <w:lvl w:ilvl="0" w:tplc="0419000D">
      <w:start w:val="1"/>
      <w:numFmt w:val="bullet"/>
      <w:lvlText w:val=""/>
      <w:lvlJc w:val="left"/>
      <w:pPr>
        <w:ind w:left="1866" w:hanging="360"/>
      </w:pPr>
      <w:rPr>
        <w:rFonts w:ascii="Wingdings" w:hAnsi="Wingdings"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34">
    <w:nsid w:val="5D7E05C5"/>
    <w:multiLevelType w:val="hybridMultilevel"/>
    <w:tmpl w:val="1B6075E8"/>
    <w:lvl w:ilvl="0" w:tplc="0419000B">
      <w:start w:val="1"/>
      <w:numFmt w:val="bullet"/>
      <w:lvlText w:val=""/>
      <w:lvlJc w:val="left"/>
      <w:pPr>
        <w:ind w:left="1069" w:hanging="360"/>
      </w:pPr>
      <w:rPr>
        <w:rFonts w:ascii="Wingdings" w:hAnsi="Wingding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51E7BFC"/>
    <w:multiLevelType w:val="hybridMultilevel"/>
    <w:tmpl w:val="1B9ED996"/>
    <w:lvl w:ilvl="0" w:tplc="43B6F7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66910C52"/>
    <w:multiLevelType w:val="hybridMultilevel"/>
    <w:tmpl w:val="10F85C90"/>
    <w:lvl w:ilvl="0" w:tplc="EED60FEC">
      <w:start w:val="2"/>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80601D3"/>
    <w:multiLevelType w:val="hybridMultilevel"/>
    <w:tmpl w:val="3EEE8A68"/>
    <w:lvl w:ilvl="0" w:tplc="27E83FC2">
      <w:start w:val="1"/>
      <w:numFmt w:val="decimal"/>
      <w:lvlText w:val="%1."/>
      <w:lvlJc w:val="left"/>
      <w:pPr>
        <w:tabs>
          <w:tab w:val="num" w:pos="720"/>
        </w:tabs>
        <w:ind w:left="720" w:hanging="360"/>
      </w:pPr>
      <w:rPr>
        <w:rFonts w:ascii="Times New Roman" w:eastAsia="Times New Roman" w:hAnsi="Times New Roman"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6BA15A96"/>
    <w:multiLevelType w:val="hybridMultilevel"/>
    <w:tmpl w:val="25F0D248"/>
    <w:lvl w:ilvl="0" w:tplc="5D340AAE">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39">
    <w:nsid w:val="724C2C32"/>
    <w:multiLevelType w:val="hybridMultilevel"/>
    <w:tmpl w:val="55FADC7C"/>
    <w:lvl w:ilvl="0" w:tplc="9EAA6A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8"/>
  </w:num>
  <w:num w:numId="2">
    <w:abstractNumId w:val="24"/>
  </w:num>
  <w:num w:numId="3">
    <w:abstractNumId w:val="37"/>
  </w:num>
  <w:num w:numId="4">
    <w:abstractNumId w:val="18"/>
  </w:num>
  <w:num w:numId="5">
    <w:abstractNumId w:val="23"/>
  </w:num>
  <w:num w:numId="6">
    <w:abstractNumId w:val="3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2"/>
  </w:num>
  <w:num w:numId="18">
    <w:abstractNumId w:val="19"/>
  </w:num>
  <w:num w:numId="19">
    <w:abstractNumId w:val="16"/>
  </w:num>
  <w:num w:numId="20">
    <w:abstractNumId w:val="22"/>
  </w:num>
  <w:num w:numId="21">
    <w:abstractNumId w:val="27"/>
  </w:num>
  <w:num w:numId="22">
    <w:abstractNumId w:val="11"/>
  </w:num>
  <w:num w:numId="23">
    <w:abstractNumId w:val="17"/>
  </w:num>
  <w:num w:numId="24">
    <w:abstractNumId w:val="31"/>
  </w:num>
  <w:num w:numId="25">
    <w:abstractNumId w:val="20"/>
  </w:num>
  <w:num w:numId="26">
    <w:abstractNumId w:val="25"/>
  </w:num>
  <w:num w:numId="27">
    <w:abstractNumId w:val="28"/>
  </w:num>
  <w:num w:numId="28">
    <w:abstractNumId w:val="14"/>
  </w:num>
  <w:num w:numId="29">
    <w:abstractNumId w:val="33"/>
  </w:num>
  <w:num w:numId="30">
    <w:abstractNumId w:val="13"/>
  </w:num>
  <w:num w:numId="31">
    <w:abstractNumId w:val="12"/>
  </w:num>
  <w:num w:numId="32">
    <w:abstractNumId w:val="30"/>
  </w:num>
  <w:num w:numId="33">
    <w:abstractNumId w:val="29"/>
  </w:num>
  <w:num w:numId="34">
    <w:abstractNumId w:val="21"/>
  </w:num>
  <w:num w:numId="35">
    <w:abstractNumId w:val="34"/>
  </w:num>
  <w:num w:numId="36">
    <w:abstractNumId w:val="10"/>
  </w:num>
  <w:num w:numId="37">
    <w:abstractNumId w:val="26"/>
  </w:num>
  <w:num w:numId="38">
    <w:abstractNumId w:val="15"/>
  </w:num>
  <w:num w:numId="39">
    <w:abstractNumId w:val="39"/>
  </w:num>
  <w:num w:numId="40">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drawingGridHorizontalSpacing w:val="120"/>
  <w:displayHorizontalDrawingGridEvery w:val="2"/>
  <w:characterSpacingControl w:val="doNotCompress"/>
  <w:hdrShapeDefaults>
    <o:shapedefaults v:ext="edit" spidmax="2049"/>
  </w:hdrShapeDefaults>
  <w:footnotePr>
    <w:pos w:val="beneathText"/>
    <w:footnote w:id="-1"/>
    <w:footnote w:id="0"/>
  </w:footnotePr>
  <w:endnotePr>
    <w:endnote w:id="-1"/>
    <w:endnote w:id="0"/>
  </w:endnotePr>
  <w:compat/>
  <w:rsids>
    <w:rsidRoot w:val="00EE1A61"/>
    <w:rsid w:val="000002F7"/>
    <w:rsid w:val="0000088D"/>
    <w:rsid w:val="0000095E"/>
    <w:rsid w:val="00000A44"/>
    <w:rsid w:val="00000DFC"/>
    <w:rsid w:val="000015C6"/>
    <w:rsid w:val="00001EE9"/>
    <w:rsid w:val="00002015"/>
    <w:rsid w:val="000028D0"/>
    <w:rsid w:val="000029F1"/>
    <w:rsid w:val="00005627"/>
    <w:rsid w:val="00005688"/>
    <w:rsid w:val="00005CA8"/>
    <w:rsid w:val="00006127"/>
    <w:rsid w:val="00006B72"/>
    <w:rsid w:val="000074F2"/>
    <w:rsid w:val="00007876"/>
    <w:rsid w:val="00007B20"/>
    <w:rsid w:val="00010151"/>
    <w:rsid w:val="00012527"/>
    <w:rsid w:val="000140B5"/>
    <w:rsid w:val="000145B6"/>
    <w:rsid w:val="00014F48"/>
    <w:rsid w:val="00015135"/>
    <w:rsid w:val="00015A43"/>
    <w:rsid w:val="00016014"/>
    <w:rsid w:val="00017B7C"/>
    <w:rsid w:val="00020926"/>
    <w:rsid w:val="00021ADE"/>
    <w:rsid w:val="00021B0D"/>
    <w:rsid w:val="00023331"/>
    <w:rsid w:val="00023C66"/>
    <w:rsid w:val="00024594"/>
    <w:rsid w:val="000253C6"/>
    <w:rsid w:val="0002540F"/>
    <w:rsid w:val="00025989"/>
    <w:rsid w:val="00025F23"/>
    <w:rsid w:val="00025F8E"/>
    <w:rsid w:val="00026619"/>
    <w:rsid w:val="000266D8"/>
    <w:rsid w:val="00026912"/>
    <w:rsid w:val="00026997"/>
    <w:rsid w:val="00026A35"/>
    <w:rsid w:val="00026D33"/>
    <w:rsid w:val="00026D54"/>
    <w:rsid w:val="00027A1A"/>
    <w:rsid w:val="0003111B"/>
    <w:rsid w:val="000316E1"/>
    <w:rsid w:val="0003225F"/>
    <w:rsid w:val="000328F6"/>
    <w:rsid w:val="00032956"/>
    <w:rsid w:val="00032AD3"/>
    <w:rsid w:val="00032F33"/>
    <w:rsid w:val="00033EFA"/>
    <w:rsid w:val="000352E5"/>
    <w:rsid w:val="00035B0A"/>
    <w:rsid w:val="00036760"/>
    <w:rsid w:val="00037A0E"/>
    <w:rsid w:val="000413AF"/>
    <w:rsid w:val="000417F3"/>
    <w:rsid w:val="000419B5"/>
    <w:rsid w:val="00041A60"/>
    <w:rsid w:val="00041DAD"/>
    <w:rsid w:val="000423B6"/>
    <w:rsid w:val="000424E7"/>
    <w:rsid w:val="0004259D"/>
    <w:rsid w:val="00042DDB"/>
    <w:rsid w:val="00042F25"/>
    <w:rsid w:val="00042FBE"/>
    <w:rsid w:val="00043C09"/>
    <w:rsid w:val="00043ECB"/>
    <w:rsid w:val="0004432C"/>
    <w:rsid w:val="00044AA5"/>
    <w:rsid w:val="00044CCF"/>
    <w:rsid w:val="00044F2D"/>
    <w:rsid w:val="00045E17"/>
    <w:rsid w:val="000461BF"/>
    <w:rsid w:val="00046F59"/>
    <w:rsid w:val="00050468"/>
    <w:rsid w:val="000506CA"/>
    <w:rsid w:val="000519E3"/>
    <w:rsid w:val="0005216C"/>
    <w:rsid w:val="0005290F"/>
    <w:rsid w:val="00054723"/>
    <w:rsid w:val="0005489A"/>
    <w:rsid w:val="00054D79"/>
    <w:rsid w:val="00055DFF"/>
    <w:rsid w:val="000561CE"/>
    <w:rsid w:val="00056546"/>
    <w:rsid w:val="00056AD4"/>
    <w:rsid w:val="00057A80"/>
    <w:rsid w:val="00057CC5"/>
    <w:rsid w:val="000603DA"/>
    <w:rsid w:val="00060883"/>
    <w:rsid w:val="00061885"/>
    <w:rsid w:val="00061E15"/>
    <w:rsid w:val="000627AB"/>
    <w:rsid w:val="000627FB"/>
    <w:rsid w:val="0006354C"/>
    <w:rsid w:val="00066559"/>
    <w:rsid w:val="00066918"/>
    <w:rsid w:val="00066E53"/>
    <w:rsid w:val="000676ED"/>
    <w:rsid w:val="000704E0"/>
    <w:rsid w:val="000704EE"/>
    <w:rsid w:val="000716E3"/>
    <w:rsid w:val="0007183E"/>
    <w:rsid w:val="00072480"/>
    <w:rsid w:val="00072B9F"/>
    <w:rsid w:val="00074FC2"/>
    <w:rsid w:val="0007555E"/>
    <w:rsid w:val="00075759"/>
    <w:rsid w:val="0007770F"/>
    <w:rsid w:val="00077743"/>
    <w:rsid w:val="00082DDB"/>
    <w:rsid w:val="0008341F"/>
    <w:rsid w:val="0008524B"/>
    <w:rsid w:val="00085E0C"/>
    <w:rsid w:val="000863AF"/>
    <w:rsid w:val="000865B5"/>
    <w:rsid w:val="00086EFC"/>
    <w:rsid w:val="00087071"/>
    <w:rsid w:val="00087DCF"/>
    <w:rsid w:val="00090905"/>
    <w:rsid w:val="00090E14"/>
    <w:rsid w:val="00091119"/>
    <w:rsid w:val="000912D8"/>
    <w:rsid w:val="0009143D"/>
    <w:rsid w:val="00091BFA"/>
    <w:rsid w:val="000923D5"/>
    <w:rsid w:val="00092C31"/>
    <w:rsid w:val="00093DAC"/>
    <w:rsid w:val="000948A2"/>
    <w:rsid w:val="000964A4"/>
    <w:rsid w:val="0009650F"/>
    <w:rsid w:val="0009726E"/>
    <w:rsid w:val="000A1160"/>
    <w:rsid w:val="000A183B"/>
    <w:rsid w:val="000A3042"/>
    <w:rsid w:val="000A460F"/>
    <w:rsid w:val="000A47A5"/>
    <w:rsid w:val="000A4B56"/>
    <w:rsid w:val="000A4E3F"/>
    <w:rsid w:val="000A4E92"/>
    <w:rsid w:val="000A54E9"/>
    <w:rsid w:val="000A57F9"/>
    <w:rsid w:val="000A704B"/>
    <w:rsid w:val="000A7E59"/>
    <w:rsid w:val="000B08E6"/>
    <w:rsid w:val="000B0F65"/>
    <w:rsid w:val="000B12D2"/>
    <w:rsid w:val="000B1AB5"/>
    <w:rsid w:val="000B1AD9"/>
    <w:rsid w:val="000B1DB7"/>
    <w:rsid w:val="000B2321"/>
    <w:rsid w:val="000B2C73"/>
    <w:rsid w:val="000B3699"/>
    <w:rsid w:val="000B4D7B"/>
    <w:rsid w:val="000B5115"/>
    <w:rsid w:val="000B5BF0"/>
    <w:rsid w:val="000B639A"/>
    <w:rsid w:val="000B66D1"/>
    <w:rsid w:val="000C0D37"/>
    <w:rsid w:val="000C175B"/>
    <w:rsid w:val="000C1F09"/>
    <w:rsid w:val="000C26AC"/>
    <w:rsid w:val="000C38BD"/>
    <w:rsid w:val="000C4241"/>
    <w:rsid w:val="000C4BED"/>
    <w:rsid w:val="000C5358"/>
    <w:rsid w:val="000C574E"/>
    <w:rsid w:val="000C7518"/>
    <w:rsid w:val="000D09B0"/>
    <w:rsid w:val="000D0ABC"/>
    <w:rsid w:val="000D0B3F"/>
    <w:rsid w:val="000D1837"/>
    <w:rsid w:val="000D25C5"/>
    <w:rsid w:val="000D28C3"/>
    <w:rsid w:val="000D4B66"/>
    <w:rsid w:val="000D4DE5"/>
    <w:rsid w:val="000D5C6F"/>
    <w:rsid w:val="000D78A6"/>
    <w:rsid w:val="000E0247"/>
    <w:rsid w:val="000E12E8"/>
    <w:rsid w:val="000E1D18"/>
    <w:rsid w:val="000E2FD1"/>
    <w:rsid w:val="000E50A4"/>
    <w:rsid w:val="000E53D8"/>
    <w:rsid w:val="000E5C2C"/>
    <w:rsid w:val="000E6804"/>
    <w:rsid w:val="000E6A5A"/>
    <w:rsid w:val="000F01D8"/>
    <w:rsid w:val="000F0810"/>
    <w:rsid w:val="000F09F5"/>
    <w:rsid w:val="000F1ED4"/>
    <w:rsid w:val="000F26CD"/>
    <w:rsid w:val="000F2BE6"/>
    <w:rsid w:val="000F3415"/>
    <w:rsid w:val="000F36C5"/>
    <w:rsid w:val="000F3849"/>
    <w:rsid w:val="000F3B7A"/>
    <w:rsid w:val="000F4144"/>
    <w:rsid w:val="000F5016"/>
    <w:rsid w:val="000F5448"/>
    <w:rsid w:val="000F5D09"/>
    <w:rsid w:val="000F68D8"/>
    <w:rsid w:val="000F6C22"/>
    <w:rsid w:val="000F6D38"/>
    <w:rsid w:val="000F73EF"/>
    <w:rsid w:val="0010218F"/>
    <w:rsid w:val="0010250D"/>
    <w:rsid w:val="00102AE9"/>
    <w:rsid w:val="00102BA8"/>
    <w:rsid w:val="00103AE8"/>
    <w:rsid w:val="00104660"/>
    <w:rsid w:val="00104D96"/>
    <w:rsid w:val="00106290"/>
    <w:rsid w:val="0010632F"/>
    <w:rsid w:val="0010635E"/>
    <w:rsid w:val="00106F7F"/>
    <w:rsid w:val="001071B4"/>
    <w:rsid w:val="0010769E"/>
    <w:rsid w:val="001077EF"/>
    <w:rsid w:val="0011040B"/>
    <w:rsid w:val="00110FE9"/>
    <w:rsid w:val="00111164"/>
    <w:rsid w:val="0011283B"/>
    <w:rsid w:val="00113ECC"/>
    <w:rsid w:val="00114C29"/>
    <w:rsid w:val="00114CB4"/>
    <w:rsid w:val="0011526C"/>
    <w:rsid w:val="001160E0"/>
    <w:rsid w:val="00116D76"/>
    <w:rsid w:val="00117CBB"/>
    <w:rsid w:val="00120B49"/>
    <w:rsid w:val="00121DFA"/>
    <w:rsid w:val="00121F55"/>
    <w:rsid w:val="00122108"/>
    <w:rsid w:val="00122385"/>
    <w:rsid w:val="00122746"/>
    <w:rsid w:val="00122B31"/>
    <w:rsid w:val="00123177"/>
    <w:rsid w:val="00123990"/>
    <w:rsid w:val="001239F2"/>
    <w:rsid w:val="001245B3"/>
    <w:rsid w:val="00124A4C"/>
    <w:rsid w:val="00124BE2"/>
    <w:rsid w:val="00125A59"/>
    <w:rsid w:val="00125C35"/>
    <w:rsid w:val="001273F2"/>
    <w:rsid w:val="0012766E"/>
    <w:rsid w:val="00127D72"/>
    <w:rsid w:val="00130E53"/>
    <w:rsid w:val="00131A83"/>
    <w:rsid w:val="00132B5B"/>
    <w:rsid w:val="0013371A"/>
    <w:rsid w:val="00133E0C"/>
    <w:rsid w:val="00136199"/>
    <w:rsid w:val="0013759B"/>
    <w:rsid w:val="0013795B"/>
    <w:rsid w:val="00137EA2"/>
    <w:rsid w:val="001404A7"/>
    <w:rsid w:val="00140855"/>
    <w:rsid w:val="00140AA5"/>
    <w:rsid w:val="001412D2"/>
    <w:rsid w:val="00142181"/>
    <w:rsid w:val="001424C8"/>
    <w:rsid w:val="00142955"/>
    <w:rsid w:val="00143366"/>
    <w:rsid w:val="00143831"/>
    <w:rsid w:val="0014389F"/>
    <w:rsid w:val="00143C48"/>
    <w:rsid w:val="00144440"/>
    <w:rsid w:val="001448DD"/>
    <w:rsid w:val="00144E28"/>
    <w:rsid w:val="00144F75"/>
    <w:rsid w:val="00145C62"/>
    <w:rsid w:val="00145DCE"/>
    <w:rsid w:val="00145EBE"/>
    <w:rsid w:val="00146021"/>
    <w:rsid w:val="001461F6"/>
    <w:rsid w:val="001463AF"/>
    <w:rsid w:val="00146F6B"/>
    <w:rsid w:val="00147207"/>
    <w:rsid w:val="00150347"/>
    <w:rsid w:val="00152017"/>
    <w:rsid w:val="0015229C"/>
    <w:rsid w:val="00152AB3"/>
    <w:rsid w:val="0015305A"/>
    <w:rsid w:val="0015315F"/>
    <w:rsid w:val="001532B2"/>
    <w:rsid w:val="00153339"/>
    <w:rsid w:val="00153391"/>
    <w:rsid w:val="00154A21"/>
    <w:rsid w:val="001551CF"/>
    <w:rsid w:val="001556A0"/>
    <w:rsid w:val="00156263"/>
    <w:rsid w:val="001570B7"/>
    <w:rsid w:val="001574D5"/>
    <w:rsid w:val="00157EF1"/>
    <w:rsid w:val="00157F62"/>
    <w:rsid w:val="001638AB"/>
    <w:rsid w:val="0016409B"/>
    <w:rsid w:val="00164CD2"/>
    <w:rsid w:val="00166665"/>
    <w:rsid w:val="00166A89"/>
    <w:rsid w:val="00167E60"/>
    <w:rsid w:val="00170D9B"/>
    <w:rsid w:val="00171870"/>
    <w:rsid w:val="00171AFC"/>
    <w:rsid w:val="00171E03"/>
    <w:rsid w:val="00172283"/>
    <w:rsid w:val="00172CA5"/>
    <w:rsid w:val="00173161"/>
    <w:rsid w:val="00175AC2"/>
    <w:rsid w:val="00175DF7"/>
    <w:rsid w:val="00175FBA"/>
    <w:rsid w:val="00176618"/>
    <w:rsid w:val="001769E5"/>
    <w:rsid w:val="00176CAF"/>
    <w:rsid w:val="00177338"/>
    <w:rsid w:val="001773BA"/>
    <w:rsid w:val="00177A22"/>
    <w:rsid w:val="00177F7C"/>
    <w:rsid w:val="00180F03"/>
    <w:rsid w:val="0018169C"/>
    <w:rsid w:val="00181C66"/>
    <w:rsid w:val="0018209D"/>
    <w:rsid w:val="001835F3"/>
    <w:rsid w:val="00184B17"/>
    <w:rsid w:val="00184BE4"/>
    <w:rsid w:val="00185225"/>
    <w:rsid w:val="00185519"/>
    <w:rsid w:val="0018571D"/>
    <w:rsid w:val="00185AE3"/>
    <w:rsid w:val="00185C53"/>
    <w:rsid w:val="00186D7F"/>
    <w:rsid w:val="0018701C"/>
    <w:rsid w:val="00187FBD"/>
    <w:rsid w:val="00190D16"/>
    <w:rsid w:val="00190E92"/>
    <w:rsid w:val="001923A4"/>
    <w:rsid w:val="0019252D"/>
    <w:rsid w:val="00192D45"/>
    <w:rsid w:val="0019302F"/>
    <w:rsid w:val="001933F8"/>
    <w:rsid w:val="00194415"/>
    <w:rsid w:val="001953B5"/>
    <w:rsid w:val="00195797"/>
    <w:rsid w:val="001958BC"/>
    <w:rsid w:val="00197373"/>
    <w:rsid w:val="00197693"/>
    <w:rsid w:val="00197CCA"/>
    <w:rsid w:val="001A0744"/>
    <w:rsid w:val="001A07B3"/>
    <w:rsid w:val="001A07C3"/>
    <w:rsid w:val="001A0BE3"/>
    <w:rsid w:val="001A1439"/>
    <w:rsid w:val="001A22B5"/>
    <w:rsid w:val="001A2420"/>
    <w:rsid w:val="001A4185"/>
    <w:rsid w:val="001A4F82"/>
    <w:rsid w:val="001A589E"/>
    <w:rsid w:val="001A67D0"/>
    <w:rsid w:val="001A6B77"/>
    <w:rsid w:val="001A7D2F"/>
    <w:rsid w:val="001A7F4B"/>
    <w:rsid w:val="001B2E51"/>
    <w:rsid w:val="001B2E61"/>
    <w:rsid w:val="001B44B9"/>
    <w:rsid w:val="001B47F2"/>
    <w:rsid w:val="001B4DF5"/>
    <w:rsid w:val="001B54EB"/>
    <w:rsid w:val="001B5526"/>
    <w:rsid w:val="001B571C"/>
    <w:rsid w:val="001B63AA"/>
    <w:rsid w:val="001B63F5"/>
    <w:rsid w:val="001B6C52"/>
    <w:rsid w:val="001B6E48"/>
    <w:rsid w:val="001B755B"/>
    <w:rsid w:val="001B7B5E"/>
    <w:rsid w:val="001C0550"/>
    <w:rsid w:val="001C230B"/>
    <w:rsid w:val="001C3FF2"/>
    <w:rsid w:val="001C5948"/>
    <w:rsid w:val="001C6271"/>
    <w:rsid w:val="001C689F"/>
    <w:rsid w:val="001D05D0"/>
    <w:rsid w:val="001D0892"/>
    <w:rsid w:val="001D14B4"/>
    <w:rsid w:val="001D1538"/>
    <w:rsid w:val="001D2DDD"/>
    <w:rsid w:val="001D4C71"/>
    <w:rsid w:val="001D57FB"/>
    <w:rsid w:val="001D5E09"/>
    <w:rsid w:val="001D5F6B"/>
    <w:rsid w:val="001D64C6"/>
    <w:rsid w:val="001D678D"/>
    <w:rsid w:val="001D7652"/>
    <w:rsid w:val="001E078B"/>
    <w:rsid w:val="001E2F1C"/>
    <w:rsid w:val="001E3A0A"/>
    <w:rsid w:val="001E4119"/>
    <w:rsid w:val="001E51E6"/>
    <w:rsid w:val="001E5D8B"/>
    <w:rsid w:val="001E6CE8"/>
    <w:rsid w:val="001E718E"/>
    <w:rsid w:val="001E739F"/>
    <w:rsid w:val="001E78FA"/>
    <w:rsid w:val="001F02A9"/>
    <w:rsid w:val="001F1E9E"/>
    <w:rsid w:val="001F23B0"/>
    <w:rsid w:val="001F2BFA"/>
    <w:rsid w:val="001F2E2C"/>
    <w:rsid w:val="001F4E7D"/>
    <w:rsid w:val="001F53A2"/>
    <w:rsid w:val="001F6C85"/>
    <w:rsid w:val="001F749D"/>
    <w:rsid w:val="00200439"/>
    <w:rsid w:val="002008F7"/>
    <w:rsid w:val="00201503"/>
    <w:rsid w:val="0020348A"/>
    <w:rsid w:val="002034AB"/>
    <w:rsid w:val="00204797"/>
    <w:rsid w:val="00204835"/>
    <w:rsid w:val="00204A83"/>
    <w:rsid w:val="0020551D"/>
    <w:rsid w:val="00205920"/>
    <w:rsid w:val="002074D8"/>
    <w:rsid w:val="00207CF3"/>
    <w:rsid w:val="0021171D"/>
    <w:rsid w:val="0021222B"/>
    <w:rsid w:val="00212929"/>
    <w:rsid w:val="002130F3"/>
    <w:rsid w:val="00213F38"/>
    <w:rsid w:val="0021609D"/>
    <w:rsid w:val="0021648F"/>
    <w:rsid w:val="00216CA5"/>
    <w:rsid w:val="0021730C"/>
    <w:rsid w:val="0021795B"/>
    <w:rsid w:val="00217CF3"/>
    <w:rsid w:val="00220876"/>
    <w:rsid w:val="00220A58"/>
    <w:rsid w:val="00220BAB"/>
    <w:rsid w:val="00220BCA"/>
    <w:rsid w:val="00220C70"/>
    <w:rsid w:val="00221754"/>
    <w:rsid w:val="002222D9"/>
    <w:rsid w:val="00223264"/>
    <w:rsid w:val="00223DB8"/>
    <w:rsid w:val="00224118"/>
    <w:rsid w:val="00224203"/>
    <w:rsid w:val="002243BA"/>
    <w:rsid w:val="002251D5"/>
    <w:rsid w:val="00225667"/>
    <w:rsid w:val="00225F24"/>
    <w:rsid w:val="00227159"/>
    <w:rsid w:val="002276AD"/>
    <w:rsid w:val="00230559"/>
    <w:rsid w:val="00230715"/>
    <w:rsid w:val="00231BB0"/>
    <w:rsid w:val="00232736"/>
    <w:rsid w:val="00232C6C"/>
    <w:rsid w:val="00233097"/>
    <w:rsid w:val="0023471B"/>
    <w:rsid w:val="00234C22"/>
    <w:rsid w:val="00235337"/>
    <w:rsid w:val="0023702F"/>
    <w:rsid w:val="002375F0"/>
    <w:rsid w:val="002378BB"/>
    <w:rsid w:val="00240AD7"/>
    <w:rsid w:val="00241AC4"/>
    <w:rsid w:val="00241DC6"/>
    <w:rsid w:val="002420B8"/>
    <w:rsid w:val="00242755"/>
    <w:rsid w:val="00242A7F"/>
    <w:rsid w:val="00243890"/>
    <w:rsid w:val="00244129"/>
    <w:rsid w:val="0024454B"/>
    <w:rsid w:val="00244E62"/>
    <w:rsid w:val="002450CA"/>
    <w:rsid w:val="00245CA0"/>
    <w:rsid w:val="002464FE"/>
    <w:rsid w:val="00247D2B"/>
    <w:rsid w:val="00250269"/>
    <w:rsid w:val="002510ED"/>
    <w:rsid w:val="00251135"/>
    <w:rsid w:val="002515FD"/>
    <w:rsid w:val="0025179C"/>
    <w:rsid w:val="00251DAB"/>
    <w:rsid w:val="0025260C"/>
    <w:rsid w:val="00252618"/>
    <w:rsid w:val="002545CC"/>
    <w:rsid w:val="00254BEE"/>
    <w:rsid w:val="00254DB4"/>
    <w:rsid w:val="00256295"/>
    <w:rsid w:val="00256DA3"/>
    <w:rsid w:val="0025781E"/>
    <w:rsid w:val="00260496"/>
    <w:rsid w:val="002604A1"/>
    <w:rsid w:val="002607D3"/>
    <w:rsid w:val="00261834"/>
    <w:rsid w:val="00261B70"/>
    <w:rsid w:val="002632A4"/>
    <w:rsid w:val="00263575"/>
    <w:rsid w:val="00263C55"/>
    <w:rsid w:val="00263C7C"/>
    <w:rsid w:val="0026414B"/>
    <w:rsid w:val="002643BF"/>
    <w:rsid w:val="002647FD"/>
    <w:rsid w:val="002650A9"/>
    <w:rsid w:val="00265234"/>
    <w:rsid w:val="00265908"/>
    <w:rsid w:val="00265A2D"/>
    <w:rsid w:val="002666F0"/>
    <w:rsid w:val="0026692A"/>
    <w:rsid w:val="00266FDA"/>
    <w:rsid w:val="002673AC"/>
    <w:rsid w:val="0026742F"/>
    <w:rsid w:val="00267B3F"/>
    <w:rsid w:val="00273AE8"/>
    <w:rsid w:val="00273C61"/>
    <w:rsid w:val="00273DD0"/>
    <w:rsid w:val="0027419C"/>
    <w:rsid w:val="00274E11"/>
    <w:rsid w:val="00276514"/>
    <w:rsid w:val="00276BF8"/>
    <w:rsid w:val="002774A3"/>
    <w:rsid w:val="002778A4"/>
    <w:rsid w:val="0028000C"/>
    <w:rsid w:val="002801A0"/>
    <w:rsid w:val="00280351"/>
    <w:rsid w:val="0028072C"/>
    <w:rsid w:val="00280732"/>
    <w:rsid w:val="00281849"/>
    <w:rsid w:val="002818F8"/>
    <w:rsid w:val="00281920"/>
    <w:rsid w:val="00282334"/>
    <w:rsid w:val="00282611"/>
    <w:rsid w:val="00282D24"/>
    <w:rsid w:val="00283CBB"/>
    <w:rsid w:val="00283F34"/>
    <w:rsid w:val="002845A2"/>
    <w:rsid w:val="00286C12"/>
    <w:rsid w:val="00287D49"/>
    <w:rsid w:val="00287F76"/>
    <w:rsid w:val="002908EF"/>
    <w:rsid w:val="00291097"/>
    <w:rsid w:val="0029149F"/>
    <w:rsid w:val="002914B2"/>
    <w:rsid w:val="00292171"/>
    <w:rsid w:val="00292AF5"/>
    <w:rsid w:val="002936D3"/>
    <w:rsid w:val="0029374D"/>
    <w:rsid w:val="002945C0"/>
    <w:rsid w:val="00294BA3"/>
    <w:rsid w:val="00297B4E"/>
    <w:rsid w:val="002A01ED"/>
    <w:rsid w:val="002A0399"/>
    <w:rsid w:val="002A14DC"/>
    <w:rsid w:val="002A1FD6"/>
    <w:rsid w:val="002A2C72"/>
    <w:rsid w:val="002A3E90"/>
    <w:rsid w:val="002A4018"/>
    <w:rsid w:val="002A41FB"/>
    <w:rsid w:val="002A4698"/>
    <w:rsid w:val="002A55F7"/>
    <w:rsid w:val="002A6916"/>
    <w:rsid w:val="002A74DC"/>
    <w:rsid w:val="002A7564"/>
    <w:rsid w:val="002A7598"/>
    <w:rsid w:val="002B0E45"/>
    <w:rsid w:val="002B144A"/>
    <w:rsid w:val="002B1535"/>
    <w:rsid w:val="002B2817"/>
    <w:rsid w:val="002B3702"/>
    <w:rsid w:val="002B3C11"/>
    <w:rsid w:val="002B53CD"/>
    <w:rsid w:val="002B57C9"/>
    <w:rsid w:val="002B5B5E"/>
    <w:rsid w:val="002B690F"/>
    <w:rsid w:val="002B73FA"/>
    <w:rsid w:val="002B7BF8"/>
    <w:rsid w:val="002B7FB3"/>
    <w:rsid w:val="002C10AA"/>
    <w:rsid w:val="002C169E"/>
    <w:rsid w:val="002C2453"/>
    <w:rsid w:val="002C2AC7"/>
    <w:rsid w:val="002C2E0C"/>
    <w:rsid w:val="002C394C"/>
    <w:rsid w:val="002C449A"/>
    <w:rsid w:val="002C4B7E"/>
    <w:rsid w:val="002C4D9A"/>
    <w:rsid w:val="002C4FC9"/>
    <w:rsid w:val="002C5A33"/>
    <w:rsid w:val="002C6560"/>
    <w:rsid w:val="002C6B0C"/>
    <w:rsid w:val="002C6F7B"/>
    <w:rsid w:val="002C7744"/>
    <w:rsid w:val="002C7B42"/>
    <w:rsid w:val="002D00A4"/>
    <w:rsid w:val="002D0698"/>
    <w:rsid w:val="002D24E0"/>
    <w:rsid w:val="002D29FA"/>
    <w:rsid w:val="002D2D2C"/>
    <w:rsid w:val="002D30EB"/>
    <w:rsid w:val="002D36CA"/>
    <w:rsid w:val="002D3DD7"/>
    <w:rsid w:val="002D4DBF"/>
    <w:rsid w:val="002D564D"/>
    <w:rsid w:val="002D615D"/>
    <w:rsid w:val="002E050E"/>
    <w:rsid w:val="002E1036"/>
    <w:rsid w:val="002E18F9"/>
    <w:rsid w:val="002E2442"/>
    <w:rsid w:val="002E2DCE"/>
    <w:rsid w:val="002E3F56"/>
    <w:rsid w:val="002E4564"/>
    <w:rsid w:val="002E4EE8"/>
    <w:rsid w:val="002E51C8"/>
    <w:rsid w:val="002E5C82"/>
    <w:rsid w:val="002E6982"/>
    <w:rsid w:val="002E6E8D"/>
    <w:rsid w:val="002E76CD"/>
    <w:rsid w:val="002F06ED"/>
    <w:rsid w:val="002F0EE2"/>
    <w:rsid w:val="002F1AE2"/>
    <w:rsid w:val="002F3BB6"/>
    <w:rsid w:val="002F403A"/>
    <w:rsid w:val="002F41B4"/>
    <w:rsid w:val="002F4899"/>
    <w:rsid w:val="002F529F"/>
    <w:rsid w:val="002F52C9"/>
    <w:rsid w:val="002F530C"/>
    <w:rsid w:val="002F580D"/>
    <w:rsid w:val="002F62F7"/>
    <w:rsid w:val="00300D6A"/>
    <w:rsid w:val="00301CE3"/>
    <w:rsid w:val="00301EBA"/>
    <w:rsid w:val="00303CDC"/>
    <w:rsid w:val="00303E97"/>
    <w:rsid w:val="0030633E"/>
    <w:rsid w:val="003065BD"/>
    <w:rsid w:val="00306E00"/>
    <w:rsid w:val="00307210"/>
    <w:rsid w:val="00307B5D"/>
    <w:rsid w:val="00307F64"/>
    <w:rsid w:val="003101F5"/>
    <w:rsid w:val="0031118B"/>
    <w:rsid w:val="00311A55"/>
    <w:rsid w:val="0031264C"/>
    <w:rsid w:val="00313C26"/>
    <w:rsid w:val="00314161"/>
    <w:rsid w:val="003155B0"/>
    <w:rsid w:val="0031649B"/>
    <w:rsid w:val="0031652F"/>
    <w:rsid w:val="00316771"/>
    <w:rsid w:val="00317971"/>
    <w:rsid w:val="00317CA9"/>
    <w:rsid w:val="00321E76"/>
    <w:rsid w:val="00322F97"/>
    <w:rsid w:val="00323B5C"/>
    <w:rsid w:val="0032507C"/>
    <w:rsid w:val="00325BAA"/>
    <w:rsid w:val="00327240"/>
    <w:rsid w:val="00327A0D"/>
    <w:rsid w:val="00330070"/>
    <w:rsid w:val="00330656"/>
    <w:rsid w:val="00330A13"/>
    <w:rsid w:val="00330DD1"/>
    <w:rsid w:val="00331B01"/>
    <w:rsid w:val="00331BE8"/>
    <w:rsid w:val="0033246B"/>
    <w:rsid w:val="00332B14"/>
    <w:rsid w:val="003348C6"/>
    <w:rsid w:val="00334907"/>
    <w:rsid w:val="0033501F"/>
    <w:rsid w:val="00335BDC"/>
    <w:rsid w:val="00336F99"/>
    <w:rsid w:val="00337382"/>
    <w:rsid w:val="00337DD8"/>
    <w:rsid w:val="00337EBB"/>
    <w:rsid w:val="0034059C"/>
    <w:rsid w:val="003413E3"/>
    <w:rsid w:val="003414B7"/>
    <w:rsid w:val="00343764"/>
    <w:rsid w:val="003446CC"/>
    <w:rsid w:val="0034514F"/>
    <w:rsid w:val="00345508"/>
    <w:rsid w:val="00345877"/>
    <w:rsid w:val="00346171"/>
    <w:rsid w:val="00346194"/>
    <w:rsid w:val="0034642B"/>
    <w:rsid w:val="003467CA"/>
    <w:rsid w:val="003469A1"/>
    <w:rsid w:val="00351BAC"/>
    <w:rsid w:val="00352246"/>
    <w:rsid w:val="003532C4"/>
    <w:rsid w:val="00353B73"/>
    <w:rsid w:val="00353CD9"/>
    <w:rsid w:val="0035423E"/>
    <w:rsid w:val="00354675"/>
    <w:rsid w:val="003549EA"/>
    <w:rsid w:val="00354E45"/>
    <w:rsid w:val="003562AA"/>
    <w:rsid w:val="00356E7F"/>
    <w:rsid w:val="00357165"/>
    <w:rsid w:val="003576E9"/>
    <w:rsid w:val="00357A6A"/>
    <w:rsid w:val="00360637"/>
    <w:rsid w:val="00360F2E"/>
    <w:rsid w:val="00361F6F"/>
    <w:rsid w:val="0036235A"/>
    <w:rsid w:val="003624BE"/>
    <w:rsid w:val="003625C4"/>
    <w:rsid w:val="003627DB"/>
    <w:rsid w:val="00362F37"/>
    <w:rsid w:val="00363545"/>
    <w:rsid w:val="00363D9C"/>
    <w:rsid w:val="00364DCE"/>
    <w:rsid w:val="00367741"/>
    <w:rsid w:val="003679FB"/>
    <w:rsid w:val="00367DCE"/>
    <w:rsid w:val="00370509"/>
    <w:rsid w:val="00370587"/>
    <w:rsid w:val="003718EC"/>
    <w:rsid w:val="00372822"/>
    <w:rsid w:val="003732AD"/>
    <w:rsid w:val="00374C09"/>
    <w:rsid w:val="003769C5"/>
    <w:rsid w:val="00377120"/>
    <w:rsid w:val="00377CE4"/>
    <w:rsid w:val="00377FA1"/>
    <w:rsid w:val="003801DC"/>
    <w:rsid w:val="00380520"/>
    <w:rsid w:val="0038153D"/>
    <w:rsid w:val="00382930"/>
    <w:rsid w:val="00386CB3"/>
    <w:rsid w:val="00387289"/>
    <w:rsid w:val="00387667"/>
    <w:rsid w:val="0039149C"/>
    <w:rsid w:val="003917A8"/>
    <w:rsid w:val="00391810"/>
    <w:rsid w:val="003920FE"/>
    <w:rsid w:val="0039347A"/>
    <w:rsid w:val="00393EB9"/>
    <w:rsid w:val="00394B71"/>
    <w:rsid w:val="003950B0"/>
    <w:rsid w:val="00395779"/>
    <w:rsid w:val="003964DA"/>
    <w:rsid w:val="0039691E"/>
    <w:rsid w:val="00397932"/>
    <w:rsid w:val="003A02A0"/>
    <w:rsid w:val="003A02B1"/>
    <w:rsid w:val="003A0438"/>
    <w:rsid w:val="003A10D3"/>
    <w:rsid w:val="003A226F"/>
    <w:rsid w:val="003A365B"/>
    <w:rsid w:val="003A54FC"/>
    <w:rsid w:val="003A55D9"/>
    <w:rsid w:val="003A5A44"/>
    <w:rsid w:val="003A71AD"/>
    <w:rsid w:val="003A7C31"/>
    <w:rsid w:val="003B0104"/>
    <w:rsid w:val="003B037D"/>
    <w:rsid w:val="003B07A0"/>
    <w:rsid w:val="003B0F77"/>
    <w:rsid w:val="003B1B36"/>
    <w:rsid w:val="003B2B6E"/>
    <w:rsid w:val="003B42F6"/>
    <w:rsid w:val="003B48C5"/>
    <w:rsid w:val="003B48E9"/>
    <w:rsid w:val="003B5B63"/>
    <w:rsid w:val="003B609D"/>
    <w:rsid w:val="003B634C"/>
    <w:rsid w:val="003B70F6"/>
    <w:rsid w:val="003B7312"/>
    <w:rsid w:val="003C0501"/>
    <w:rsid w:val="003C0E77"/>
    <w:rsid w:val="003C19C1"/>
    <w:rsid w:val="003C1C9A"/>
    <w:rsid w:val="003C1E2B"/>
    <w:rsid w:val="003C3C5F"/>
    <w:rsid w:val="003C42C8"/>
    <w:rsid w:val="003C494C"/>
    <w:rsid w:val="003C4A83"/>
    <w:rsid w:val="003C4FFC"/>
    <w:rsid w:val="003C5F19"/>
    <w:rsid w:val="003C7C02"/>
    <w:rsid w:val="003C7C13"/>
    <w:rsid w:val="003D01E2"/>
    <w:rsid w:val="003D0FD3"/>
    <w:rsid w:val="003D1A35"/>
    <w:rsid w:val="003D24B2"/>
    <w:rsid w:val="003D24E4"/>
    <w:rsid w:val="003D35F7"/>
    <w:rsid w:val="003D3DD0"/>
    <w:rsid w:val="003D4707"/>
    <w:rsid w:val="003D52B9"/>
    <w:rsid w:val="003D54D4"/>
    <w:rsid w:val="003D58E4"/>
    <w:rsid w:val="003D59E4"/>
    <w:rsid w:val="003D5F11"/>
    <w:rsid w:val="003D6069"/>
    <w:rsid w:val="003D6375"/>
    <w:rsid w:val="003D647C"/>
    <w:rsid w:val="003D75A4"/>
    <w:rsid w:val="003D7A1F"/>
    <w:rsid w:val="003D7F44"/>
    <w:rsid w:val="003E0771"/>
    <w:rsid w:val="003E0C1C"/>
    <w:rsid w:val="003E119C"/>
    <w:rsid w:val="003E1BE6"/>
    <w:rsid w:val="003E2974"/>
    <w:rsid w:val="003E29A2"/>
    <w:rsid w:val="003E2A35"/>
    <w:rsid w:val="003E3212"/>
    <w:rsid w:val="003E33FD"/>
    <w:rsid w:val="003E3FEB"/>
    <w:rsid w:val="003E44E5"/>
    <w:rsid w:val="003E4661"/>
    <w:rsid w:val="003E4C03"/>
    <w:rsid w:val="003E5A38"/>
    <w:rsid w:val="003E5AA4"/>
    <w:rsid w:val="003E5C9C"/>
    <w:rsid w:val="003E6312"/>
    <w:rsid w:val="003E632A"/>
    <w:rsid w:val="003E6B87"/>
    <w:rsid w:val="003F0539"/>
    <w:rsid w:val="003F060F"/>
    <w:rsid w:val="003F0E78"/>
    <w:rsid w:val="003F28FB"/>
    <w:rsid w:val="003F3369"/>
    <w:rsid w:val="003F35B4"/>
    <w:rsid w:val="003F3D2F"/>
    <w:rsid w:val="003F57CD"/>
    <w:rsid w:val="003F5C32"/>
    <w:rsid w:val="003F5E2B"/>
    <w:rsid w:val="003F5F76"/>
    <w:rsid w:val="003F61DB"/>
    <w:rsid w:val="003F7225"/>
    <w:rsid w:val="004008BD"/>
    <w:rsid w:val="0040174F"/>
    <w:rsid w:val="00402AA1"/>
    <w:rsid w:val="00402B27"/>
    <w:rsid w:val="004037EE"/>
    <w:rsid w:val="004038BD"/>
    <w:rsid w:val="004044E3"/>
    <w:rsid w:val="00405F7E"/>
    <w:rsid w:val="00407047"/>
    <w:rsid w:val="0040706F"/>
    <w:rsid w:val="004076CD"/>
    <w:rsid w:val="0040772E"/>
    <w:rsid w:val="00407FC0"/>
    <w:rsid w:val="00412B5D"/>
    <w:rsid w:val="0041356A"/>
    <w:rsid w:val="0041483D"/>
    <w:rsid w:val="00415758"/>
    <w:rsid w:val="0041753C"/>
    <w:rsid w:val="00417AD1"/>
    <w:rsid w:val="00417F16"/>
    <w:rsid w:val="004203DB"/>
    <w:rsid w:val="004226EF"/>
    <w:rsid w:val="00422BED"/>
    <w:rsid w:val="00423DBE"/>
    <w:rsid w:val="00424622"/>
    <w:rsid w:val="00424E2D"/>
    <w:rsid w:val="00425E67"/>
    <w:rsid w:val="0042720A"/>
    <w:rsid w:val="00427401"/>
    <w:rsid w:val="0042740F"/>
    <w:rsid w:val="004274DC"/>
    <w:rsid w:val="00427815"/>
    <w:rsid w:val="00430177"/>
    <w:rsid w:val="00430442"/>
    <w:rsid w:val="004313C0"/>
    <w:rsid w:val="004316A1"/>
    <w:rsid w:val="00433024"/>
    <w:rsid w:val="00433B72"/>
    <w:rsid w:val="00433F1B"/>
    <w:rsid w:val="00433F9C"/>
    <w:rsid w:val="00434069"/>
    <w:rsid w:val="004343A1"/>
    <w:rsid w:val="00434BCE"/>
    <w:rsid w:val="00434F26"/>
    <w:rsid w:val="00435843"/>
    <w:rsid w:val="0043640F"/>
    <w:rsid w:val="00437104"/>
    <w:rsid w:val="00437150"/>
    <w:rsid w:val="00437BA8"/>
    <w:rsid w:val="00437DA5"/>
    <w:rsid w:val="004405EA"/>
    <w:rsid w:val="004413EA"/>
    <w:rsid w:val="00441636"/>
    <w:rsid w:val="00441E1B"/>
    <w:rsid w:val="00442136"/>
    <w:rsid w:val="00442324"/>
    <w:rsid w:val="004428B1"/>
    <w:rsid w:val="00442A78"/>
    <w:rsid w:val="00442AEA"/>
    <w:rsid w:val="00442DE1"/>
    <w:rsid w:val="00443B14"/>
    <w:rsid w:val="00443BB9"/>
    <w:rsid w:val="00443E54"/>
    <w:rsid w:val="00445F8D"/>
    <w:rsid w:val="00447E17"/>
    <w:rsid w:val="004501F4"/>
    <w:rsid w:val="004515C6"/>
    <w:rsid w:val="00451A8A"/>
    <w:rsid w:val="004526C6"/>
    <w:rsid w:val="00452ADB"/>
    <w:rsid w:val="00454906"/>
    <w:rsid w:val="004549D9"/>
    <w:rsid w:val="004549F8"/>
    <w:rsid w:val="00455797"/>
    <w:rsid w:val="00456820"/>
    <w:rsid w:val="004605B3"/>
    <w:rsid w:val="004606C6"/>
    <w:rsid w:val="00460DA2"/>
    <w:rsid w:val="00461B48"/>
    <w:rsid w:val="00461C09"/>
    <w:rsid w:val="00462217"/>
    <w:rsid w:val="00462C67"/>
    <w:rsid w:val="00462DF2"/>
    <w:rsid w:val="00462FEC"/>
    <w:rsid w:val="00463357"/>
    <w:rsid w:val="0046456B"/>
    <w:rsid w:val="00464C59"/>
    <w:rsid w:val="00464D42"/>
    <w:rsid w:val="004666F0"/>
    <w:rsid w:val="004667C9"/>
    <w:rsid w:val="00466BC1"/>
    <w:rsid w:val="0046738E"/>
    <w:rsid w:val="00467512"/>
    <w:rsid w:val="00467727"/>
    <w:rsid w:val="00467A6E"/>
    <w:rsid w:val="00470427"/>
    <w:rsid w:val="004712FA"/>
    <w:rsid w:val="00471F12"/>
    <w:rsid w:val="00472E2D"/>
    <w:rsid w:val="0047351B"/>
    <w:rsid w:val="00473975"/>
    <w:rsid w:val="00474BF4"/>
    <w:rsid w:val="0047557B"/>
    <w:rsid w:val="004767DD"/>
    <w:rsid w:val="004779D9"/>
    <w:rsid w:val="004779F2"/>
    <w:rsid w:val="00477D6E"/>
    <w:rsid w:val="0048013A"/>
    <w:rsid w:val="00481045"/>
    <w:rsid w:val="00482594"/>
    <w:rsid w:val="004829B2"/>
    <w:rsid w:val="00482CA8"/>
    <w:rsid w:val="00482CDC"/>
    <w:rsid w:val="00483589"/>
    <w:rsid w:val="00485C46"/>
    <w:rsid w:val="004865A8"/>
    <w:rsid w:val="004868DF"/>
    <w:rsid w:val="004873C1"/>
    <w:rsid w:val="00487A48"/>
    <w:rsid w:val="00490F44"/>
    <w:rsid w:val="00491038"/>
    <w:rsid w:val="00492C4A"/>
    <w:rsid w:val="00492F78"/>
    <w:rsid w:val="004944B4"/>
    <w:rsid w:val="00494660"/>
    <w:rsid w:val="00496062"/>
    <w:rsid w:val="0049642D"/>
    <w:rsid w:val="00497233"/>
    <w:rsid w:val="00497E58"/>
    <w:rsid w:val="00497EC9"/>
    <w:rsid w:val="004A0176"/>
    <w:rsid w:val="004A04A3"/>
    <w:rsid w:val="004A0826"/>
    <w:rsid w:val="004A096F"/>
    <w:rsid w:val="004A0C9F"/>
    <w:rsid w:val="004A0DC0"/>
    <w:rsid w:val="004A1626"/>
    <w:rsid w:val="004A28B1"/>
    <w:rsid w:val="004A2D51"/>
    <w:rsid w:val="004A3EC1"/>
    <w:rsid w:val="004A3FCB"/>
    <w:rsid w:val="004A4CFA"/>
    <w:rsid w:val="004A51DB"/>
    <w:rsid w:val="004A52D3"/>
    <w:rsid w:val="004A5555"/>
    <w:rsid w:val="004A55DC"/>
    <w:rsid w:val="004A666C"/>
    <w:rsid w:val="004A6F4C"/>
    <w:rsid w:val="004A7825"/>
    <w:rsid w:val="004B0235"/>
    <w:rsid w:val="004B274D"/>
    <w:rsid w:val="004B2E3D"/>
    <w:rsid w:val="004B392F"/>
    <w:rsid w:val="004B4756"/>
    <w:rsid w:val="004B4A09"/>
    <w:rsid w:val="004B4F06"/>
    <w:rsid w:val="004B58C2"/>
    <w:rsid w:val="004B5A3F"/>
    <w:rsid w:val="004B5A5B"/>
    <w:rsid w:val="004B5B27"/>
    <w:rsid w:val="004B6512"/>
    <w:rsid w:val="004B6577"/>
    <w:rsid w:val="004B7443"/>
    <w:rsid w:val="004C0CBC"/>
    <w:rsid w:val="004C263E"/>
    <w:rsid w:val="004C2ABF"/>
    <w:rsid w:val="004C2B08"/>
    <w:rsid w:val="004C3BC1"/>
    <w:rsid w:val="004C3C93"/>
    <w:rsid w:val="004C3CA2"/>
    <w:rsid w:val="004C494E"/>
    <w:rsid w:val="004C543F"/>
    <w:rsid w:val="004C62AF"/>
    <w:rsid w:val="004C66F7"/>
    <w:rsid w:val="004C6D21"/>
    <w:rsid w:val="004C71FA"/>
    <w:rsid w:val="004C7F7B"/>
    <w:rsid w:val="004D03EE"/>
    <w:rsid w:val="004D0A6D"/>
    <w:rsid w:val="004D0A8C"/>
    <w:rsid w:val="004D0A93"/>
    <w:rsid w:val="004D0EF2"/>
    <w:rsid w:val="004D255C"/>
    <w:rsid w:val="004D26AF"/>
    <w:rsid w:val="004D2E42"/>
    <w:rsid w:val="004D2FAD"/>
    <w:rsid w:val="004D4ACB"/>
    <w:rsid w:val="004D4AF5"/>
    <w:rsid w:val="004D4CBA"/>
    <w:rsid w:val="004D5928"/>
    <w:rsid w:val="004D5A98"/>
    <w:rsid w:val="004D5B4E"/>
    <w:rsid w:val="004D6A2F"/>
    <w:rsid w:val="004D6FF9"/>
    <w:rsid w:val="004D77C3"/>
    <w:rsid w:val="004D7E02"/>
    <w:rsid w:val="004E06D3"/>
    <w:rsid w:val="004E0884"/>
    <w:rsid w:val="004E144F"/>
    <w:rsid w:val="004E1ECE"/>
    <w:rsid w:val="004E3167"/>
    <w:rsid w:val="004E32AA"/>
    <w:rsid w:val="004E381C"/>
    <w:rsid w:val="004E5843"/>
    <w:rsid w:val="004E7B56"/>
    <w:rsid w:val="004F261B"/>
    <w:rsid w:val="004F261D"/>
    <w:rsid w:val="004F350B"/>
    <w:rsid w:val="004F42BE"/>
    <w:rsid w:val="004F5C72"/>
    <w:rsid w:val="004F6130"/>
    <w:rsid w:val="004F79DE"/>
    <w:rsid w:val="004F7C49"/>
    <w:rsid w:val="00500F76"/>
    <w:rsid w:val="00501545"/>
    <w:rsid w:val="00501E39"/>
    <w:rsid w:val="00503D22"/>
    <w:rsid w:val="00504850"/>
    <w:rsid w:val="00504A92"/>
    <w:rsid w:val="005050B4"/>
    <w:rsid w:val="005051C3"/>
    <w:rsid w:val="005066A5"/>
    <w:rsid w:val="00506A53"/>
    <w:rsid w:val="00507462"/>
    <w:rsid w:val="005074AF"/>
    <w:rsid w:val="00507C41"/>
    <w:rsid w:val="0051062A"/>
    <w:rsid w:val="00511F38"/>
    <w:rsid w:val="005122DE"/>
    <w:rsid w:val="005123DC"/>
    <w:rsid w:val="00513392"/>
    <w:rsid w:val="00514310"/>
    <w:rsid w:val="00516C2F"/>
    <w:rsid w:val="00521455"/>
    <w:rsid w:val="00521B0B"/>
    <w:rsid w:val="00521BDD"/>
    <w:rsid w:val="00521E2D"/>
    <w:rsid w:val="00521F34"/>
    <w:rsid w:val="005226A7"/>
    <w:rsid w:val="00524C51"/>
    <w:rsid w:val="00524E16"/>
    <w:rsid w:val="005266B8"/>
    <w:rsid w:val="00526D81"/>
    <w:rsid w:val="005304F6"/>
    <w:rsid w:val="00530820"/>
    <w:rsid w:val="00530AF0"/>
    <w:rsid w:val="00530B7E"/>
    <w:rsid w:val="00530C20"/>
    <w:rsid w:val="00530FFD"/>
    <w:rsid w:val="00531157"/>
    <w:rsid w:val="00531A51"/>
    <w:rsid w:val="00531CC6"/>
    <w:rsid w:val="0053264E"/>
    <w:rsid w:val="005328C8"/>
    <w:rsid w:val="00532E14"/>
    <w:rsid w:val="005335FF"/>
    <w:rsid w:val="00534471"/>
    <w:rsid w:val="00535344"/>
    <w:rsid w:val="00535593"/>
    <w:rsid w:val="0053594E"/>
    <w:rsid w:val="00536676"/>
    <w:rsid w:val="00536691"/>
    <w:rsid w:val="005366FE"/>
    <w:rsid w:val="00537589"/>
    <w:rsid w:val="005415BB"/>
    <w:rsid w:val="00541C0C"/>
    <w:rsid w:val="0054271B"/>
    <w:rsid w:val="00542AE8"/>
    <w:rsid w:val="0054353E"/>
    <w:rsid w:val="005439A2"/>
    <w:rsid w:val="0054411F"/>
    <w:rsid w:val="005441BB"/>
    <w:rsid w:val="0054654F"/>
    <w:rsid w:val="00546D1B"/>
    <w:rsid w:val="00546D48"/>
    <w:rsid w:val="005473F9"/>
    <w:rsid w:val="00547B3C"/>
    <w:rsid w:val="00550C20"/>
    <w:rsid w:val="0055285C"/>
    <w:rsid w:val="00552C4B"/>
    <w:rsid w:val="00552FD3"/>
    <w:rsid w:val="0055397B"/>
    <w:rsid w:val="005539B4"/>
    <w:rsid w:val="00554515"/>
    <w:rsid w:val="00554EF0"/>
    <w:rsid w:val="00554EF5"/>
    <w:rsid w:val="00555076"/>
    <w:rsid w:val="005557C6"/>
    <w:rsid w:val="00556454"/>
    <w:rsid w:val="00556AC8"/>
    <w:rsid w:val="00556C45"/>
    <w:rsid w:val="0055731F"/>
    <w:rsid w:val="00561007"/>
    <w:rsid w:val="00561A44"/>
    <w:rsid w:val="00564CFA"/>
    <w:rsid w:val="00564DCB"/>
    <w:rsid w:val="005659C1"/>
    <w:rsid w:val="00565A67"/>
    <w:rsid w:val="00565B20"/>
    <w:rsid w:val="005676B9"/>
    <w:rsid w:val="005678CC"/>
    <w:rsid w:val="005679AC"/>
    <w:rsid w:val="0057010B"/>
    <w:rsid w:val="00570ED8"/>
    <w:rsid w:val="00572258"/>
    <w:rsid w:val="005740CE"/>
    <w:rsid w:val="005765CF"/>
    <w:rsid w:val="00577BF7"/>
    <w:rsid w:val="005811C2"/>
    <w:rsid w:val="005822CB"/>
    <w:rsid w:val="00583691"/>
    <w:rsid w:val="00583F0D"/>
    <w:rsid w:val="00584AAF"/>
    <w:rsid w:val="00584CDB"/>
    <w:rsid w:val="00586954"/>
    <w:rsid w:val="00587E8D"/>
    <w:rsid w:val="005906CB"/>
    <w:rsid w:val="00590B89"/>
    <w:rsid w:val="00590D4F"/>
    <w:rsid w:val="0059109D"/>
    <w:rsid w:val="005921F0"/>
    <w:rsid w:val="005926E8"/>
    <w:rsid w:val="00592958"/>
    <w:rsid w:val="00593373"/>
    <w:rsid w:val="005934FD"/>
    <w:rsid w:val="00593E3E"/>
    <w:rsid w:val="005947F2"/>
    <w:rsid w:val="00594B99"/>
    <w:rsid w:val="0059714B"/>
    <w:rsid w:val="00597CDB"/>
    <w:rsid w:val="005A1610"/>
    <w:rsid w:val="005A1CD9"/>
    <w:rsid w:val="005A2248"/>
    <w:rsid w:val="005A2770"/>
    <w:rsid w:val="005A3B0A"/>
    <w:rsid w:val="005A437D"/>
    <w:rsid w:val="005A461C"/>
    <w:rsid w:val="005A5B07"/>
    <w:rsid w:val="005A6A34"/>
    <w:rsid w:val="005A6C63"/>
    <w:rsid w:val="005A6DF9"/>
    <w:rsid w:val="005B0A6E"/>
    <w:rsid w:val="005B1111"/>
    <w:rsid w:val="005B2611"/>
    <w:rsid w:val="005B2C31"/>
    <w:rsid w:val="005B442F"/>
    <w:rsid w:val="005B5223"/>
    <w:rsid w:val="005B5477"/>
    <w:rsid w:val="005B5618"/>
    <w:rsid w:val="005B63E5"/>
    <w:rsid w:val="005B6B4A"/>
    <w:rsid w:val="005B70F5"/>
    <w:rsid w:val="005B72E7"/>
    <w:rsid w:val="005B764E"/>
    <w:rsid w:val="005C0387"/>
    <w:rsid w:val="005C2B0E"/>
    <w:rsid w:val="005C3FE5"/>
    <w:rsid w:val="005C4A00"/>
    <w:rsid w:val="005C5C29"/>
    <w:rsid w:val="005D05EA"/>
    <w:rsid w:val="005D2311"/>
    <w:rsid w:val="005D2348"/>
    <w:rsid w:val="005D3990"/>
    <w:rsid w:val="005D4458"/>
    <w:rsid w:val="005D4B19"/>
    <w:rsid w:val="005D5B01"/>
    <w:rsid w:val="005D5CEC"/>
    <w:rsid w:val="005D5F0B"/>
    <w:rsid w:val="005D7550"/>
    <w:rsid w:val="005D78B6"/>
    <w:rsid w:val="005E0768"/>
    <w:rsid w:val="005E0EF0"/>
    <w:rsid w:val="005E11EF"/>
    <w:rsid w:val="005E17DC"/>
    <w:rsid w:val="005E1AF0"/>
    <w:rsid w:val="005E1F46"/>
    <w:rsid w:val="005E296B"/>
    <w:rsid w:val="005E3187"/>
    <w:rsid w:val="005E3360"/>
    <w:rsid w:val="005E3BAA"/>
    <w:rsid w:val="005E4002"/>
    <w:rsid w:val="005E4F99"/>
    <w:rsid w:val="005E562D"/>
    <w:rsid w:val="005E5A32"/>
    <w:rsid w:val="005E60C2"/>
    <w:rsid w:val="005E63A8"/>
    <w:rsid w:val="005E7F05"/>
    <w:rsid w:val="005F02FC"/>
    <w:rsid w:val="005F1EA7"/>
    <w:rsid w:val="005F3114"/>
    <w:rsid w:val="005F3E64"/>
    <w:rsid w:val="005F4550"/>
    <w:rsid w:val="005F502A"/>
    <w:rsid w:val="005F54BB"/>
    <w:rsid w:val="005F768F"/>
    <w:rsid w:val="00600A00"/>
    <w:rsid w:val="00601EBA"/>
    <w:rsid w:val="0060452A"/>
    <w:rsid w:val="00604E0B"/>
    <w:rsid w:val="00605101"/>
    <w:rsid w:val="006054B6"/>
    <w:rsid w:val="00605598"/>
    <w:rsid w:val="006067C9"/>
    <w:rsid w:val="00607542"/>
    <w:rsid w:val="006076FD"/>
    <w:rsid w:val="006109FC"/>
    <w:rsid w:val="00610A50"/>
    <w:rsid w:val="00610ACD"/>
    <w:rsid w:val="006113E0"/>
    <w:rsid w:val="0061141D"/>
    <w:rsid w:val="006119E7"/>
    <w:rsid w:val="006120E6"/>
    <w:rsid w:val="00612367"/>
    <w:rsid w:val="00612C97"/>
    <w:rsid w:val="00615080"/>
    <w:rsid w:val="00615DB6"/>
    <w:rsid w:val="00615F5F"/>
    <w:rsid w:val="006169B4"/>
    <w:rsid w:val="00616C4F"/>
    <w:rsid w:val="00620699"/>
    <w:rsid w:val="00621303"/>
    <w:rsid w:val="00623404"/>
    <w:rsid w:val="0062341D"/>
    <w:rsid w:val="00624754"/>
    <w:rsid w:val="0062490F"/>
    <w:rsid w:val="00625C4E"/>
    <w:rsid w:val="00626B23"/>
    <w:rsid w:val="00627167"/>
    <w:rsid w:val="00627BF4"/>
    <w:rsid w:val="006302D9"/>
    <w:rsid w:val="00630A0D"/>
    <w:rsid w:val="0063107B"/>
    <w:rsid w:val="00631DF4"/>
    <w:rsid w:val="00631F7D"/>
    <w:rsid w:val="00632784"/>
    <w:rsid w:val="00632973"/>
    <w:rsid w:val="0063301F"/>
    <w:rsid w:val="00633064"/>
    <w:rsid w:val="0063374C"/>
    <w:rsid w:val="00633B28"/>
    <w:rsid w:val="00633D18"/>
    <w:rsid w:val="006340DE"/>
    <w:rsid w:val="00634134"/>
    <w:rsid w:val="0063749B"/>
    <w:rsid w:val="006401C5"/>
    <w:rsid w:val="00640279"/>
    <w:rsid w:val="00640A9C"/>
    <w:rsid w:val="00640E20"/>
    <w:rsid w:val="00642288"/>
    <w:rsid w:val="00643B17"/>
    <w:rsid w:val="00643C0F"/>
    <w:rsid w:val="00644027"/>
    <w:rsid w:val="006457BF"/>
    <w:rsid w:val="00646BB1"/>
    <w:rsid w:val="00647363"/>
    <w:rsid w:val="00647F29"/>
    <w:rsid w:val="00650A12"/>
    <w:rsid w:val="00650B5D"/>
    <w:rsid w:val="0065137A"/>
    <w:rsid w:val="006523B5"/>
    <w:rsid w:val="00653A78"/>
    <w:rsid w:val="00653CAE"/>
    <w:rsid w:val="00654516"/>
    <w:rsid w:val="00654C73"/>
    <w:rsid w:val="00655767"/>
    <w:rsid w:val="006557D4"/>
    <w:rsid w:val="00655D45"/>
    <w:rsid w:val="00656548"/>
    <w:rsid w:val="006568A5"/>
    <w:rsid w:val="00656C90"/>
    <w:rsid w:val="0065700B"/>
    <w:rsid w:val="00657E41"/>
    <w:rsid w:val="00661D7A"/>
    <w:rsid w:val="00661D86"/>
    <w:rsid w:val="00662343"/>
    <w:rsid w:val="006624F9"/>
    <w:rsid w:val="00662F24"/>
    <w:rsid w:val="00663202"/>
    <w:rsid w:val="0066367D"/>
    <w:rsid w:val="00663E5F"/>
    <w:rsid w:val="00664450"/>
    <w:rsid w:val="006644CA"/>
    <w:rsid w:val="0066472A"/>
    <w:rsid w:val="00664735"/>
    <w:rsid w:val="00664917"/>
    <w:rsid w:val="00664CA1"/>
    <w:rsid w:val="00664EB0"/>
    <w:rsid w:val="006650A4"/>
    <w:rsid w:val="006653B2"/>
    <w:rsid w:val="0066588F"/>
    <w:rsid w:val="00665B4C"/>
    <w:rsid w:val="00665F5E"/>
    <w:rsid w:val="00667019"/>
    <w:rsid w:val="006670D3"/>
    <w:rsid w:val="00667369"/>
    <w:rsid w:val="006673D1"/>
    <w:rsid w:val="00667512"/>
    <w:rsid w:val="00667D79"/>
    <w:rsid w:val="00670010"/>
    <w:rsid w:val="00670715"/>
    <w:rsid w:val="006711A5"/>
    <w:rsid w:val="0067143C"/>
    <w:rsid w:val="00671AC3"/>
    <w:rsid w:val="006740E9"/>
    <w:rsid w:val="00675C5A"/>
    <w:rsid w:val="00675D0E"/>
    <w:rsid w:val="00676B46"/>
    <w:rsid w:val="00676D45"/>
    <w:rsid w:val="0068167A"/>
    <w:rsid w:val="00681EE3"/>
    <w:rsid w:val="00682A59"/>
    <w:rsid w:val="006831E7"/>
    <w:rsid w:val="00683610"/>
    <w:rsid w:val="00683A0F"/>
    <w:rsid w:val="00684421"/>
    <w:rsid w:val="0068490C"/>
    <w:rsid w:val="0068504F"/>
    <w:rsid w:val="006852E9"/>
    <w:rsid w:val="00685913"/>
    <w:rsid w:val="00686047"/>
    <w:rsid w:val="00691824"/>
    <w:rsid w:val="00691C80"/>
    <w:rsid w:val="00692213"/>
    <w:rsid w:val="00693DB7"/>
    <w:rsid w:val="0069429D"/>
    <w:rsid w:val="00694390"/>
    <w:rsid w:val="006943E5"/>
    <w:rsid w:val="00694666"/>
    <w:rsid w:val="006953A2"/>
    <w:rsid w:val="00695D12"/>
    <w:rsid w:val="0069635E"/>
    <w:rsid w:val="006966A5"/>
    <w:rsid w:val="0069674F"/>
    <w:rsid w:val="00696B30"/>
    <w:rsid w:val="006970B5"/>
    <w:rsid w:val="006A0B50"/>
    <w:rsid w:val="006A1872"/>
    <w:rsid w:val="006A1A3F"/>
    <w:rsid w:val="006A1F57"/>
    <w:rsid w:val="006A2525"/>
    <w:rsid w:val="006A30B0"/>
    <w:rsid w:val="006A442E"/>
    <w:rsid w:val="006A5FE0"/>
    <w:rsid w:val="006B0DD8"/>
    <w:rsid w:val="006B1248"/>
    <w:rsid w:val="006B16A0"/>
    <w:rsid w:val="006B1CE4"/>
    <w:rsid w:val="006B229B"/>
    <w:rsid w:val="006B2C66"/>
    <w:rsid w:val="006B4DAD"/>
    <w:rsid w:val="006B5673"/>
    <w:rsid w:val="006B5E0A"/>
    <w:rsid w:val="006B7A0B"/>
    <w:rsid w:val="006C0652"/>
    <w:rsid w:val="006C0F8A"/>
    <w:rsid w:val="006C35D2"/>
    <w:rsid w:val="006C4D86"/>
    <w:rsid w:val="006C4F59"/>
    <w:rsid w:val="006C6A3E"/>
    <w:rsid w:val="006C7277"/>
    <w:rsid w:val="006C7A88"/>
    <w:rsid w:val="006D0329"/>
    <w:rsid w:val="006D0717"/>
    <w:rsid w:val="006D0C32"/>
    <w:rsid w:val="006D13BB"/>
    <w:rsid w:val="006D1562"/>
    <w:rsid w:val="006D1DC7"/>
    <w:rsid w:val="006D1F38"/>
    <w:rsid w:val="006D31F0"/>
    <w:rsid w:val="006D3863"/>
    <w:rsid w:val="006D4F29"/>
    <w:rsid w:val="006D573B"/>
    <w:rsid w:val="006D5E17"/>
    <w:rsid w:val="006D6A7B"/>
    <w:rsid w:val="006D754A"/>
    <w:rsid w:val="006E0B00"/>
    <w:rsid w:val="006E1268"/>
    <w:rsid w:val="006E22D6"/>
    <w:rsid w:val="006E43E0"/>
    <w:rsid w:val="006E4777"/>
    <w:rsid w:val="006E4C91"/>
    <w:rsid w:val="006E4EBF"/>
    <w:rsid w:val="006E4F8D"/>
    <w:rsid w:val="006E51E1"/>
    <w:rsid w:val="006E6734"/>
    <w:rsid w:val="006F1320"/>
    <w:rsid w:val="006F1422"/>
    <w:rsid w:val="006F182A"/>
    <w:rsid w:val="006F211C"/>
    <w:rsid w:val="006F284F"/>
    <w:rsid w:val="006F2FFC"/>
    <w:rsid w:val="006F3624"/>
    <w:rsid w:val="006F3B36"/>
    <w:rsid w:val="006F44C9"/>
    <w:rsid w:val="006F7362"/>
    <w:rsid w:val="006F7513"/>
    <w:rsid w:val="006F7D9E"/>
    <w:rsid w:val="0070027E"/>
    <w:rsid w:val="00701333"/>
    <w:rsid w:val="007017F0"/>
    <w:rsid w:val="00701A12"/>
    <w:rsid w:val="007028FC"/>
    <w:rsid w:val="00702D58"/>
    <w:rsid w:val="0070357A"/>
    <w:rsid w:val="0070410B"/>
    <w:rsid w:val="00704319"/>
    <w:rsid w:val="00704BAF"/>
    <w:rsid w:val="00704C9A"/>
    <w:rsid w:val="00704F8D"/>
    <w:rsid w:val="0070507D"/>
    <w:rsid w:val="00705B26"/>
    <w:rsid w:val="00705EB1"/>
    <w:rsid w:val="00706252"/>
    <w:rsid w:val="00706272"/>
    <w:rsid w:val="00707C78"/>
    <w:rsid w:val="007100F2"/>
    <w:rsid w:val="0071087A"/>
    <w:rsid w:val="007112F1"/>
    <w:rsid w:val="0071136C"/>
    <w:rsid w:val="00711D8E"/>
    <w:rsid w:val="00712011"/>
    <w:rsid w:val="007122BE"/>
    <w:rsid w:val="00712B40"/>
    <w:rsid w:val="00712F4C"/>
    <w:rsid w:val="0071357D"/>
    <w:rsid w:val="00713A17"/>
    <w:rsid w:val="0071475F"/>
    <w:rsid w:val="00716D6E"/>
    <w:rsid w:val="007171B3"/>
    <w:rsid w:val="0071722E"/>
    <w:rsid w:val="00720F2B"/>
    <w:rsid w:val="007211A0"/>
    <w:rsid w:val="00722E9F"/>
    <w:rsid w:val="007231D9"/>
    <w:rsid w:val="00723A67"/>
    <w:rsid w:val="00723E4C"/>
    <w:rsid w:val="00725441"/>
    <w:rsid w:val="00725E38"/>
    <w:rsid w:val="00725E95"/>
    <w:rsid w:val="007264CB"/>
    <w:rsid w:val="00726944"/>
    <w:rsid w:val="00726B9F"/>
    <w:rsid w:val="00730883"/>
    <w:rsid w:val="00731306"/>
    <w:rsid w:val="007313FB"/>
    <w:rsid w:val="00731662"/>
    <w:rsid w:val="00731C95"/>
    <w:rsid w:val="00732596"/>
    <w:rsid w:val="00732614"/>
    <w:rsid w:val="00733195"/>
    <w:rsid w:val="007332E8"/>
    <w:rsid w:val="007338B3"/>
    <w:rsid w:val="00734812"/>
    <w:rsid w:val="00734EFF"/>
    <w:rsid w:val="00735260"/>
    <w:rsid w:val="007356A0"/>
    <w:rsid w:val="00735B72"/>
    <w:rsid w:val="00736625"/>
    <w:rsid w:val="00737563"/>
    <w:rsid w:val="00740849"/>
    <w:rsid w:val="00741927"/>
    <w:rsid w:val="007421AB"/>
    <w:rsid w:val="00742202"/>
    <w:rsid w:val="0074407D"/>
    <w:rsid w:val="0074628F"/>
    <w:rsid w:val="00746325"/>
    <w:rsid w:val="007463CB"/>
    <w:rsid w:val="00746DE7"/>
    <w:rsid w:val="007479CC"/>
    <w:rsid w:val="007505BD"/>
    <w:rsid w:val="007508EE"/>
    <w:rsid w:val="00750C4B"/>
    <w:rsid w:val="00750C5F"/>
    <w:rsid w:val="00753F56"/>
    <w:rsid w:val="007544A3"/>
    <w:rsid w:val="00754981"/>
    <w:rsid w:val="00754D7C"/>
    <w:rsid w:val="00754E6F"/>
    <w:rsid w:val="007557F5"/>
    <w:rsid w:val="00755DE0"/>
    <w:rsid w:val="00755E20"/>
    <w:rsid w:val="00756B59"/>
    <w:rsid w:val="00757113"/>
    <w:rsid w:val="00761098"/>
    <w:rsid w:val="00761E4E"/>
    <w:rsid w:val="007627E4"/>
    <w:rsid w:val="00762F87"/>
    <w:rsid w:val="00763212"/>
    <w:rsid w:val="007640EC"/>
    <w:rsid w:val="00764718"/>
    <w:rsid w:val="00764B9E"/>
    <w:rsid w:val="00765220"/>
    <w:rsid w:val="0076528B"/>
    <w:rsid w:val="007656D5"/>
    <w:rsid w:val="00767179"/>
    <w:rsid w:val="00767FF3"/>
    <w:rsid w:val="00770491"/>
    <w:rsid w:val="007708EB"/>
    <w:rsid w:val="0077115C"/>
    <w:rsid w:val="00771967"/>
    <w:rsid w:val="00772226"/>
    <w:rsid w:val="0077227E"/>
    <w:rsid w:val="0077235F"/>
    <w:rsid w:val="007732F2"/>
    <w:rsid w:val="00774151"/>
    <w:rsid w:val="00774B65"/>
    <w:rsid w:val="00775CA9"/>
    <w:rsid w:val="00776179"/>
    <w:rsid w:val="007766D9"/>
    <w:rsid w:val="00776D04"/>
    <w:rsid w:val="0077727F"/>
    <w:rsid w:val="007772CD"/>
    <w:rsid w:val="007776D7"/>
    <w:rsid w:val="00777B47"/>
    <w:rsid w:val="00777ED4"/>
    <w:rsid w:val="007806B8"/>
    <w:rsid w:val="007806F9"/>
    <w:rsid w:val="0078139E"/>
    <w:rsid w:val="00782601"/>
    <w:rsid w:val="00783006"/>
    <w:rsid w:val="00783B8D"/>
    <w:rsid w:val="00784016"/>
    <w:rsid w:val="00784AB2"/>
    <w:rsid w:val="0078514D"/>
    <w:rsid w:val="007854F4"/>
    <w:rsid w:val="00786EAA"/>
    <w:rsid w:val="00787738"/>
    <w:rsid w:val="00787B21"/>
    <w:rsid w:val="00787BC8"/>
    <w:rsid w:val="00787C78"/>
    <w:rsid w:val="00787D67"/>
    <w:rsid w:val="00790654"/>
    <w:rsid w:val="00790D01"/>
    <w:rsid w:val="00792773"/>
    <w:rsid w:val="00793845"/>
    <w:rsid w:val="00794CFE"/>
    <w:rsid w:val="00794D7B"/>
    <w:rsid w:val="00794DEE"/>
    <w:rsid w:val="00796A53"/>
    <w:rsid w:val="00796EC5"/>
    <w:rsid w:val="007970EB"/>
    <w:rsid w:val="007977CC"/>
    <w:rsid w:val="0079791F"/>
    <w:rsid w:val="00797946"/>
    <w:rsid w:val="00797BC8"/>
    <w:rsid w:val="007A0497"/>
    <w:rsid w:val="007A05CA"/>
    <w:rsid w:val="007A1968"/>
    <w:rsid w:val="007A4F0E"/>
    <w:rsid w:val="007A5884"/>
    <w:rsid w:val="007A5F72"/>
    <w:rsid w:val="007A6291"/>
    <w:rsid w:val="007A6AA6"/>
    <w:rsid w:val="007A7715"/>
    <w:rsid w:val="007B0C01"/>
    <w:rsid w:val="007B1059"/>
    <w:rsid w:val="007B32E1"/>
    <w:rsid w:val="007B42B4"/>
    <w:rsid w:val="007B47A5"/>
    <w:rsid w:val="007B4AAB"/>
    <w:rsid w:val="007B5F0C"/>
    <w:rsid w:val="007B6179"/>
    <w:rsid w:val="007B62DB"/>
    <w:rsid w:val="007B66A3"/>
    <w:rsid w:val="007B756B"/>
    <w:rsid w:val="007B7AE1"/>
    <w:rsid w:val="007C078A"/>
    <w:rsid w:val="007C18AE"/>
    <w:rsid w:val="007C193F"/>
    <w:rsid w:val="007C1ADE"/>
    <w:rsid w:val="007C1CDB"/>
    <w:rsid w:val="007C3437"/>
    <w:rsid w:val="007C380C"/>
    <w:rsid w:val="007C3DB5"/>
    <w:rsid w:val="007C60EF"/>
    <w:rsid w:val="007C61FE"/>
    <w:rsid w:val="007C673B"/>
    <w:rsid w:val="007C6D36"/>
    <w:rsid w:val="007C776A"/>
    <w:rsid w:val="007C7D78"/>
    <w:rsid w:val="007D0094"/>
    <w:rsid w:val="007D01E1"/>
    <w:rsid w:val="007D02D6"/>
    <w:rsid w:val="007D091F"/>
    <w:rsid w:val="007D0C69"/>
    <w:rsid w:val="007D1E3E"/>
    <w:rsid w:val="007D2055"/>
    <w:rsid w:val="007D2455"/>
    <w:rsid w:val="007D443B"/>
    <w:rsid w:val="007D4AB4"/>
    <w:rsid w:val="007D4E6C"/>
    <w:rsid w:val="007D5240"/>
    <w:rsid w:val="007D597F"/>
    <w:rsid w:val="007D6259"/>
    <w:rsid w:val="007D6497"/>
    <w:rsid w:val="007E0517"/>
    <w:rsid w:val="007E05E5"/>
    <w:rsid w:val="007E0F99"/>
    <w:rsid w:val="007E1734"/>
    <w:rsid w:val="007E1C30"/>
    <w:rsid w:val="007E3030"/>
    <w:rsid w:val="007E3575"/>
    <w:rsid w:val="007E4502"/>
    <w:rsid w:val="007E45E3"/>
    <w:rsid w:val="007E53D1"/>
    <w:rsid w:val="007E5591"/>
    <w:rsid w:val="007E5682"/>
    <w:rsid w:val="007F10F8"/>
    <w:rsid w:val="007F1605"/>
    <w:rsid w:val="007F1B00"/>
    <w:rsid w:val="007F43EF"/>
    <w:rsid w:val="007F4983"/>
    <w:rsid w:val="007F4A4D"/>
    <w:rsid w:val="007F4D0A"/>
    <w:rsid w:val="007F5F1E"/>
    <w:rsid w:val="007F61B9"/>
    <w:rsid w:val="007F7374"/>
    <w:rsid w:val="007F7A96"/>
    <w:rsid w:val="00800386"/>
    <w:rsid w:val="008004CF"/>
    <w:rsid w:val="00800B6A"/>
    <w:rsid w:val="00800E18"/>
    <w:rsid w:val="008013FB"/>
    <w:rsid w:val="00801933"/>
    <w:rsid w:val="008019F5"/>
    <w:rsid w:val="0080208F"/>
    <w:rsid w:val="008022B7"/>
    <w:rsid w:val="008026F8"/>
    <w:rsid w:val="008027FB"/>
    <w:rsid w:val="00802BD5"/>
    <w:rsid w:val="00803250"/>
    <w:rsid w:val="00803340"/>
    <w:rsid w:val="00803AB5"/>
    <w:rsid w:val="008042CB"/>
    <w:rsid w:val="0080480E"/>
    <w:rsid w:val="00804E95"/>
    <w:rsid w:val="00805D05"/>
    <w:rsid w:val="0080693A"/>
    <w:rsid w:val="00806BFA"/>
    <w:rsid w:val="008076BD"/>
    <w:rsid w:val="00807AF1"/>
    <w:rsid w:val="00811C8C"/>
    <w:rsid w:val="008124B4"/>
    <w:rsid w:val="0081349E"/>
    <w:rsid w:val="00813C91"/>
    <w:rsid w:val="00814221"/>
    <w:rsid w:val="00814387"/>
    <w:rsid w:val="00815C14"/>
    <w:rsid w:val="008168F7"/>
    <w:rsid w:val="008176B7"/>
    <w:rsid w:val="008178AB"/>
    <w:rsid w:val="00817A33"/>
    <w:rsid w:val="00817A4D"/>
    <w:rsid w:val="00821114"/>
    <w:rsid w:val="008226BE"/>
    <w:rsid w:val="00822934"/>
    <w:rsid w:val="00823740"/>
    <w:rsid w:val="00823A4C"/>
    <w:rsid w:val="00824540"/>
    <w:rsid w:val="00824F0B"/>
    <w:rsid w:val="00825190"/>
    <w:rsid w:val="00825782"/>
    <w:rsid w:val="00825ACE"/>
    <w:rsid w:val="00825BCF"/>
    <w:rsid w:val="00826104"/>
    <w:rsid w:val="00826D5B"/>
    <w:rsid w:val="0082777C"/>
    <w:rsid w:val="00830B1C"/>
    <w:rsid w:val="00830D0C"/>
    <w:rsid w:val="00832129"/>
    <w:rsid w:val="008323C9"/>
    <w:rsid w:val="00832B37"/>
    <w:rsid w:val="00833AE1"/>
    <w:rsid w:val="00834D58"/>
    <w:rsid w:val="0083615C"/>
    <w:rsid w:val="008373F2"/>
    <w:rsid w:val="00837BCA"/>
    <w:rsid w:val="00840E1E"/>
    <w:rsid w:val="008414DF"/>
    <w:rsid w:val="00844123"/>
    <w:rsid w:val="0084429F"/>
    <w:rsid w:val="00844E09"/>
    <w:rsid w:val="00845294"/>
    <w:rsid w:val="00846EDC"/>
    <w:rsid w:val="00847689"/>
    <w:rsid w:val="00850AE5"/>
    <w:rsid w:val="008519F4"/>
    <w:rsid w:val="008524B5"/>
    <w:rsid w:val="0085254B"/>
    <w:rsid w:val="008527C4"/>
    <w:rsid w:val="00853886"/>
    <w:rsid w:val="008547B8"/>
    <w:rsid w:val="00854AFE"/>
    <w:rsid w:val="0085548F"/>
    <w:rsid w:val="0085569F"/>
    <w:rsid w:val="00855E00"/>
    <w:rsid w:val="00856CF7"/>
    <w:rsid w:val="008574A4"/>
    <w:rsid w:val="00857E0E"/>
    <w:rsid w:val="00857EE4"/>
    <w:rsid w:val="008600FF"/>
    <w:rsid w:val="0086149C"/>
    <w:rsid w:val="00861E25"/>
    <w:rsid w:val="00862B75"/>
    <w:rsid w:val="00863B09"/>
    <w:rsid w:val="0086507B"/>
    <w:rsid w:val="00866AFD"/>
    <w:rsid w:val="00866CFF"/>
    <w:rsid w:val="00867553"/>
    <w:rsid w:val="00867E04"/>
    <w:rsid w:val="0087070D"/>
    <w:rsid w:val="0087082D"/>
    <w:rsid w:val="00871221"/>
    <w:rsid w:val="008718E9"/>
    <w:rsid w:val="0087297E"/>
    <w:rsid w:val="00872F54"/>
    <w:rsid w:val="008733AA"/>
    <w:rsid w:val="00873866"/>
    <w:rsid w:val="00875765"/>
    <w:rsid w:val="008774D1"/>
    <w:rsid w:val="00880213"/>
    <w:rsid w:val="00880B0C"/>
    <w:rsid w:val="00880DF3"/>
    <w:rsid w:val="00881B68"/>
    <w:rsid w:val="008820AC"/>
    <w:rsid w:val="008832AD"/>
    <w:rsid w:val="00884238"/>
    <w:rsid w:val="0088677F"/>
    <w:rsid w:val="00890A06"/>
    <w:rsid w:val="00890F16"/>
    <w:rsid w:val="0089232E"/>
    <w:rsid w:val="00892BB6"/>
    <w:rsid w:val="00892C6D"/>
    <w:rsid w:val="00894F31"/>
    <w:rsid w:val="00896DB4"/>
    <w:rsid w:val="00897076"/>
    <w:rsid w:val="00897415"/>
    <w:rsid w:val="0089751A"/>
    <w:rsid w:val="00897C38"/>
    <w:rsid w:val="00897F14"/>
    <w:rsid w:val="008A0D49"/>
    <w:rsid w:val="008A257C"/>
    <w:rsid w:val="008A2EB6"/>
    <w:rsid w:val="008A39D3"/>
    <w:rsid w:val="008A512C"/>
    <w:rsid w:val="008A5327"/>
    <w:rsid w:val="008A6708"/>
    <w:rsid w:val="008A72B3"/>
    <w:rsid w:val="008B10DC"/>
    <w:rsid w:val="008B14A7"/>
    <w:rsid w:val="008B1D2F"/>
    <w:rsid w:val="008B2920"/>
    <w:rsid w:val="008B2DF3"/>
    <w:rsid w:val="008B3108"/>
    <w:rsid w:val="008B39E1"/>
    <w:rsid w:val="008B3FC1"/>
    <w:rsid w:val="008B447A"/>
    <w:rsid w:val="008B4840"/>
    <w:rsid w:val="008B484E"/>
    <w:rsid w:val="008B48C7"/>
    <w:rsid w:val="008B4D1B"/>
    <w:rsid w:val="008B4E15"/>
    <w:rsid w:val="008B5DF0"/>
    <w:rsid w:val="008B7A79"/>
    <w:rsid w:val="008C0C0F"/>
    <w:rsid w:val="008C1615"/>
    <w:rsid w:val="008C1CA9"/>
    <w:rsid w:val="008C1F1C"/>
    <w:rsid w:val="008C22D0"/>
    <w:rsid w:val="008C243F"/>
    <w:rsid w:val="008C2556"/>
    <w:rsid w:val="008C33C1"/>
    <w:rsid w:val="008C35D0"/>
    <w:rsid w:val="008C41E1"/>
    <w:rsid w:val="008C44A6"/>
    <w:rsid w:val="008C4B98"/>
    <w:rsid w:val="008C6DD7"/>
    <w:rsid w:val="008D0E46"/>
    <w:rsid w:val="008D1965"/>
    <w:rsid w:val="008D1ADF"/>
    <w:rsid w:val="008D230B"/>
    <w:rsid w:val="008D274A"/>
    <w:rsid w:val="008D2FEB"/>
    <w:rsid w:val="008D300A"/>
    <w:rsid w:val="008D31D6"/>
    <w:rsid w:val="008D3AD0"/>
    <w:rsid w:val="008D3E7E"/>
    <w:rsid w:val="008D42EA"/>
    <w:rsid w:val="008D62ED"/>
    <w:rsid w:val="008D707E"/>
    <w:rsid w:val="008D7DF3"/>
    <w:rsid w:val="008E1107"/>
    <w:rsid w:val="008E1E9A"/>
    <w:rsid w:val="008E30DD"/>
    <w:rsid w:val="008E3567"/>
    <w:rsid w:val="008E49C9"/>
    <w:rsid w:val="008E4A52"/>
    <w:rsid w:val="008F0D28"/>
    <w:rsid w:val="008F0F57"/>
    <w:rsid w:val="008F11A2"/>
    <w:rsid w:val="008F1293"/>
    <w:rsid w:val="008F24B7"/>
    <w:rsid w:val="008F2BFE"/>
    <w:rsid w:val="008F4832"/>
    <w:rsid w:val="008F4AFE"/>
    <w:rsid w:val="008F4BBF"/>
    <w:rsid w:val="008F760E"/>
    <w:rsid w:val="00901B6F"/>
    <w:rsid w:val="009026DD"/>
    <w:rsid w:val="00902933"/>
    <w:rsid w:val="009029BA"/>
    <w:rsid w:val="00902ACF"/>
    <w:rsid w:val="00902D0D"/>
    <w:rsid w:val="00902DCC"/>
    <w:rsid w:val="0090326B"/>
    <w:rsid w:val="00903F56"/>
    <w:rsid w:val="009044B8"/>
    <w:rsid w:val="00904630"/>
    <w:rsid w:val="0090463E"/>
    <w:rsid w:val="009062A7"/>
    <w:rsid w:val="00906445"/>
    <w:rsid w:val="009068FD"/>
    <w:rsid w:val="00906F4E"/>
    <w:rsid w:val="009101E9"/>
    <w:rsid w:val="00910A69"/>
    <w:rsid w:val="00910B75"/>
    <w:rsid w:val="00910DB9"/>
    <w:rsid w:val="009113E0"/>
    <w:rsid w:val="0091154F"/>
    <w:rsid w:val="00911C69"/>
    <w:rsid w:val="0091235C"/>
    <w:rsid w:val="0091268A"/>
    <w:rsid w:val="009127E8"/>
    <w:rsid w:val="00913DCD"/>
    <w:rsid w:val="009147B2"/>
    <w:rsid w:val="009159F4"/>
    <w:rsid w:val="009209A4"/>
    <w:rsid w:val="00920E7B"/>
    <w:rsid w:val="00921291"/>
    <w:rsid w:val="0092188D"/>
    <w:rsid w:val="009221EB"/>
    <w:rsid w:val="00922A00"/>
    <w:rsid w:val="0092343D"/>
    <w:rsid w:val="00925028"/>
    <w:rsid w:val="00926C4B"/>
    <w:rsid w:val="009274A7"/>
    <w:rsid w:val="00927D68"/>
    <w:rsid w:val="00930F63"/>
    <w:rsid w:val="0093148B"/>
    <w:rsid w:val="00931E9E"/>
    <w:rsid w:val="00932316"/>
    <w:rsid w:val="00932AFB"/>
    <w:rsid w:val="0093301E"/>
    <w:rsid w:val="0093358E"/>
    <w:rsid w:val="00933C8F"/>
    <w:rsid w:val="00936B4A"/>
    <w:rsid w:val="00936D52"/>
    <w:rsid w:val="00937058"/>
    <w:rsid w:val="00937687"/>
    <w:rsid w:val="00940630"/>
    <w:rsid w:val="0094182E"/>
    <w:rsid w:val="00942C8C"/>
    <w:rsid w:val="00943BA6"/>
    <w:rsid w:val="00943C88"/>
    <w:rsid w:val="009443B3"/>
    <w:rsid w:val="00944A69"/>
    <w:rsid w:val="00946B80"/>
    <w:rsid w:val="009475AD"/>
    <w:rsid w:val="009478DB"/>
    <w:rsid w:val="009503F6"/>
    <w:rsid w:val="00952018"/>
    <w:rsid w:val="0095217C"/>
    <w:rsid w:val="009537D1"/>
    <w:rsid w:val="0095646C"/>
    <w:rsid w:val="009576CB"/>
    <w:rsid w:val="00963207"/>
    <w:rsid w:val="00963F84"/>
    <w:rsid w:val="009650D3"/>
    <w:rsid w:val="009658EF"/>
    <w:rsid w:val="00966650"/>
    <w:rsid w:val="00967228"/>
    <w:rsid w:val="00967EAA"/>
    <w:rsid w:val="009704DE"/>
    <w:rsid w:val="009711A2"/>
    <w:rsid w:val="009713AD"/>
    <w:rsid w:val="0097144D"/>
    <w:rsid w:val="009724D1"/>
    <w:rsid w:val="009728AD"/>
    <w:rsid w:val="00972C35"/>
    <w:rsid w:val="009734CD"/>
    <w:rsid w:val="00973BB0"/>
    <w:rsid w:val="009740F1"/>
    <w:rsid w:val="00974F51"/>
    <w:rsid w:val="00981453"/>
    <w:rsid w:val="009819C8"/>
    <w:rsid w:val="009821AE"/>
    <w:rsid w:val="0098317E"/>
    <w:rsid w:val="00983F07"/>
    <w:rsid w:val="00984134"/>
    <w:rsid w:val="00984396"/>
    <w:rsid w:val="009846DD"/>
    <w:rsid w:val="009847A3"/>
    <w:rsid w:val="00984D6E"/>
    <w:rsid w:val="00987E75"/>
    <w:rsid w:val="00990671"/>
    <w:rsid w:val="00990814"/>
    <w:rsid w:val="00990D9B"/>
    <w:rsid w:val="0099201D"/>
    <w:rsid w:val="0099209A"/>
    <w:rsid w:val="009925B1"/>
    <w:rsid w:val="00992A80"/>
    <w:rsid w:val="00994061"/>
    <w:rsid w:val="009944DA"/>
    <w:rsid w:val="009A1BCB"/>
    <w:rsid w:val="009A22DD"/>
    <w:rsid w:val="009A37A2"/>
    <w:rsid w:val="009A3D09"/>
    <w:rsid w:val="009A456B"/>
    <w:rsid w:val="009A4680"/>
    <w:rsid w:val="009A4F20"/>
    <w:rsid w:val="009A5557"/>
    <w:rsid w:val="009A623D"/>
    <w:rsid w:val="009A6C9F"/>
    <w:rsid w:val="009A76BE"/>
    <w:rsid w:val="009A7A29"/>
    <w:rsid w:val="009B00C8"/>
    <w:rsid w:val="009B08C5"/>
    <w:rsid w:val="009B1BA0"/>
    <w:rsid w:val="009B1F70"/>
    <w:rsid w:val="009B21EE"/>
    <w:rsid w:val="009B3F51"/>
    <w:rsid w:val="009B4BF1"/>
    <w:rsid w:val="009B6582"/>
    <w:rsid w:val="009B6650"/>
    <w:rsid w:val="009C1569"/>
    <w:rsid w:val="009C27FD"/>
    <w:rsid w:val="009C2F80"/>
    <w:rsid w:val="009C2FA8"/>
    <w:rsid w:val="009C3B41"/>
    <w:rsid w:val="009C42E4"/>
    <w:rsid w:val="009C44A8"/>
    <w:rsid w:val="009C45B5"/>
    <w:rsid w:val="009C50F9"/>
    <w:rsid w:val="009C55C0"/>
    <w:rsid w:val="009C5777"/>
    <w:rsid w:val="009C608D"/>
    <w:rsid w:val="009C61DD"/>
    <w:rsid w:val="009C668F"/>
    <w:rsid w:val="009C679E"/>
    <w:rsid w:val="009C6E6C"/>
    <w:rsid w:val="009D0062"/>
    <w:rsid w:val="009D0A59"/>
    <w:rsid w:val="009D0B41"/>
    <w:rsid w:val="009D1C34"/>
    <w:rsid w:val="009D1CB5"/>
    <w:rsid w:val="009D229A"/>
    <w:rsid w:val="009D2B97"/>
    <w:rsid w:val="009D2D0E"/>
    <w:rsid w:val="009D2D48"/>
    <w:rsid w:val="009D4537"/>
    <w:rsid w:val="009D4F5B"/>
    <w:rsid w:val="009D6008"/>
    <w:rsid w:val="009D625F"/>
    <w:rsid w:val="009D6B79"/>
    <w:rsid w:val="009E4492"/>
    <w:rsid w:val="009E44B6"/>
    <w:rsid w:val="009E4D34"/>
    <w:rsid w:val="009E4FB3"/>
    <w:rsid w:val="009E572A"/>
    <w:rsid w:val="009E6553"/>
    <w:rsid w:val="009E6742"/>
    <w:rsid w:val="009E6B9F"/>
    <w:rsid w:val="009E7213"/>
    <w:rsid w:val="009F11E1"/>
    <w:rsid w:val="009F2B13"/>
    <w:rsid w:val="009F2B43"/>
    <w:rsid w:val="009F3C80"/>
    <w:rsid w:val="009F4352"/>
    <w:rsid w:val="009F7E65"/>
    <w:rsid w:val="00A00022"/>
    <w:rsid w:val="00A008AF"/>
    <w:rsid w:val="00A0117C"/>
    <w:rsid w:val="00A0141E"/>
    <w:rsid w:val="00A017F8"/>
    <w:rsid w:val="00A02435"/>
    <w:rsid w:val="00A02789"/>
    <w:rsid w:val="00A039E3"/>
    <w:rsid w:val="00A04761"/>
    <w:rsid w:val="00A04EC5"/>
    <w:rsid w:val="00A05184"/>
    <w:rsid w:val="00A05A93"/>
    <w:rsid w:val="00A0658A"/>
    <w:rsid w:val="00A06909"/>
    <w:rsid w:val="00A06D64"/>
    <w:rsid w:val="00A073B5"/>
    <w:rsid w:val="00A10FAA"/>
    <w:rsid w:val="00A115A5"/>
    <w:rsid w:val="00A1218F"/>
    <w:rsid w:val="00A130E0"/>
    <w:rsid w:val="00A13BBA"/>
    <w:rsid w:val="00A13DE5"/>
    <w:rsid w:val="00A1491D"/>
    <w:rsid w:val="00A15FB0"/>
    <w:rsid w:val="00A1689C"/>
    <w:rsid w:val="00A168D8"/>
    <w:rsid w:val="00A17D3D"/>
    <w:rsid w:val="00A21848"/>
    <w:rsid w:val="00A2255C"/>
    <w:rsid w:val="00A22FCE"/>
    <w:rsid w:val="00A23110"/>
    <w:rsid w:val="00A23165"/>
    <w:rsid w:val="00A231EA"/>
    <w:rsid w:val="00A236EA"/>
    <w:rsid w:val="00A2433E"/>
    <w:rsid w:val="00A24D9E"/>
    <w:rsid w:val="00A24FDA"/>
    <w:rsid w:val="00A26E66"/>
    <w:rsid w:val="00A2715A"/>
    <w:rsid w:val="00A27797"/>
    <w:rsid w:val="00A3024D"/>
    <w:rsid w:val="00A303D3"/>
    <w:rsid w:val="00A308A9"/>
    <w:rsid w:val="00A30F20"/>
    <w:rsid w:val="00A3118A"/>
    <w:rsid w:val="00A3132A"/>
    <w:rsid w:val="00A32734"/>
    <w:rsid w:val="00A32FB4"/>
    <w:rsid w:val="00A3311A"/>
    <w:rsid w:val="00A3322D"/>
    <w:rsid w:val="00A35B55"/>
    <w:rsid w:val="00A36346"/>
    <w:rsid w:val="00A37C5E"/>
    <w:rsid w:val="00A4008C"/>
    <w:rsid w:val="00A40162"/>
    <w:rsid w:val="00A4126D"/>
    <w:rsid w:val="00A4328F"/>
    <w:rsid w:val="00A451DC"/>
    <w:rsid w:val="00A45A5C"/>
    <w:rsid w:val="00A460CE"/>
    <w:rsid w:val="00A476F3"/>
    <w:rsid w:val="00A47CB8"/>
    <w:rsid w:val="00A47E4E"/>
    <w:rsid w:val="00A50393"/>
    <w:rsid w:val="00A505E6"/>
    <w:rsid w:val="00A509C7"/>
    <w:rsid w:val="00A50ED8"/>
    <w:rsid w:val="00A523F8"/>
    <w:rsid w:val="00A525BD"/>
    <w:rsid w:val="00A52B12"/>
    <w:rsid w:val="00A530C4"/>
    <w:rsid w:val="00A53AB5"/>
    <w:rsid w:val="00A5477A"/>
    <w:rsid w:val="00A5582F"/>
    <w:rsid w:val="00A57179"/>
    <w:rsid w:val="00A57938"/>
    <w:rsid w:val="00A603C4"/>
    <w:rsid w:val="00A622C6"/>
    <w:rsid w:val="00A62951"/>
    <w:rsid w:val="00A63BC1"/>
    <w:rsid w:val="00A65609"/>
    <w:rsid w:val="00A65D16"/>
    <w:rsid w:val="00A66067"/>
    <w:rsid w:val="00A67132"/>
    <w:rsid w:val="00A70029"/>
    <w:rsid w:val="00A700E8"/>
    <w:rsid w:val="00A70682"/>
    <w:rsid w:val="00A7142F"/>
    <w:rsid w:val="00A71D1A"/>
    <w:rsid w:val="00A71F43"/>
    <w:rsid w:val="00A721EA"/>
    <w:rsid w:val="00A725E2"/>
    <w:rsid w:val="00A72FAF"/>
    <w:rsid w:val="00A7451A"/>
    <w:rsid w:val="00A74AB1"/>
    <w:rsid w:val="00A7568A"/>
    <w:rsid w:val="00A75F9F"/>
    <w:rsid w:val="00A76552"/>
    <w:rsid w:val="00A80212"/>
    <w:rsid w:val="00A8071C"/>
    <w:rsid w:val="00A80845"/>
    <w:rsid w:val="00A80DA9"/>
    <w:rsid w:val="00A8187B"/>
    <w:rsid w:val="00A81F9F"/>
    <w:rsid w:val="00A827CF"/>
    <w:rsid w:val="00A8300C"/>
    <w:rsid w:val="00A85C28"/>
    <w:rsid w:val="00A85CDF"/>
    <w:rsid w:val="00A86774"/>
    <w:rsid w:val="00A8739C"/>
    <w:rsid w:val="00A87796"/>
    <w:rsid w:val="00A90122"/>
    <w:rsid w:val="00A90A51"/>
    <w:rsid w:val="00A927E2"/>
    <w:rsid w:val="00A92BF9"/>
    <w:rsid w:val="00A92FDE"/>
    <w:rsid w:val="00A949E3"/>
    <w:rsid w:val="00A958D0"/>
    <w:rsid w:val="00A95B65"/>
    <w:rsid w:val="00A95C3B"/>
    <w:rsid w:val="00A969D7"/>
    <w:rsid w:val="00A96C37"/>
    <w:rsid w:val="00A96C5D"/>
    <w:rsid w:val="00A97FE6"/>
    <w:rsid w:val="00AA0A03"/>
    <w:rsid w:val="00AA1AE9"/>
    <w:rsid w:val="00AA2E5F"/>
    <w:rsid w:val="00AA5000"/>
    <w:rsid w:val="00AA54A7"/>
    <w:rsid w:val="00AA5D1F"/>
    <w:rsid w:val="00AA748E"/>
    <w:rsid w:val="00AB0029"/>
    <w:rsid w:val="00AB01A0"/>
    <w:rsid w:val="00AB1113"/>
    <w:rsid w:val="00AB148F"/>
    <w:rsid w:val="00AB3364"/>
    <w:rsid w:val="00AB3CB6"/>
    <w:rsid w:val="00AB40F2"/>
    <w:rsid w:val="00AB4B98"/>
    <w:rsid w:val="00AB4DD1"/>
    <w:rsid w:val="00AB6CA2"/>
    <w:rsid w:val="00AC092F"/>
    <w:rsid w:val="00AC0D67"/>
    <w:rsid w:val="00AC18E8"/>
    <w:rsid w:val="00AC1FD8"/>
    <w:rsid w:val="00AC58BE"/>
    <w:rsid w:val="00AC5AEA"/>
    <w:rsid w:val="00AC74B9"/>
    <w:rsid w:val="00AC7752"/>
    <w:rsid w:val="00AC7EB8"/>
    <w:rsid w:val="00AD0255"/>
    <w:rsid w:val="00AD0D29"/>
    <w:rsid w:val="00AD268D"/>
    <w:rsid w:val="00AD272F"/>
    <w:rsid w:val="00AD4D8A"/>
    <w:rsid w:val="00AE0691"/>
    <w:rsid w:val="00AE09B2"/>
    <w:rsid w:val="00AE0E07"/>
    <w:rsid w:val="00AE2D6E"/>
    <w:rsid w:val="00AE3428"/>
    <w:rsid w:val="00AE362F"/>
    <w:rsid w:val="00AE451F"/>
    <w:rsid w:val="00AE4707"/>
    <w:rsid w:val="00AE48B3"/>
    <w:rsid w:val="00AE4A18"/>
    <w:rsid w:val="00AE5AA9"/>
    <w:rsid w:val="00AE5AC9"/>
    <w:rsid w:val="00AE7968"/>
    <w:rsid w:val="00AF1447"/>
    <w:rsid w:val="00AF20B5"/>
    <w:rsid w:val="00AF2B70"/>
    <w:rsid w:val="00AF3455"/>
    <w:rsid w:val="00AF34FA"/>
    <w:rsid w:val="00AF3EB9"/>
    <w:rsid w:val="00AF3ED0"/>
    <w:rsid w:val="00AF4111"/>
    <w:rsid w:val="00AF41B9"/>
    <w:rsid w:val="00AF4FAD"/>
    <w:rsid w:val="00AF55F6"/>
    <w:rsid w:val="00AF5FDB"/>
    <w:rsid w:val="00AF662D"/>
    <w:rsid w:val="00AF6726"/>
    <w:rsid w:val="00AF6B3E"/>
    <w:rsid w:val="00B0089D"/>
    <w:rsid w:val="00B015F8"/>
    <w:rsid w:val="00B03572"/>
    <w:rsid w:val="00B03A92"/>
    <w:rsid w:val="00B04A7C"/>
    <w:rsid w:val="00B06176"/>
    <w:rsid w:val="00B11266"/>
    <w:rsid w:val="00B117A5"/>
    <w:rsid w:val="00B11D51"/>
    <w:rsid w:val="00B123E4"/>
    <w:rsid w:val="00B12CFE"/>
    <w:rsid w:val="00B12F0F"/>
    <w:rsid w:val="00B13BC5"/>
    <w:rsid w:val="00B14E50"/>
    <w:rsid w:val="00B1552C"/>
    <w:rsid w:val="00B1599A"/>
    <w:rsid w:val="00B15B04"/>
    <w:rsid w:val="00B16265"/>
    <w:rsid w:val="00B1638C"/>
    <w:rsid w:val="00B17915"/>
    <w:rsid w:val="00B17923"/>
    <w:rsid w:val="00B2043D"/>
    <w:rsid w:val="00B20756"/>
    <w:rsid w:val="00B2160F"/>
    <w:rsid w:val="00B216EA"/>
    <w:rsid w:val="00B21C89"/>
    <w:rsid w:val="00B22F4A"/>
    <w:rsid w:val="00B24DE1"/>
    <w:rsid w:val="00B25876"/>
    <w:rsid w:val="00B27D6E"/>
    <w:rsid w:val="00B27F76"/>
    <w:rsid w:val="00B3043B"/>
    <w:rsid w:val="00B30B8B"/>
    <w:rsid w:val="00B31B8E"/>
    <w:rsid w:val="00B320A4"/>
    <w:rsid w:val="00B322EA"/>
    <w:rsid w:val="00B32938"/>
    <w:rsid w:val="00B32CEA"/>
    <w:rsid w:val="00B338A1"/>
    <w:rsid w:val="00B342D2"/>
    <w:rsid w:val="00B34792"/>
    <w:rsid w:val="00B36044"/>
    <w:rsid w:val="00B3624E"/>
    <w:rsid w:val="00B36B16"/>
    <w:rsid w:val="00B36E03"/>
    <w:rsid w:val="00B401CE"/>
    <w:rsid w:val="00B412DB"/>
    <w:rsid w:val="00B4168B"/>
    <w:rsid w:val="00B42F55"/>
    <w:rsid w:val="00B4374E"/>
    <w:rsid w:val="00B43B70"/>
    <w:rsid w:val="00B43C94"/>
    <w:rsid w:val="00B44A0A"/>
    <w:rsid w:val="00B452A0"/>
    <w:rsid w:val="00B45B54"/>
    <w:rsid w:val="00B46935"/>
    <w:rsid w:val="00B50FCE"/>
    <w:rsid w:val="00B51AC5"/>
    <w:rsid w:val="00B51D6F"/>
    <w:rsid w:val="00B522FE"/>
    <w:rsid w:val="00B53248"/>
    <w:rsid w:val="00B53391"/>
    <w:rsid w:val="00B53BDB"/>
    <w:rsid w:val="00B551E5"/>
    <w:rsid w:val="00B569D3"/>
    <w:rsid w:val="00B57872"/>
    <w:rsid w:val="00B62DA0"/>
    <w:rsid w:val="00B63573"/>
    <w:rsid w:val="00B639EE"/>
    <w:rsid w:val="00B63CD4"/>
    <w:rsid w:val="00B647E1"/>
    <w:rsid w:val="00B64E71"/>
    <w:rsid w:val="00B6575D"/>
    <w:rsid w:val="00B65891"/>
    <w:rsid w:val="00B6613C"/>
    <w:rsid w:val="00B6617E"/>
    <w:rsid w:val="00B6625E"/>
    <w:rsid w:val="00B670DE"/>
    <w:rsid w:val="00B67367"/>
    <w:rsid w:val="00B700A5"/>
    <w:rsid w:val="00B70A53"/>
    <w:rsid w:val="00B70C7E"/>
    <w:rsid w:val="00B70EDB"/>
    <w:rsid w:val="00B71063"/>
    <w:rsid w:val="00B715ED"/>
    <w:rsid w:val="00B73E4B"/>
    <w:rsid w:val="00B74117"/>
    <w:rsid w:val="00B75C4B"/>
    <w:rsid w:val="00B761EE"/>
    <w:rsid w:val="00B76BBC"/>
    <w:rsid w:val="00B77B38"/>
    <w:rsid w:val="00B80D3C"/>
    <w:rsid w:val="00B81084"/>
    <w:rsid w:val="00B8198A"/>
    <w:rsid w:val="00B81FD1"/>
    <w:rsid w:val="00B823CA"/>
    <w:rsid w:val="00B826C3"/>
    <w:rsid w:val="00B83604"/>
    <w:rsid w:val="00B839B3"/>
    <w:rsid w:val="00B8448F"/>
    <w:rsid w:val="00B84EF3"/>
    <w:rsid w:val="00B8506B"/>
    <w:rsid w:val="00B855C3"/>
    <w:rsid w:val="00B85706"/>
    <w:rsid w:val="00B86AB0"/>
    <w:rsid w:val="00B90119"/>
    <w:rsid w:val="00B90852"/>
    <w:rsid w:val="00B912A1"/>
    <w:rsid w:val="00B913F1"/>
    <w:rsid w:val="00B9177C"/>
    <w:rsid w:val="00B91B7B"/>
    <w:rsid w:val="00B9225D"/>
    <w:rsid w:val="00B93C5F"/>
    <w:rsid w:val="00B9455E"/>
    <w:rsid w:val="00B9470D"/>
    <w:rsid w:val="00B94F19"/>
    <w:rsid w:val="00B952D9"/>
    <w:rsid w:val="00B9551C"/>
    <w:rsid w:val="00B957F3"/>
    <w:rsid w:val="00B958BD"/>
    <w:rsid w:val="00B9615C"/>
    <w:rsid w:val="00B96607"/>
    <w:rsid w:val="00B97670"/>
    <w:rsid w:val="00BA0726"/>
    <w:rsid w:val="00BA1D0F"/>
    <w:rsid w:val="00BA232C"/>
    <w:rsid w:val="00BA253E"/>
    <w:rsid w:val="00BA2A9D"/>
    <w:rsid w:val="00BA39ED"/>
    <w:rsid w:val="00BA3C8C"/>
    <w:rsid w:val="00BA3F88"/>
    <w:rsid w:val="00BA5715"/>
    <w:rsid w:val="00BA57E9"/>
    <w:rsid w:val="00BA5FDB"/>
    <w:rsid w:val="00BA6479"/>
    <w:rsid w:val="00BA6E76"/>
    <w:rsid w:val="00BB057B"/>
    <w:rsid w:val="00BB0898"/>
    <w:rsid w:val="00BB101D"/>
    <w:rsid w:val="00BB1C5F"/>
    <w:rsid w:val="00BB2354"/>
    <w:rsid w:val="00BB26A7"/>
    <w:rsid w:val="00BB28CE"/>
    <w:rsid w:val="00BB4EC9"/>
    <w:rsid w:val="00BB5F70"/>
    <w:rsid w:val="00BC0E99"/>
    <w:rsid w:val="00BC1335"/>
    <w:rsid w:val="00BC14F7"/>
    <w:rsid w:val="00BC1628"/>
    <w:rsid w:val="00BC3876"/>
    <w:rsid w:val="00BC3B06"/>
    <w:rsid w:val="00BC4C37"/>
    <w:rsid w:val="00BC4F7C"/>
    <w:rsid w:val="00BC6715"/>
    <w:rsid w:val="00BC6BFB"/>
    <w:rsid w:val="00BD00AD"/>
    <w:rsid w:val="00BD04ED"/>
    <w:rsid w:val="00BD1D9F"/>
    <w:rsid w:val="00BD203E"/>
    <w:rsid w:val="00BD3891"/>
    <w:rsid w:val="00BD4269"/>
    <w:rsid w:val="00BD45CD"/>
    <w:rsid w:val="00BD4BDE"/>
    <w:rsid w:val="00BD57A9"/>
    <w:rsid w:val="00BD6434"/>
    <w:rsid w:val="00BD653D"/>
    <w:rsid w:val="00BD7131"/>
    <w:rsid w:val="00BE04E8"/>
    <w:rsid w:val="00BE12A5"/>
    <w:rsid w:val="00BE1647"/>
    <w:rsid w:val="00BE1E0D"/>
    <w:rsid w:val="00BE2370"/>
    <w:rsid w:val="00BE47E5"/>
    <w:rsid w:val="00BE4B42"/>
    <w:rsid w:val="00BE5214"/>
    <w:rsid w:val="00BE5376"/>
    <w:rsid w:val="00BE7904"/>
    <w:rsid w:val="00BF0162"/>
    <w:rsid w:val="00BF1825"/>
    <w:rsid w:val="00BF37B1"/>
    <w:rsid w:val="00BF3C1C"/>
    <w:rsid w:val="00BF3FB0"/>
    <w:rsid w:val="00BF4E66"/>
    <w:rsid w:val="00BF4F5C"/>
    <w:rsid w:val="00BF4FF1"/>
    <w:rsid w:val="00BF529E"/>
    <w:rsid w:val="00BF5E7B"/>
    <w:rsid w:val="00BF629C"/>
    <w:rsid w:val="00BF6612"/>
    <w:rsid w:val="00BF66C4"/>
    <w:rsid w:val="00BF71CD"/>
    <w:rsid w:val="00BF738E"/>
    <w:rsid w:val="00BF7B0E"/>
    <w:rsid w:val="00C01964"/>
    <w:rsid w:val="00C01C3E"/>
    <w:rsid w:val="00C01F9A"/>
    <w:rsid w:val="00C0223D"/>
    <w:rsid w:val="00C029EA"/>
    <w:rsid w:val="00C03B3E"/>
    <w:rsid w:val="00C03F19"/>
    <w:rsid w:val="00C05084"/>
    <w:rsid w:val="00C05723"/>
    <w:rsid w:val="00C05CAC"/>
    <w:rsid w:val="00C05CED"/>
    <w:rsid w:val="00C0674F"/>
    <w:rsid w:val="00C06846"/>
    <w:rsid w:val="00C06C6C"/>
    <w:rsid w:val="00C07F97"/>
    <w:rsid w:val="00C10361"/>
    <w:rsid w:val="00C10B34"/>
    <w:rsid w:val="00C1112C"/>
    <w:rsid w:val="00C11505"/>
    <w:rsid w:val="00C11577"/>
    <w:rsid w:val="00C11884"/>
    <w:rsid w:val="00C13D01"/>
    <w:rsid w:val="00C14028"/>
    <w:rsid w:val="00C15049"/>
    <w:rsid w:val="00C155B0"/>
    <w:rsid w:val="00C16105"/>
    <w:rsid w:val="00C1789E"/>
    <w:rsid w:val="00C17F6A"/>
    <w:rsid w:val="00C206E5"/>
    <w:rsid w:val="00C2103B"/>
    <w:rsid w:val="00C213F9"/>
    <w:rsid w:val="00C2380A"/>
    <w:rsid w:val="00C24C5E"/>
    <w:rsid w:val="00C25002"/>
    <w:rsid w:val="00C25045"/>
    <w:rsid w:val="00C25A97"/>
    <w:rsid w:val="00C26081"/>
    <w:rsid w:val="00C265E1"/>
    <w:rsid w:val="00C26CEF"/>
    <w:rsid w:val="00C30D17"/>
    <w:rsid w:val="00C30D67"/>
    <w:rsid w:val="00C32619"/>
    <w:rsid w:val="00C328F8"/>
    <w:rsid w:val="00C33168"/>
    <w:rsid w:val="00C33A3D"/>
    <w:rsid w:val="00C33D71"/>
    <w:rsid w:val="00C33EA4"/>
    <w:rsid w:val="00C344AF"/>
    <w:rsid w:val="00C35DF0"/>
    <w:rsid w:val="00C360AC"/>
    <w:rsid w:val="00C3655F"/>
    <w:rsid w:val="00C40602"/>
    <w:rsid w:val="00C40B35"/>
    <w:rsid w:val="00C41219"/>
    <w:rsid w:val="00C41757"/>
    <w:rsid w:val="00C42265"/>
    <w:rsid w:val="00C444F4"/>
    <w:rsid w:val="00C46664"/>
    <w:rsid w:val="00C5041B"/>
    <w:rsid w:val="00C509E3"/>
    <w:rsid w:val="00C50BDC"/>
    <w:rsid w:val="00C50C1A"/>
    <w:rsid w:val="00C50D29"/>
    <w:rsid w:val="00C50D34"/>
    <w:rsid w:val="00C50E54"/>
    <w:rsid w:val="00C5184F"/>
    <w:rsid w:val="00C5199C"/>
    <w:rsid w:val="00C51FF3"/>
    <w:rsid w:val="00C5205C"/>
    <w:rsid w:val="00C52570"/>
    <w:rsid w:val="00C52BBE"/>
    <w:rsid w:val="00C534C0"/>
    <w:rsid w:val="00C53617"/>
    <w:rsid w:val="00C55DCE"/>
    <w:rsid w:val="00C5686D"/>
    <w:rsid w:val="00C60356"/>
    <w:rsid w:val="00C60C9E"/>
    <w:rsid w:val="00C60FE7"/>
    <w:rsid w:val="00C6146B"/>
    <w:rsid w:val="00C6148F"/>
    <w:rsid w:val="00C61A09"/>
    <w:rsid w:val="00C62D99"/>
    <w:rsid w:val="00C62EB9"/>
    <w:rsid w:val="00C63B66"/>
    <w:rsid w:val="00C6405D"/>
    <w:rsid w:val="00C6412E"/>
    <w:rsid w:val="00C652FF"/>
    <w:rsid w:val="00C66B4C"/>
    <w:rsid w:val="00C675B3"/>
    <w:rsid w:val="00C70217"/>
    <w:rsid w:val="00C70A5F"/>
    <w:rsid w:val="00C70B2C"/>
    <w:rsid w:val="00C7190E"/>
    <w:rsid w:val="00C725F2"/>
    <w:rsid w:val="00C72857"/>
    <w:rsid w:val="00C735D8"/>
    <w:rsid w:val="00C7384C"/>
    <w:rsid w:val="00C74242"/>
    <w:rsid w:val="00C7464F"/>
    <w:rsid w:val="00C757E5"/>
    <w:rsid w:val="00C76665"/>
    <w:rsid w:val="00C76C5A"/>
    <w:rsid w:val="00C76CDC"/>
    <w:rsid w:val="00C76CEA"/>
    <w:rsid w:val="00C77B8F"/>
    <w:rsid w:val="00C81226"/>
    <w:rsid w:val="00C81272"/>
    <w:rsid w:val="00C8134F"/>
    <w:rsid w:val="00C8143E"/>
    <w:rsid w:val="00C81765"/>
    <w:rsid w:val="00C81C10"/>
    <w:rsid w:val="00C8280A"/>
    <w:rsid w:val="00C834C5"/>
    <w:rsid w:val="00C83FEF"/>
    <w:rsid w:val="00C84302"/>
    <w:rsid w:val="00C8450A"/>
    <w:rsid w:val="00C85166"/>
    <w:rsid w:val="00C85BD8"/>
    <w:rsid w:val="00C85EB3"/>
    <w:rsid w:val="00C86304"/>
    <w:rsid w:val="00C8648E"/>
    <w:rsid w:val="00C87664"/>
    <w:rsid w:val="00C87CE5"/>
    <w:rsid w:val="00C87FEC"/>
    <w:rsid w:val="00C925EF"/>
    <w:rsid w:val="00C92F5E"/>
    <w:rsid w:val="00C943C8"/>
    <w:rsid w:val="00C9487E"/>
    <w:rsid w:val="00C9656A"/>
    <w:rsid w:val="00C96E9B"/>
    <w:rsid w:val="00C96F3F"/>
    <w:rsid w:val="00C979CE"/>
    <w:rsid w:val="00CA01B9"/>
    <w:rsid w:val="00CA06C6"/>
    <w:rsid w:val="00CA0EBC"/>
    <w:rsid w:val="00CA17C8"/>
    <w:rsid w:val="00CA2E25"/>
    <w:rsid w:val="00CA3961"/>
    <w:rsid w:val="00CA3ACF"/>
    <w:rsid w:val="00CA3C1B"/>
    <w:rsid w:val="00CA3F91"/>
    <w:rsid w:val="00CA549E"/>
    <w:rsid w:val="00CA57DD"/>
    <w:rsid w:val="00CA61C5"/>
    <w:rsid w:val="00CA780E"/>
    <w:rsid w:val="00CB1791"/>
    <w:rsid w:val="00CB1B20"/>
    <w:rsid w:val="00CB2171"/>
    <w:rsid w:val="00CB295F"/>
    <w:rsid w:val="00CB3659"/>
    <w:rsid w:val="00CB44D3"/>
    <w:rsid w:val="00CB4CC6"/>
    <w:rsid w:val="00CB500E"/>
    <w:rsid w:val="00CB5C4F"/>
    <w:rsid w:val="00CB6923"/>
    <w:rsid w:val="00CB6BD5"/>
    <w:rsid w:val="00CC0A34"/>
    <w:rsid w:val="00CC11CF"/>
    <w:rsid w:val="00CC2036"/>
    <w:rsid w:val="00CC2790"/>
    <w:rsid w:val="00CC302B"/>
    <w:rsid w:val="00CC54C9"/>
    <w:rsid w:val="00CC5675"/>
    <w:rsid w:val="00CC5E5A"/>
    <w:rsid w:val="00CC6838"/>
    <w:rsid w:val="00CC708D"/>
    <w:rsid w:val="00CC7B30"/>
    <w:rsid w:val="00CD11FD"/>
    <w:rsid w:val="00CD21FC"/>
    <w:rsid w:val="00CD380E"/>
    <w:rsid w:val="00CD42B3"/>
    <w:rsid w:val="00CD58E5"/>
    <w:rsid w:val="00CD680A"/>
    <w:rsid w:val="00CD6DFE"/>
    <w:rsid w:val="00CD799F"/>
    <w:rsid w:val="00CE2550"/>
    <w:rsid w:val="00CE255C"/>
    <w:rsid w:val="00CE25A9"/>
    <w:rsid w:val="00CE2946"/>
    <w:rsid w:val="00CE2B24"/>
    <w:rsid w:val="00CE2D22"/>
    <w:rsid w:val="00CE30E7"/>
    <w:rsid w:val="00CE36C9"/>
    <w:rsid w:val="00CE3D43"/>
    <w:rsid w:val="00CE562B"/>
    <w:rsid w:val="00CE6769"/>
    <w:rsid w:val="00CE7716"/>
    <w:rsid w:val="00CE782A"/>
    <w:rsid w:val="00CE7E86"/>
    <w:rsid w:val="00CF065B"/>
    <w:rsid w:val="00CF1371"/>
    <w:rsid w:val="00CF1839"/>
    <w:rsid w:val="00CF2321"/>
    <w:rsid w:val="00CF2EE1"/>
    <w:rsid w:val="00CF3EB8"/>
    <w:rsid w:val="00CF4723"/>
    <w:rsid w:val="00CF47EB"/>
    <w:rsid w:val="00CF53DB"/>
    <w:rsid w:val="00CF5AEA"/>
    <w:rsid w:val="00CF6A08"/>
    <w:rsid w:val="00CF7647"/>
    <w:rsid w:val="00CF796E"/>
    <w:rsid w:val="00D00020"/>
    <w:rsid w:val="00D006C9"/>
    <w:rsid w:val="00D00AB0"/>
    <w:rsid w:val="00D0214D"/>
    <w:rsid w:val="00D0269D"/>
    <w:rsid w:val="00D03404"/>
    <w:rsid w:val="00D037F9"/>
    <w:rsid w:val="00D03D2F"/>
    <w:rsid w:val="00D03E5F"/>
    <w:rsid w:val="00D04147"/>
    <w:rsid w:val="00D04264"/>
    <w:rsid w:val="00D05174"/>
    <w:rsid w:val="00D05C1D"/>
    <w:rsid w:val="00D05EC6"/>
    <w:rsid w:val="00D06C94"/>
    <w:rsid w:val="00D078E8"/>
    <w:rsid w:val="00D07B62"/>
    <w:rsid w:val="00D10EC0"/>
    <w:rsid w:val="00D120F3"/>
    <w:rsid w:val="00D12C0D"/>
    <w:rsid w:val="00D13C3C"/>
    <w:rsid w:val="00D13DE1"/>
    <w:rsid w:val="00D13E1B"/>
    <w:rsid w:val="00D142E5"/>
    <w:rsid w:val="00D15FAD"/>
    <w:rsid w:val="00D162A1"/>
    <w:rsid w:val="00D16545"/>
    <w:rsid w:val="00D1694C"/>
    <w:rsid w:val="00D16B15"/>
    <w:rsid w:val="00D17347"/>
    <w:rsid w:val="00D1746F"/>
    <w:rsid w:val="00D17890"/>
    <w:rsid w:val="00D17FA1"/>
    <w:rsid w:val="00D204F2"/>
    <w:rsid w:val="00D212A2"/>
    <w:rsid w:val="00D21DC3"/>
    <w:rsid w:val="00D22716"/>
    <w:rsid w:val="00D2300C"/>
    <w:rsid w:val="00D234EF"/>
    <w:rsid w:val="00D23D72"/>
    <w:rsid w:val="00D24B0C"/>
    <w:rsid w:val="00D256D3"/>
    <w:rsid w:val="00D25DE1"/>
    <w:rsid w:val="00D265E4"/>
    <w:rsid w:val="00D27391"/>
    <w:rsid w:val="00D274E5"/>
    <w:rsid w:val="00D2755C"/>
    <w:rsid w:val="00D27BF0"/>
    <w:rsid w:val="00D30109"/>
    <w:rsid w:val="00D31597"/>
    <w:rsid w:val="00D34237"/>
    <w:rsid w:val="00D343E1"/>
    <w:rsid w:val="00D36C1B"/>
    <w:rsid w:val="00D36DF5"/>
    <w:rsid w:val="00D37367"/>
    <w:rsid w:val="00D40464"/>
    <w:rsid w:val="00D40758"/>
    <w:rsid w:val="00D408DF"/>
    <w:rsid w:val="00D40F05"/>
    <w:rsid w:val="00D410C7"/>
    <w:rsid w:val="00D41413"/>
    <w:rsid w:val="00D41416"/>
    <w:rsid w:val="00D42A18"/>
    <w:rsid w:val="00D43D81"/>
    <w:rsid w:val="00D44782"/>
    <w:rsid w:val="00D449D8"/>
    <w:rsid w:val="00D44D6A"/>
    <w:rsid w:val="00D457AA"/>
    <w:rsid w:val="00D46021"/>
    <w:rsid w:val="00D465BD"/>
    <w:rsid w:val="00D46CC6"/>
    <w:rsid w:val="00D47244"/>
    <w:rsid w:val="00D474C7"/>
    <w:rsid w:val="00D4769B"/>
    <w:rsid w:val="00D479DB"/>
    <w:rsid w:val="00D47E44"/>
    <w:rsid w:val="00D50997"/>
    <w:rsid w:val="00D518AD"/>
    <w:rsid w:val="00D51A33"/>
    <w:rsid w:val="00D5281E"/>
    <w:rsid w:val="00D532F8"/>
    <w:rsid w:val="00D53877"/>
    <w:rsid w:val="00D544AC"/>
    <w:rsid w:val="00D571ED"/>
    <w:rsid w:val="00D57B90"/>
    <w:rsid w:val="00D60A31"/>
    <w:rsid w:val="00D6140D"/>
    <w:rsid w:val="00D61924"/>
    <w:rsid w:val="00D6357D"/>
    <w:rsid w:val="00D64241"/>
    <w:rsid w:val="00D64EDD"/>
    <w:rsid w:val="00D658A5"/>
    <w:rsid w:val="00D663F7"/>
    <w:rsid w:val="00D67471"/>
    <w:rsid w:val="00D720AE"/>
    <w:rsid w:val="00D721E0"/>
    <w:rsid w:val="00D72541"/>
    <w:rsid w:val="00D725E6"/>
    <w:rsid w:val="00D731E1"/>
    <w:rsid w:val="00D73379"/>
    <w:rsid w:val="00D73FCA"/>
    <w:rsid w:val="00D7410E"/>
    <w:rsid w:val="00D741AF"/>
    <w:rsid w:val="00D7473C"/>
    <w:rsid w:val="00D74786"/>
    <w:rsid w:val="00D74E07"/>
    <w:rsid w:val="00D75BF1"/>
    <w:rsid w:val="00D777B9"/>
    <w:rsid w:val="00D812C0"/>
    <w:rsid w:val="00D81724"/>
    <w:rsid w:val="00D819DF"/>
    <w:rsid w:val="00D81B9F"/>
    <w:rsid w:val="00D82C37"/>
    <w:rsid w:val="00D82DD5"/>
    <w:rsid w:val="00D83A77"/>
    <w:rsid w:val="00D83A7A"/>
    <w:rsid w:val="00D83E7F"/>
    <w:rsid w:val="00D844AC"/>
    <w:rsid w:val="00D846E4"/>
    <w:rsid w:val="00D85410"/>
    <w:rsid w:val="00D85490"/>
    <w:rsid w:val="00D85DCA"/>
    <w:rsid w:val="00D86A70"/>
    <w:rsid w:val="00D86BF4"/>
    <w:rsid w:val="00D9021D"/>
    <w:rsid w:val="00D90780"/>
    <w:rsid w:val="00D907FC"/>
    <w:rsid w:val="00D90AFA"/>
    <w:rsid w:val="00D90D8F"/>
    <w:rsid w:val="00D90E28"/>
    <w:rsid w:val="00D92716"/>
    <w:rsid w:val="00D9321A"/>
    <w:rsid w:val="00D93967"/>
    <w:rsid w:val="00D93B9A"/>
    <w:rsid w:val="00D94C25"/>
    <w:rsid w:val="00D951B8"/>
    <w:rsid w:val="00D96FE2"/>
    <w:rsid w:val="00D97890"/>
    <w:rsid w:val="00D97C62"/>
    <w:rsid w:val="00D97DDA"/>
    <w:rsid w:val="00DA029B"/>
    <w:rsid w:val="00DA0382"/>
    <w:rsid w:val="00DA0561"/>
    <w:rsid w:val="00DA0B95"/>
    <w:rsid w:val="00DA0DFA"/>
    <w:rsid w:val="00DA1CB0"/>
    <w:rsid w:val="00DA1EC2"/>
    <w:rsid w:val="00DA347E"/>
    <w:rsid w:val="00DA3B51"/>
    <w:rsid w:val="00DA3FEF"/>
    <w:rsid w:val="00DA4283"/>
    <w:rsid w:val="00DA459E"/>
    <w:rsid w:val="00DA45D0"/>
    <w:rsid w:val="00DA522B"/>
    <w:rsid w:val="00DA534E"/>
    <w:rsid w:val="00DA555B"/>
    <w:rsid w:val="00DA5997"/>
    <w:rsid w:val="00DA67E9"/>
    <w:rsid w:val="00DA723E"/>
    <w:rsid w:val="00DA7B45"/>
    <w:rsid w:val="00DA7BC4"/>
    <w:rsid w:val="00DB1718"/>
    <w:rsid w:val="00DB429B"/>
    <w:rsid w:val="00DB4D46"/>
    <w:rsid w:val="00DB4EAF"/>
    <w:rsid w:val="00DB4FBF"/>
    <w:rsid w:val="00DB5D83"/>
    <w:rsid w:val="00DB65D9"/>
    <w:rsid w:val="00DB6853"/>
    <w:rsid w:val="00DB69C4"/>
    <w:rsid w:val="00DB6E06"/>
    <w:rsid w:val="00DB7699"/>
    <w:rsid w:val="00DB787E"/>
    <w:rsid w:val="00DC00A4"/>
    <w:rsid w:val="00DC0C6F"/>
    <w:rsid w:val="00DC181F"/>
    <w:rsid w:val="00DC18FD"/>
    <w:rsid w:val="00DC1B73"/>
    <w:rsid w:val="00DC2714"/>
    <w:rsid w:val="00DC28DC"/>
    <w:rsid w:val="00DC322C"/>
    <w:rsid w:val="00DC4674"/>
    <w:rsid w:val="00DC59CC"/>
    <w:rsid w:val="00DC5E15"/>
    <w:rsid w:val="00DC68D3"/>
    <w:rsid w:val="00DC7E87"/>
    <w:rsid w:val="00DD0D46"/>
    <w:rsid w:val="00DD13F4"/>
    <w:rsid w:val="00DD1CBB"/>
    <w:rsid w:val="00DD3EF8"/>
    <w:rsid w:val="00DD6DF5"/>
    <w:rsid w:val="00DD6F9F"/>
    <w:rsid w:val="00DD7121"/>
    <w:rsid w:val="00DD74F7"/>
    <w:rsid w:val="00DD77F2"/>
    <w:rsid w:val="00DD7D42"/>
    <w:rsid w:val="00DE0008"/>
    <w:rsid w:val="00DE0EA2"/>
    <w:rsid w:val="00DE0FDA"/>
    <w:rsid w:val="00DE3545"/>
    <w:rsid w:val="00DE37F7"/>
    <w:rsid w:val="00DE4AF6"/>
    <w:rsid w:val="00DE5256"/>
    <w:rsid w:val="00DE52CB"/>
    <w:rsid w:val="00DE699D"/>
    <w:rsid w:val="00DE72C7"/>
    <w:rsid w:val="00DF1A18"/>
    <w:rsid w:val="00DF1A83"/>
    <w:rsid w:val="00DF2AE2"/>
    <w:rsid w:val="00DF467C"/>
    <w:rsid w:val="00DF4DFB"/>
    <w:rsid w:val="00DF4E06"/>
    <w:rsid w:val="00DF5864"/>
    <w:rsid w:val="00DF5A76"/>
    <w:rsid w:val="00DF5D56"/>
    <w:rsid w:val="00DF63B4"/>
    <w:rsid w:val="00DF6805"/>
    <w:rsid w:val="00DF797D"/>
    <w:rsid w:val="00DF7B68"/>
    <w:rsid w:val="00DF7D37"/>
    <w:rsid w:val="00E000D2"/>
    <w:rsid w:val="00E01E8A"/>
    <w:rsid w:val="00E01F1D"/>
    <w:rsid w:val="00E02863"/>
    <w:rsid w:val="00E035FF"/>
    <w:rsid w:val="00E0385A"/>
    <w:rsid w:val="00E04640"/>
    <w:rsid w:val="00E04A21"/>
    <w:rsid w:val="00E059D2"/>
    <w:rsid w:val="00E10683"/>
    <w:rsid w:val="00E10684"/>
    <w:rsid w:val="00E10808"/>
    <w:rsid w:val="00E1233F"/>
    <w:rsid w:val="00E12AB7"/>
    <w:rsid w:val="00E132F6"/>
    <w:rsid w:val="00E13AF0"/>
    <w:rsid w:val="00E142DD"/>
    <w:rsid w:val="00E146C3"/>
    <w:rsid w:val="00E1553D"/>
    <w:rsid w:val="00E157AA"/>
    <w:rsid w:val="00E167EF"/>
    <w:rsid w:val="00E174D6"/>
    <w:rsid w:val="00E17C34"/>
    <w:rsid w:val="00E208B2"/>
    <w:rsid w:val="00E215E4"/>
    <w:rsid w:val="00E2196D"/>
    <w:rsid w:val="00E2205E"/>
    <w:rsid w:val="00E24FF3"/>
    <w:rsid w:val="00E26132"/>
    <w:rsid w:val="00E2636D"/>
    <w:rsid w:val="00E27369"/>
    <w:rsid w:val="00E30149"/>
    <w:rsid w:val="00E305D9"/>
    <w:rsid w:val="00E30647"/>
    <w:rsid w:val="00E31183"/>
    <w:rsid w:val="00E3143E"/>
    <w:rsid w:val="00E33996"/>
    <w:rsid w:val="00E3490E"/>
    <w:rsid w:val="00E34A3F"/>
    <w:rsid w:val="00E35A3D"/>
    <w:rsid w:val="00E35DD1"/>
    <w:rsid w:val="00E36D17"/>
    <w:rsid w:val="00E37F27"/>
    <w:rsid w:val="00E40517"/>
    <w:rsid w:val="00E40B22"/>
    <w:rsid w:val="00E41205"/>
    <w:rsid w:val="00E426FE"/>
    <w:rsid w:val="00E42F87"/>
    <w:rsid w:val="00E44650"/>
    <w:rsid w:val="00E448F1"/>
    <w:rsid w:val="00E45469"/>
    <w:rsid w:val="00E455B3"/>
    <w:rsid w:val="00E4584D"/>
    <w:rsid w:val="00E45EB0"/>
    <w:rsid w:val="00E46676"/>
    <w:rsid w:val="00E46882"/>
    <w:rsid w:val="00E46BB4"/>
    <w:rsid w:val="00E46E49"/>
    <w:rsid w:val="00E47A71"/>
    <w:rsid w:val="00E502DC"/>
    <w:rsid w:val="00E50894"/>
    <w:rsid w:val="00E50EBE"/>
    <w:rsid w:val="00E51A25"/>
    <w:rsid w:val="00E51DFB"/>
    <w:rsid w:val="00E52CA0"/>
    <w:rsid w:val="00E53FCD"/>
    <w:rsid w:val="00E5408D"/>
    <w:rsid w:val="00E54418"/>
    <w:rsid w:val="00E54628"/>
    <w:rsid w:val="00E5627E"/>
    <w:rsid w:val="00E56465"/>
    <w:rsid w:val="00E5646B"/>
    <w:rsid w:val="00E56A43"/>
    <w:rsid w:val="00E56ABE"/>
    <w:rsid w:val="00E57257"/>
    <w:rsid w:val="00E60089"/>
    <w:rsid w:val="00E619FD"/>
    <w:rsid w:val="00E62DD6"/>
    <w:rsid w:val="00E63C6A"/>
    <w:rsid w:val="00E6463B"/>
    <w:rsid w:val="00E653F4"/>
    <w:rsid w:val="00E65FA5"/>
    <w:rsid w:val="00E660A7"/>
    <w:rsid w:val="00E66260"/>
    <w:rsid w:val="00E6636D"/>
    <w:rsid w:val="00E7277B"/>
    <w:rsid w:val="00E729F8"/>
    <w:rsid w:val="00E72C60"/>
    <w:rsid w:val="00E72FC7"/>
    <w:rsid w:val="00E73B6C"/>
    <w:rsid w:val="00E73E94"/>
    <w:rsid w:val="00E74E62"/>
    <w:rsid w:val="00E74EE9"/>
    <w:rsid w:val="00E76CB1"/>
    <w:rsid w:val="00E76CD0"/>
    <w:rsid w:val="00E800A0"/>
    <w:rsid w:val="00E81878"/>
    <w:rsid w:val="00E82379"/>
    <w:rsid w:val="00E84828"/>
    <w:rsid w:val="00E84DC8"/>
    <w:rsid w:val="00E85247"/>
    <w:rsid w:val="00E852F3"/>
    <w:rsid w:val="00E87CD8"/>
    <w:rsid w:val="00E9044E"/>
    <w:rsid w:val="00E9089C"/>
    <w:rsid w:val="00E908C6"/>
    <w:rsid w:val="00E9198E"/>
    <w:rsid w:val="00E921EF"/>
    <w:rsid w:val="00E92584"/>
    <w:rsid w:val="00E9272C"/>
    <w:rsid w:val="00E93244"/>
    <w:rsid w:val="00E93743"/>
    <w:rsid w:val="00E945B8"/>
    <w:rsid w:val="00E94734"/>
    <w:rsid w:val="00E9589F"/>
    <w:rsid w:val="00E95947"/>
    <w:rsid w:val="00E961AB"/>
    <w:rsid w:val="00E96441"/>
    <w:rsid w:val="00E970E4"/>
    <w:rsid w:val="00E97256"/>
    <w:rsid w:val="00E97367"/>
    <w:rsid w:val="00EA036D"/>
    <w:rsid w:val="00EA0722"/>
    <w:rsid w:val="00EA0EC0"/>
    <w:rsid w:val="00EA1066"/>
    <w:rsid w:val="00EA16B6"/>
    <w:rsid w:val="00EA1B18"/>
    <w:rsid w:val="00EA1ED5"/>
    <w:rsid w:val="00EA25CC"/>
    <w:rsid w:val="00EA2930"/>
    <w:rsid w:val="00EA29ED"/>
    <w:rsid w:val="00EA2DED"/>
    <w:rsid w:val="00EA36DE"/>
    <w:rsid w:val="00EA3B74"/>
    <w:rsid w:val="00EA3DA3"/>
    <w:rsid w:val="00EA420B"/>
    <w:rsid w:val="00EA66D8"/>
    <w:rsid w:val="00EA72DB"/>
    <w:rsid w:val="00EA7790"/>
    <w:rsid w:val="00EA7961"/>
    <w:rsid w:val="00EB0462"/>
    <w:rsid w:val="00EB11E6"/>
    <w:rsid w:val="00EB1612"/>
    <w:rsid w:val="00EB220D"/>
    <w:rsid w:val="00EB28F3"/>
    <w:rsid w:val="00EB648A"/>
    <w:rsid w:val="00EB653A"/>
    <w:rsid w:val="00EB6B52"/>
    <w:rsid w:val="00EB7CA6"/>
    <w:rsid w:val="00EC015E"/>
    <w:rsid w:val="00EC172A"/>
    <w:rsid w:val="00EC186F"/>
    <w:rsid w:val="00EC2546"/>
    <w:rsid w:val="00EC27D0"/>
    <w:rsid w:val="00EC2A2C"/>
    <w:rsid w:val="00EC378C"/>
    <w:rsid w:val="00EC3D79"/>
    <w:rsid w:val="00EC48A6"/>
    <w:rsid w:val="00EC5084"/>
    <w:rsid w:val="00EC542E"/>
    <w:rsid w:val="00EC54FB"/>
    <w:rsid w:val="00ED019B"/>
    <w:rsid w:val="00ED03E1"/>
    <w:rsid w:val="00ED0FF7"/>
    <w:rsid w:val="00ED1759"/>
    <w:rsid w:val="00ED1E2A"/>
    <w:rsid w:val="00ED2385"/>
    <w:rsid w:val="00ED2AFD"/>
    <w:rsid w:val="00ED51CA"/>
    <w:rsid w:val="00ED5A72"/>
    <w:rsid w:val="00ED5C6A"/>
    <w:rsid w:val="00ED5F0C"/>
    <w:rsid w:val="00ED6818"/>
    <w:rsid w:val="00ED68E2"/>
    <w:rsid w:val="00ED6ED2"/>
    <w:rsid w:val="00ED70B4"/>
    <w:rsid w:val="00EE0CC2"/>
    <w:rsid w:val="00EE1A61"/>
    <w:rsid w:val="00EE283D"/>
    <w:rsid w:val="00EE2A05"/>
    <w:rsid w:val="00EE37C5"/>
    <w:rsid w:val="00EE38E0"/>
    <w:rsid w:val="00EE3ED4"/>
    <w:rsid w:val="00EE434D"/>
    <w:rsid w:val="00EE4621"/>
    <w:rsid w:val="00EE4652"/>
    <w:rsid w:val="00EE4D21"/>
    <w:rsid w:val="00EE5D49"/>
    <w:rsid w:val="00EE5DA1"/>
    <w:rsid w:val="00EE6066"/>
    <w:rsid w:val="00EE6DCD"/>
    <w:rsid w:val="00EF08EC"/>
    <w:rsid w:val="00EF0CF8"/>
    <w:rsid w:val="00EF2A4B"/>
    <w:rsid w:val="00EF2F0E"/>
    <w:rsid w:val="00EF2FBD"/>
    <w:rsid w:val="00EF3152"/>
    <w:rsid w:val="00EF3C75"/>
    <w:rsid w:val="00EF4470"/>
    <w:rsid w:val="00EF5E99"/>
    <w:rsid w:val="00EF692F"/>
    <w:rsid w:val="00EF7075"/>
    <w:rsid w:val="00EF7500"/>
    <w:rsid w:val="00F00E1A"/>
    <w:rsid w:val="00F016B0"/>
    <w:rsid w:val="00F01B5E"/>
    <w:rsid w:val="00F024DB"/>
    <w:rsid w:val="00F026DF"/>
    <w:rsid w:val="00F03571"/>
    <w:rsid w:val="00F03B27"/>
    <w:rsid w:val="00F03BBE"/>
    <w:rsid w:val="00F04474"/>
    <w:rsid w:val="00F045CD"/>
    <w:rsid w:val="00F04E8E"/>
    <w:rsid w:val="00F06BAE"/>
    <w:rsid w:val="00F06CB4"/>
    <w:rsid w:val="00F06F48"/>
    <w:rsid w:val="00F10AB2"/>
    <w:rsid w:val="00F11114"/>
    <w:rsid w:val="00F11373"/>
    <w:rsid w:val="00F11EA0"/>
    <w:rsid w:val="00F12A57"/>
    <w:rsid w:val="00F12F7E"/>
    <w:rsid w:val="00F134E3"/>
    <w:rsid w:val="00F134F0"/>
    <w:rsid w:val="00F146C4"/>
    <w:rsid w:val="00F15BB2"/>
    <w:rsid w:val="00F16127"/>
    <w:rsid w:val="00F17779"/>
    <w:rsid w:val="00F203FE"/>
    <w:rsid w:val="00F20C7C"/>
    <w:rsid w:val="00F2110E"/>
    <w:rsid w:val="00F21C3F"/>
    <w:rsid w:val="00F241D2"/>
    <w:rsid w:val="00F24EB2"/>
    <w:rsid w:val="00F25935"/>
    <w:rsid w:val="00F25D5B"/>
    <w:rsid w:val="00F26639"/>
    <w:rsid w:val="00F2715D"/>
    <w:rsid w:val="00F300FC"/>
    <w:rsid w:val="00F30C85"/>
    <w:rsid w:val="00F30F3B"/>
    <w:rsid w:val="00F31755"/>
    <w:rsid w:val="00F31DD2"/>
    <w:rsid w:val="00F33E3F"/>
    <w:rsid w:val="00F34AF5"/>
    <w:rsid w:val="00F35030"/>
    <w:rsid w:val="00F35190"/>
    <w:rsid w:val="00F35E2F"/>
    <w:rsid w:val="00F35F41"/>
    <w:rsid w:val="00F368E9"/>
    <w:rsid w:val="00F3752E"/>
    <w:rsid w:val="00F41744"/>
    <w:rsid w:val="00F418C8"/>
    <w:rsid w:val="00F41B2B"/>
    <w:rsid w:val="00F41CCB"/>
    <w:rsid w:val="00F42320"/>
    <w:rsid w:val="00F4243F"/>
    <w:rsid w:val="00F440F7"/>
    <w:rsid w:val="00F46224"/>
    <w:rsid w:val="00F467E4"/>
    <w:rsid w:val="00F46909"/>
    <w:rsid w:val="00F46E81"/>
    <w:rsid w:val="00F47425"/>
    <w:rsid w:val="00F47728"/>
    <w:rsid w:val="00F508FE"/>
    <w:rsid w:val="00F50DA4"/>
    <w:rsid w:val="00F51732"/>
    <w:rsid w:val="00F520B9"/>
    <w:rsid w:val="00F528A2"/>
    <w:rsid w:val="00F52A8B"/>
    <w:rsid w:val="00F52B08"/>
    <w:rsid w:val="00F52BF2"/>
    <w:rsid w:val="00F53982"/>
    <w:rsid w:val="00F53D37"/>
    <w:rsid w:val="00F54BAE"/>
    <w:rsid w:val="00F54E49"/>
    <w:rsid w:val="00F55E40"/>
    <w:rsid w:val="00F60893"/>
    <w:rsid w:val="00F60A51"/>
    <w:rsid w:val="00F61145"/>
    <w:rsid w:val="00F61C98"/>
    <w:rsid w:val="00F61EC8"/>
    <w:rsid w:val="00F62447"/>
    <w:rsid w:val="00F6289A"/>
    <w:rsid w:val="00F63C39"/>
    <w:rsid w:val="00F65853"/>
    <w:rsid w:val="00F66341"/>
    <w:rsid w:val="00F67A98"/>
    <w:rsid w:val="00F67CB9"/>
    <w:rsid w:val="00F67D9C"/>
    <w:rsid w:val="00F704A8"/>
    <w:rsid w:val="00F70614"/>
    <w:rsid w:val="00F70F15"/>
    <w:rsid w:val="00F71117"/>
    <w:rsid w:val="00F723E8"/>
    <w:rsid w:val="00F72B44"/>
    <w:rsid w:val="00F72D27"/>
    <w:rsid w:val="00F73D2D"/>
    <w:rsid w:val="00F74077"/>
    <w:rsid w:val="00F7444F"/>
    <w:rsid w:val="00F74A2E"/>
    <w:rsid w:val="00F75630"/>
    <w:rsid w:val="00F76318"/>
    <w:rsid w:val="00F77A79"/>
    <w:rsid w:val="00F77BC3"/>
    <w:rsid w:val="00F80102"/>
    <w:rsid w:val="00F80151"/>
    <w:rsid w:val="00F804B8"/>
    <w:rsid w:val="00F80D7E"/>
    <w:rsid w:val="00F81682"/>
    <w:rsid w:val="00F81DA1"/>
    <w:rsid w:val="00F826C2"/>
    <w:rsid w:val="00F827D5"/>
    <w:rsid w:val="00F82AFF"/>
    <w:rsid w:val="00F831BE"/>
    <w:rsid w:val="00F83BB3"/>
    <w:rsid w:val="00F83FB6"/>
    <w:rsid w:val="00F84809"/>
    <w:rsid w:val="00F85269"/>
    <w:rsid w:val="00F855C2"/>
    <w:rsid w:val="00F85AA5"/>
    <w:rsid w:val="00F86585"/>
    <w:rsid w:val="00F87247"/>
    <w:rsid w:val="00F87ADF"/>
    <w:rsid w:val="00F90145"/>
    <w:rsid w:val="00F90268"/>
    <w:rsid w:val="00F90DA1"/>
    <w:rsid w:val="00F91028"/>
    <w:rsid w:val="00F93584"/>
    <w:rsid w:val="00F938F5"/>
    <w:rsid w:val="00F93963"/>
    <w:rsid w:val="00F939CF"/>
    <w:rsid w:val="00F9443F"/>
    <w:rsid w:val="00F945DD"/>
    <w:rsid w:val="00F961B6"/>
    <w:rsid w:val="00F96965"/>
    <w:rsid w:val="00F96C41"/>
    <w:rsid w:val="00FA0058"/>
    <w:rsid w:val="00FA0A54"/>
    <w:rsid w:val="00FA20CC"/>
    <w:rsid w:val="00FA355C"/>
    <w:rsid w:val="00FA3A5B"/>
    <w:rsid w:val="00FA431C"/>
    <w:rsid w:val="00FA443C"/>
    <w:rsid w:val="00FA47AA"/>
    <w:rsid w:val="00FA5A70"/>
    <w:rsid w:val="00FA5F90"/>
    <w:rsid w:val="00FA612A"/>
    <w:rsid w:val="00FB056F"/>
    <w:rsid w:val="00FB0E8A"/>
    <w:rsid w:val="00FB20BA"/>
    <w:rsid w:val="00FB20E8"/>
    <w:rsid w:val="00FB23E3"/>
    <w:rsid w:val="00FB254B"/>
    <w:rsid w:val="00FB2F4D"/>
    <w:rsid w:val="00FB2F74"/>
    <w:rsid w:val="00FB341A"/>
    <w:rsid w:val="00FB381C"/>
    <w:rsid w:val="00FB51A9"/>
    <w:rsid w:val="00FB534D"/>
    <w:rsid w:val="00FB62F6"/>
    <w:rsid w:val="00FB732A"/>
    <w:rsid w:val="00FC1F56"/>
    <w:rsid w:val="00FC3380"/>
    <w:rsid w:val="00FC3AD5"/>
    <w:rsid w:val="00FC3BC6"/>
    <w:rsid w:val="00FC3D50"/>
    <w:rsid w:val="00FC4773"/>
    <w:rsid w:val="00FC4F17"/>
    <w:rsid w:val="00FC507B"/>
    <w:rsid w:val="00FC56B1"/>
    <w:rsid w:val="00FC5749"/>
    <w:rsid w:val="00FC5A4F"/>
    <w:rsid w:val="00FC5FE1"/>
    <w:rsid w:val="00FC7EB8"/>
    <w:rsid w:val="00FD13CC"/>
    <w:rsid w:val="00FD37F6"/>
    <w:rsid w:val="00FD3951"/>
    <w:rsid w:val="00FD3FEB"/>
    <w:rsid w:val="00FD4510"/>
    <w:rsid w:val="00FD5BCC"/>
    <w:rsid w:val="00FD6C7E"/>
    <w:rsid w:val="00FD7C6B"/>
    <w:rsid w:val="00FE0033"/>
    <w:rsid w:val="00FE0256"/>
    <w:rsid w:val="00FE05C6"/>
    <w:rsid w:val="00FE05EE"/>
    <w:rsid w:val="00FE0990"/>
    <w:rsid w:val="00FE2806"/>
    <w:rsid w:val="00FE28EE"/>
    <w:rsid w:val="00FE52D5"/>
    <w:rsid w:val="00FE5698"/>
    <w:rsid w:val="00FE5D27"/>
    <w:rsid w:val="00FE63B7"/>
    <w:rsid w:val="00FE66AC"/>
    <w:rsid w:val="00FF0903"/>
    <w:rsid w:val="00FF1473"/>
    <w:rsid w:val="00FF2F6E"/>
    <w:rsid w:val="00FF335D"/>
    <w:rsid w:val="00FF4301"/>
    <w:rsid w:val="00FF5643"/>
    <w:rsid w:val="00FF582A"/>
    <w:rsid w:val="00FF58A3"/>
    <w:rsid w:val="00FF5F1B"/>
    <w:rsid w:val="00FF6D98"/>
    <w:rsid w:val="00FF79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lsdException w:name="toc 2" w:uiPriority="39"/>
    <w:lsdException w:name="toc 3" w:uiPriority="39"/>
    <w:lsdException w:name="toc 4"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E1A61"/>
    <w:rPr>
      <w:rFonts w:ascii="Times New Roman" w:hAnsi="Times New Roman"/>
      <w:sz w:val="24"/>
      <w:szCs w:val="24"/>
    </w:rPr>
  </w:style>
  <w:style w:type="paragraph" w:styleId="1">
    <w:name w:val="heading 1"/>
    <w:basedOn w:val="10"/>
    <w:next w:val="a"/>
    <w:link w:val="11"/>
    <w:autoRedefine/>
    <w:qFormat/>
    <w:rsid w:val="00CF2321"/>
    <w:pPr>
      <w:keepNext/>
      <w:tabs>
        <w:tab w:val="left" w:pos="2340"/>
      </w:tabs>
      <w:spacing w:before="240" w:after="60"/>
      <w:ind w:hanging="360"/>
      <w:jc w:val="center"/>
      <w:outlineLvl w:val="0"/>
    </w:pPr>
    <w:rPr>
      <w:bCs w:val="0"/>
      <w:iCs/>
      <w:kern w:val="32"/>
      <w:sz w:val="28"/>
      <w:szCs w:val="28"/>
    </w:rPr>
  </w:style>
  <w:style w:type="paragraph" w:styleId="2">
    <w:name w:val="heading 2"/>
    <w:basedOn w:val="a"/>
    <w:next w:val="10"/>
    <w:link w:val="20"/>
    <w:autoRedefine/>
    <w:qFormat/>
    <w:rsid w:val="00212929"/>
    <w:pPr>
      <w:keepNext/>
      <w:spacing w:before="240" w:after="60"/>
      <w:ind w:firstLine="709"/>
      <w:jc w:val="both"/>
      <w:outlineLvl w:val="1"/>
    </w:pPr>
    <w:rPr>
      <w:b/>
      <w:bCs/>
      <w:iCs/>
      <w:noProof/>
      <w:sz w:val="32"/>
      <w:szCs w:val="32"/>
    </w:rPr>
  </w:style>
  <w:style w:type="paragraph" w:styleId="3">
    <w:name w:val="heading 3"/>
    <w:basedOn w:val="a"/>
    <w:next w:val="10"/>
    <w:link w:val="30"/>
    <w:qFormat/>
    <w:rsid w:val="00B569D3"/>
    <w:pPr>
      <w:keepNext/>
      <w:spacing w:before="240" w:after="60"/>
      <w:outlineLvl w:val="2"/>
    </w:pPr>
    <w:rPr>
      <w:rFonts w:cs="Arial"/>
      <w:b/>
      <w:bCs/>
      <w:sz w:val="30"/>
      <w:szCs w:val="26"/>
    </w:rPr>
  </w:style>
  <w:style w:type="paragraph" w:styleId="4">
    <w:name w:val="heading 4"/>
    <w:basedOn w:val="a"/>
    <w:next w:val="a"/>
    <w:link w:val="40"/>
    <w:qFormat/>
    <w:rsid w:val="00EE1A61"/>
    <w:pPr>
      <w:keepNext/>
      <w:spacing w:before="240" w:after="60"/>
      <w:outlineLvl w:val="3"/>
    </w:pPr>
    <w:rPr>
      <w:b/>
      <w:bCs/>
      <w:sz w:val="28"/>
      <w:szCs w:val="28"/>
    </w:rPr>
  </w:style>
  <w:style w:type="paragraph" w:styleId="5">
    <w:name w:val="heading 5"/>
    <w:basedOn w:val="a"/>
    <w:next w:val="a"/>
    <w:link w:val="50"/>
    <w:qFormat/>
    <w:rsid w:val="00EE1A61"/>
    <w:pPr>
      <w:spacing w:before="240" w:after="60"/>
      <w:outlineLvl w:val="4"/>
    </w:pPr>
    <w:rPr>
      <w:b/>
      <w:bCs/>
      <w:i/>
      <w:iCs/>
      <w:sz w:val="26"/>
      <w:szCs w:val="26"/>
    </w:rPr>
  </w:style>
  <w:style w:type="paragraph" w:styleId="6">
    <w:name w:val="heading 6"/>
    <w:basedOn w:val="a"/>
    <w:next w:val="a"/>
    <w:link w:val="60"/>
    <w:qFormat/>
    <w:rsid w:val="00EE1A61"/>
    <w:pPr>
      <w:spacing w:before="240" w:after="60"/>
      <w:outlineLvl w:val="5"/>
    </w:pPr>
    <w:rPr>
      <w:b/>
      <w:bCs/>
      <w:sz w:val="22"/>
      <w:szCs w:val="22"/>
    </w:rPr>
  </w:style>
  <w:style w:type="paragraph" w:styleId="7">
    <w:name w:val="heading 7"/>
    <w:basedOn w:val="a"/>
    <w:next w:val="a"/>
    <w:link w:val="70"/>
    <w:qFormat/>
    <w:rsid w:val="00EE1A61"/>
    <w:pPr>
      <w:spacing w:before="240" w:after="60"/>
      <w:outlineLvl w:val="6"/>
    </w:pPr>
  </w:style>
  <w:style w:type="paragraph" w:styleId="8">
    <w:name w:val="heading 8"/>
    <w:basedOn w:val="a"/>
    <w:next w:val="a"/>
    <w:link w:val="80"/>
    <w:qFormat/>
    <w:rsid w:val="00EE1A61"/>
    <w:pPr>
      <w:spacing w:before="240" w:after="60"/>
      <w:outlineLvl w:val="7"/>
    </w:pPr>
    <w:rPr>
      <w:i/>
      <w:iCs/>
    </w:rPr>
  </w:style>
  <w:style w:type="paragraph" w:styleId="9">
    <w:name w:val="heading 9"/>
    <w:basedOn w:val="a"/>
    <w:next w:val="a"/>
    <w:link w:val="90"/>
    <w:qFormat/>
    <w:rsid w:val="00EE1A61"/>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
    <w:locked/>
    <w:rsid w:val="00CF2321"/>
    <w:rPr>
      <w:rFonts w:ascii="Times New Roman" w:hAnsi="Times New Roman"/>
      <w:b/>
      <w:iCs/>
      <w:caps/>
      <w:kern w:val="32"/>
      <w:sz w:val="28"/>
      <w:szCs w:val="28"/>
    </w:rPr>
  </w:style>
  <w:style w:type="character" w:customStyle="1" w:styleId="20">
    <w:name w:val="Заголовок 2 Знак"/>
    <w:basedOn w:val="a0"/>
    <w:link w:val="2"/>
    <w:locked/>
    <w:rsid w:val="00212929"/>
    <w:rPr>
      <w:rFonts w:ascii="Times New Roman" w:hAnsi="Times New Roman"/>
      <w:b/>
      <w:bCs/>
      <w:iCs/>
      <w:noProof/>
      <w:sz w:val="32"/>
      <w:szCs w:val="32"/>
    </w:rPr>
  </w:style>
  <w:style w:type="character" w:customStyle="1" w:styleId="30">
    <w:name w:val="Заголовок 3 Знак"/>
    <w:basedOn w:val="a0"/>
    <w:link w:val="3"/>
    <w:locked/>
    <w:rsid w:val="00B569D3"/>
    <w:rPr>
      <w:rFonts w:eastAsia="Times New Roman" w:cs="Arial"/>
      <w:b/>
      <w:bCs/>
      <w:sz w:val="26"/>
      <w:szCs w:val="26"/>
      <w:lang w:val="ru-RU" w:eastAsia="ru-RU" w:bidi="ar-SA"/>
    </w:rPr>
  </w:style>
  <w:style w:type="character" w:customStyle="1" w:styleId="40">
    <w:name w:val="Заголовок 4 Знак"/>
    <w:basedOn w:val="a0"/>
    <w:link w:val="4"/>
    <w:locked/>
    <w:rsid w:val="00EE1A61"/>
    <w:rPr>
      <w:rFonts w:ascii="Times New Roman" w:hAnsi="Times New Roman" w:cs="Times New Roman"/>
      <w:b/>
      <w:bCs/>
      <w:sz w:val="28"/>
      <w:szCs w:val="28"/>
      <w:lang w:eastAsia="ru-RU"/>
    </w:rPr>
  </w:style>
  <w:style w:type="character" w:customStyle="1" w:styleId="50">
    <w:name w:val="Заголовок 5 Знак"/>
    <w:basedOn w:val="a0"/>
    <w:link w:val="5"/>
    <w:locked/>
    <w:rsid w:val="00EE1A61"/>
    <w:rPr>
      <w:rFonts w:ascii="Times New Roman" w:hAnsi="Times New Roman" w:cs="Times New Roman"/>
      <w:b/>
      <w:bCs/>
      <w:i/>
      <w:iCs/>
      <w:sz w:val="26"/>
      <w:szCs w:val="26"/>
      <w:lang w:eastAsia="ru-RU"/>
    </w:rPr>
  </w:style>
  <w:style w:type="character" w:customStyle="1" w:styleId="60">
    <w:name w:val="Заголовок 6 Знак"/>
    <w:basedOn w:val="a0"/>
    <w:link w:val="6"/>
    <w:locked/>
    <w:rsid w:val="00EE1A61"/>
    <w:rPr>
      <w:rFonts w:ascii="Times New Roman" w:hAnsi="Times New Roman" w:cs="Times New Roman"/>
      <w:b/>
      <w:bCs/>
      <w:lang w:eastAsia="ru-RU"/>
    </w:rPr>
  </w:style>
  <w:style w:type="character" w:customStyle="1" w:styleId="70">
    <w:name w:val="Заголовок 7 Знак"/>
    <w:basedOn w:val="a0"/>
    <w:link w:val="7"/>
    <w:locked/>
    <w:rsid w:val="00EE1A61"/>
    <w:rPr>
      <w:rFonts w:ascii="Times New Roman" w:hAnsi="Times New Roman" w:cs="Times New Roman"/>
      <w:sz w:val="24"/>
      <w:szCs w:val="24"/>
      <w:lang w:eastAsia="ru-RU"/>
    </w:rPr>
  </w:style>
  <w:style w:type="character" w:customStyle="1" w:styleId="80">
    <w:name w:val="Заголовок 8 Знак"/>
    <w:basedOn w:val="a0"/>
    <w:link w:val="8"/>
    <w:locked/>
    <w:rsid w:val="00EE1A61"/>
    <w:rPr>
      <w:rFonts w:ascii="Times New Roman" w:hAnsi="Times New Roman" w:cs="Times New Roman"/>
      <w:i/>
      <w:iCs/>
      <w:sz w:val="24"/>
      <w:szCs w:val="24"/>
      <w:lang w:eastAsia="ru-RU"/>
    </w:rPr>
  </w:style>
  <w:style w:type="character" w:customStyle="1" w:styleId="90">
    <w:name w:val="Заголовок 9 Знак"/>
    <w:basedOn w:val="a0"/>
    <w:link w:val="9"/>
    <w:locked/>
    <w:rsid w:val="00EE1A61"/>
    <w:rPr>
      <w:rFonts w:ascii="Arial" w:hAnsi="Arial" w:cs="Arial"/>
      <w:lang w:eastAsia="ru-RU"/>
    </w:rPr>
  </w:style>
  <w:style w:type="paragraph" w:customStyle="1" w:styleId="a3">
    <w:name w:val="Знак Знак Знак"/>
    <w:basedOn w:val="a"/>
    <w:rsid w:val="00EE1A61"/>
    <w:pPr>
      <w:widowControl w:val="0"/>
      <w:adjustRightInd w:val="0"/>
      <w:spacing w:after="160" w:line="240" w:lineRule="exact"/>
      <w:jc w:val="right"/>
    </w:pPr>
    <w:rPr>
      <w:sz w:val="20"/>
      <w:szCs w:val="20"/>
      <w:lang w:val="en-GB" w:eastAsia="en-US"/>
    </w:rPr>
  </w:style>
  <w:style w:type="paragraph" w:customStyle="1" w:styleId="BookTitle">
    <w:name w:val="Book_Title"/>
    <w:basedOn w:val="a"/>
    <w:rsid w:val="00EE1A61"/>
    <w:pPr>
      <w:pageBreakBefore/>
      <w:suppressAutoHyphens/>
      <w:spacing w:before="2000" w:line="480" w:lineRule="auto"/>
      <w:ind w:left="340" w:right="340"/>
      <w:jc w:val="center"/>
    </w:pPr>
    <w:rPr>
      <w:rFonts w:ascii="Arial" w:hAnsi="Arial"/>
      <w:b/>
      <w:color w:val="000000"/>
      <w:sz w:val="52"/>
      <w:szCs w:val="52"/>
    </w:rPr>
  </w:style>
  <w:style w:type="paragraph" w:customStyle="1" w:styleId="Chap-Name">
    <w:name w:val="Chap-Name"/>
    <w:basedOn w:val="a"/>
    <w:next w:val="5"/>
    <w:rsid w:val="00EE1A61"/>
    <w:pPr>
      <w:suppressAutoHyphens/>
      <w:spacing w:before="240" w:after="360" w:line="360" w:lineRule="auto"/>
      <w:ind w:left="737" w:right="113" w:hanging="170"/>
      <w:jc w:val="right"/>
    </w:pPr>
    <w:rPr>
      <w:rFonts w:ascii="Arial" w:hAnsi="Arial"/>
      <w:b/>
      <w:color w:val="800080"/>
      <w:sz w:val="36"/>
    </w:rPr>
  </w:style>
  <w:style w:type="paragraph" w:customStyle="1" w:styleId="Chap-Num">
    <w:name w:val="Chap-Num"/>
    <w:basedOn w:val="a"/>
    <w:rsid w:val="00EE1A61"/>
    <w:pPr>
      <w:pageBreakBefore/>
      <w:suppressAutoHyphens/>
      <w:spacing w:before="400" w:line="360" w:lineRule="auto"/>
      <w:ind w:left="113" w:right="113"/>
      <w:jc w:val="right"/>
    </w:pPr>
    <w:rPr>
      <w:rFonts w:ascii="Arial" w:hAnsi="Arial"/>
      <w:b/>
      <w:sz w:val="40"/>
    </w:rPr>
  </w:style>
  <w:style w:type="paragraph" w:customStyle="1" w:styleId="FigInsert">
    <w:name w:val="Fig_Insert"/>
    <w:basedOn w:val="a"/>
    <w:rsid w:val="00EE1A61"/>
    <w:pPr>
      <w:keepLines/>
      <w:widowControl w:val="0"/>
      <w:overflowPunct w:val="0"/>
      <w:autoSpaceDE w:val="0"/>
      <w:autoSpaceDN w:val="0"/>
      <w:adjustRightInd w:val="0"/>
      <w:spacing w:before="240" w:after="240" w:line="360" w:lineRule="auto"/>
      <w:jc w:val="center"/>
      <w:textAlignment w:val="baseline"/>
    </w:pPr>
    <w:rPr>
      <w:rFonts w:ascii="Arial" w:hAnsi="Arial"/>
      <w:b/>
      <w:color w:val="800080"/>
      <w:szCs w:val="16"/>
    </w:rPr>
  </w:style>
  <w:style w:type="paragraph" w:customStyle="1" w:styleId="Fig-Name">
    <w:name w:val="Fig-Name"/>
    <w:basedOn w:val="a"/>
    <w:rsid w:val="00EE1A61"/>
    <w:pPr>
      <w:keepLines/>
      <w:widowControl w:val="0"/>
      <w:overflowPunct w:val="0"/>
      <w:autoSpaceDE w:val="0"/>
      <w:autoSpaceDN w:val="0"/>
      <w:adjustRightInd w:val="0"/>
      <w:spacing w:before="120" w:after="120" w:line="220" w:lineRule="exact"/>
      <w:ind w:left="624" w:hanging="624"/>
      <w:jc w:val="both"/>
      <w:textAlignment w:val="baseline"/>
    </w:pPr>
    <w:rPr>
      <w:rFonts w:ascii="Arial" w:hAnsi="Arial"/>
      <w:b/>
      <w:color w:val="800080"/>
      <w:sz w:val="16"/>
      <w:szCs w:val="16"/>
    </w:rPr>
  </w:style>
  <w:style w:type="paragraph" w:customStyle="1" w:styleId="TablNote">
    <w:name w:val="Tabl_Note"/>
    <w:basedOn w:val="a"/>
    <w:rsid w:val="00EE1A61"/>
    <w:pPr>
      <w:widowControl w:val="0"/>
      <w:overflowPunct w:val="0"/>
      <w:autoSpaceDE w:val="0"/>
      <w:autoSpaceDN w:val="0"/>
      <w:adjustRightInd w:val="0"/>
      <w:spacing w:before="40" w:after="40" w:line="180" w:lineRule="exact"/>
      <w:ind w:left="340"/>
      <w:textAlignment w:val="baseline"/>
      <w:outlineLvl w:val="4"/>
    </w:pPr>
    <w:rPr>
      <w:color w:val="000000"/>
      <w:sz w:val="14"/>
      <w:szCs w:val="14"/>
    </w:rPr>
  </w:style>
  <w:style w:type="paragraph" w:customStyle="1" w:styleId="TableCenter">
    <w:name w:val="Table_Center"/>
    <w:basedOn w:val="a"/>
    <w:rsid w:val="00EE1A61"/>
    <w:pPr>
      <w:widowControl w:val="0"/>
      <w:overflowPunct w:val="0"/>
      <w:autoSpaceDE w:val="0"/>
      <w:autoSpaceDN w:val="0"/>
      <w:adjustRightInd w:val="0"/>
      <w:spacing w:line="200" w:lineRule="exact"/>
      <w:jc w:val="center"/>
      <w:textAlignment w:val="baseline"/>
    </w:pPr>
    <w:rPr>
      <w:color w:val="000000"/>
      <w:sz w:val="18"/>
      <w:szCs w:val="18"/>
    </w:rPr>
  </w:style>
  <w:style w:type="paragraph" w:customStyle="1" w:styleId="TableLeft">
    <w:name w:val="Table_Left"/>
    <w:basedOn w:val="TableCenter"/>
    <w:rsid w:val="00EE1A61"/>
    <w:pPr>
      <w:jc w:val="left"/>
    </w:pPr>
    <w:rPr>
      <w:color w:val="0000FF"/>
    </w:rPr>
  </w:style>
  <w:style w:type="paragraph" w:customStyle="1" w:styleId="TableName">
    <w:name w:val="Table_Name"/>
    <w:basedOn w:val="Fig-Name"/>
    <w:link w:val="TableName0"/>
    <w:rsid w:val="00EE1A61"/>
    <w:pPr>
      <w:spacing w:after="160"/>
      <w:ind w:left="1021" w:hanging="1021"/>
    </w:pPr>
    <w:rPr>
      <w:color w:val="000080"/>
      <w:szCs w:val="22"/>
    </w:rPr>
  </w:style>
  <w:style w:type="character" w:customStyle="1" w:styleId="TableName0">
    <w:name w:val="Table_Name Знак"/>
    <w:basedOn w:val="a0"/>
    <w:link w:val="TableName"/>
    <w:locked/>
    <w:rsid w:val="00EE1A61"/>
    <w:rPr>
      <w:rFonts w:ascii="Arial" w:hAnsi="Arial" w:cs="Times New Roman"/>
      <w:b/>
      <w:color w:val="000080"/>
      <w:sz w:val="16"/>
      <w:lang w:eastAsia="ru-RU"/>
    </w:rPr>
  </w:style>
  <w:style w:type="paragraph" w:customStyle="1" w:styleId="Text05">
    <w:name w:val="Text_05"/>
    <w:basedOn w:val="5"/>
    <w:rsid w:val="00EE1A61"/>
    <w:pPr>
      <w:widowControl w:val="0"/>
      <w:numPr>
        <w:ilvl w:val="12"/>
      </w:numPr>
      <w:overflowPunct w:val="0"/>
      <w:autoSpaceDE w:val="0"/>
      <w:autoSpaceDN w:val="0"/>
      <w:adjustRightInd w:val="0"/>
      <w:spacing w:before="80" w:after="40" w:line="240" w:lineRule="exact"/>
      <w:jc w:val="both"/>
      <w:textAlignment w:val="baseline"/>
    </w:pPr>
    <w:rPr>
      <w:b w:val="0"/>
      <w:bCs w:val="0"/>
      <w:i w:val="0"/>
      <w:iCs w:val="0"/>
      <w:color w:val="000000"/>
      <w:sz w:val="22"/>
      <w:szCs w:val="22"/>
    </w:rPr>
  </w:style>
  <w:style w:type="paragraph" w:customStyle="1" w:styleId="Text06">
    <w:name w:val="Text_06"/>
    <w:basedOn w:val="6"/>
    <w:rsid w:val="00EE1A61"/>
    <w:pPr>
      <w:widowControl w:val="0"/>
      <w:overflowPunct w:val="0"/>
      <w:autoSpaceDE w:val="0"/>
      <w:autoSpaceDN w:val="0"/>
      <w:adjustRightInd w:val="0"/>
      <w:spacing w:before="80" w:after="40" w:line="240" w:lineRule="exact"/>
      <w:ind w:left="170" w:hanging="170"/>
      <w:jc w:val="both"/>
      <w:textAlignment w:val="baseline"/>
    </w:pPr>
    <w:rPr>
      <w:b w:val="0"/>
      <w:bCs w:val="0"/>
      <w:color w:val="0000FF"/>
    </w:rPr>
  </w:style>
  <w:style w:type="paragraph" w:customStyle="1" w:styleId="Text07">
    <w:name w:val="Text_07"/>
    <w:basedOn w:val="7"/>
    <w:rsid w:val="00EE1A61"/>
    <w:pPr>
      <w:spacing w:before="60" w:after="40" w:line="240" w:lineRule="exact"/>
      <w:ind w:left="340" w:right="113" w:hanging="170"/>
      <w:contextualSpacing/>
      <w:jc w:val="both"/>
    </w:pPr>
    <w:rPr>
      <w:bCs/>
      <w:iCs/>
      <w:color w:val="000080"/>
      <w:sz w:val="22"/>
      <w:szCs w:val="22"/>
    </w:rPr>
  </w:style>
  <w:style w:type="paragraph" w:customStyle="1" w:styleId="Text08">
    <w:name w:val="Text_08"/>
    <w:basedOn w:val="8"/>
    <w:rsid w:val="00EE1A61"/>
    <w:pPr>
      <w:spacing w:before="60" w:after="40" w:line="240" w:lineRule="exact"/>
      <w:ind w:left="510" w:right="113" w:hanging="170"/>
      <w:contextualSpacing/>
      <w:jc w:val="both"/>
    </w:pPr>
    <w:rPr>
      <w:bCs/>
      <w:i w:val="0"/>
      <w:color w:val="008080"/>
      <w:sz w:val="22"/>
      <w:szCs w:val="22"/>
    </w:rPr>
  </w:style>
  <w:style w:type="paragraph" w:customStyle="1" w:styleId="Text09">
    <w:name w:val="Text_09"/>
    <w:basedOn w:val="9"/>
    <w:rsid w:val="00EE1A61"/>
    <w:pPr>
      <w:spacing w:before="40" w:after="40" w:line="240" w:lineRule="exact"/>
      <w:ind w:left="680" w:right="113" w:hanging="170"/>
      <w:jc w:val="both"/>
    </w:pPr>
    <w:rPr>
      <w:rFonts w:ascii="Times New Roman" w:hAnsi="Times New Roman" w:cs="Times New Roman"/>
      <w:bCs/>
      <w:iCs/>
      <w:color w:val="008000"/>
      <w:sz w:val="18"/>
      <w:szCs w:val="18"/>
    </w:rPr>
  </w:style>
  <w:style w:type="paragraph" w:customStyle="1" w:styleId="Text10">
    <w:name w:val="Text_10"/>
    <w:basedOn w:val="a"/>
    <w:rsid w:val="00EE1A61"/>
    <w:pPr>
      <w:overflowPunct w:val="0"/>
      <w:autoSpaceDE w:val="0"/>
      <w:autoSpaceDN w:val="0"/>
      <w:adjustRightInd w:val="0"/>
      <w:spacing w:before="40" w:after="40" w:line="220" w:lineRule="exact"/>
      <w:ind w:left="850" w:hanging="170"/>
      <w:jc w:val="both"/>
      <w:textAlignment w:val="baseline"/>
    </w:pPr>
    <w:rPr>
      <w:color w:val="808000"/>
      <w:sz w:val="18"/>
      <w:szCs w:val="20"/>
    </w:rPr>
  </w:style>
  <w:style w:type="paragraph" w:customStyle="1" w:styleId="TextDrugs">
    <w:name w:val="Text_Drugs"/>
    <w:basedOn w:val="a"/>
    <w:rsid w:val="00EE1A61"/>
    <w:pPr>
      <w:widowControl w:val="0"/>
      <w:overflowPunct w:val="0"/>
      <w:autoSpaceDE w:val="0"/>
      <w:autoSpaceDN w:val="0"/>
      <w:adjustRightInd w:val="0"/>
      <w:spacing w:before="40" w:after="40" w:line="220" w:lineRule="exact"/>
      <w:ind w:left="454" w:hanging="454"/>
      <w:textAlignment w:val="baseline"/>
    </w:pPr>
    <w:rPr>
      <w:color w:val="000000"/>
      <w:sz w:val="18"/>
      <w:szCs w:val="18"/>
    </w:rPr>
  </w:style>
  <w:style w:type="paragraph" w:customStyle="1" w:styleId="Title01">
    <w:name w:val="Title_01"/>
    <w:basedOn w:val="1"/>
    <w:rsid w:val="00EE1A61"/>
    <w:pPr>
      <w:keepNext w:val="0"/>
      <w:widowControl w:val="0"/>
      <w:overflowPunct w:val="0"/>
      <w:autoSpaceDE w:val="0"/>
      <w:autoSpaceDN w:val="0"/>
      <w:adjustRightInd w:val="0"/>
      <w:spacing w:before="720" w:after="80" w:line="360" w:lineRule="auto"/>
      <w:ind w:left="113" w:hanging="113"/>
      <w:textAlignment w:val="baseline"/>
    </w:pPr>
    <w:rPr>
      <w:bCs/>
      <w:caps w:val="0"/>
      <w:color w:val="800080"/>
      <w:kern w:val="0"/>
    </w:rPr>
  </w:style>
  <w:style w:type="paragraph" w:customStyle="1" w:styleId="Title02">
    <w:name w:val="Title_02"/>
    <w:basedOn w:val="2"/>
    <w:rsid w:val="00EE1A61"/>
    <w:pPr>
      <w:keepLines/>
      <w:widowControl w:val="0"/>
      <w:suppressLineNumbers/>
      <w:suppressAutoHyphens/>
      <w:overflowPunct w:val="0"/>
      <w:autoSpaceDE w:val="0"/>
      <w:autoSpaceDN w:val="0"/>
      <w:adjustRightInd w:val="0"/>
      <w:spacing w:before="360" w:after="80" w:line="360" w:lineRule="auto"/>
      <w:ind w:left="113" w:hanging="113"/>
      <w:jc w:val="center"/>
      <w:textAlignment w:val="baseline"/>
    </w:pPr>
    <w:rPr>
      <w:bCs w:val="0"/>
      <w:i/>
      <w:iCs w:val="0"/>
      <w:color w:val="FF00FF"/>
      <w:szCs w:val="20"/>
    </w:rPr>
  </w:style>
  <w:style w:type="paragraph" w:customStyle="1" w:styleId="Title03">
    <w:name w:val="Title_03"/>
    <w:basedOn w:val="3"/>
    <w:rsid w:val="00EE1A61"/>
    <w:pPr>
      <w:keepNext w:val="0"/>
      <w:widowControl w:val="0"/>
      <w:overflowPunct w:val="0"/>
      <w:autoSpaceDE w:val="0"/>
      <w:autoSpaceDN w:val="0"/>
      <w:adjustRightInd w:val="0"/>
      <w:spacing w:after="120" w:line="280" w:lineRule="exact"/>
      <w:textAlignment w:val="baseline"/>
    </w:pPr>
    <w:rPr>
      <w:rFonts w:cs="Times New Roman"/>
      <w:bCs w:val="0"/>
      <w:caps/>
      <w:color w:val="000080"/>
      <w:sz w:val="22"/>
      <w:szCs w:val="22"/>
    </w:rPr>
  </w:style>
  <w:style w:type="paragraph" w:customStyle="1" w:styleId="Title04">
    <w:name w:val="Title_04"/>
    <w:basedOn w:val="4"/>
    <w:rsid w:val="00EE1A61"/>
    <w:pPr>
      <w:keepNext w:val="0"/>
      <w:widowControl w:val="0"/>
      <w:overflowPunct w:val="0"/>
      <w:autoSpaceDE w:val="0"/>
      <w:autoSpaceDN w:val="0"/>
      <w:adjustRightInd w:val="0"/>
      <w:spacing w:before="120" w:after="40" w:line="240" w:lineRule="exact"/>
      <w:textAlignment w:val="baseline"/>
    </w:pPr>
    <w:rPr>
      <w:bCs w:val="0"/>
      <w:smallCaps/>
      <w:color w:val="800000"/>
      <w:sz w:val="24"/>
      <w:szCs w:val="20"/>
    </w:rPr>
  </w:style>
  <w:style w:type="character" w:styleId="a4">
    <w:name w:val="Hyperlink"/>
    <w:basedOn w:val="a0"/>
    <w:uiPriority w:val="99"/>
    <w:rsid w:val="00EE1A61"/>
    <w:rPr>
      <w:rFonts w:cs="Times New Roman"/>
      <w:color w:val="0000FF"/>
      <w:u w:val="single"/>
    </w:rPr>
  </w:style>
  <w:style w:type="paragraph" w:styleId="a5">
    <w:name w:val="Document Map"/>
    <w:basedOn w:val="a"/>
    <w:link w:val="a6"/>
    <w:semiHidden/>
    <w:rsid w:val="00EE1A61"/>
    <w:pPr>
      <w:shd w:val="clear" w:color="auto" w:fill="000080"/>
    </w:pPr>
    <w:rPr>
      <w:rFonts w:ascii="Tahoma" w:hAnsi="Tahoma" w:cs="Tahoma"/>
      <w:sz w:val="20"/>
      <w:szCs w:val="20"/>
    </w:rPr>
  </w:style>
  <w:style w:type="character" w:customStyle="1" w:styleId="a6">
    <w:name w:val="Схема документа Знак"/>
    <w:basedOn w:val="a0"/>
    <w:link w:val="a5"/>
    <w:semiHidden/>
    <w:locked/>
    <w:rsid w:val="00EE1A61"/>
    <w:rPr>
      <w:rFonts w:ascii="Tahoma" w:hAnsi="Tahoma" w:cs="Tahoma"/>
      <w:sz w:val="20"/>
      <w:szCs w:val="20"/>
      <w:shd w:val="clear" w:color="auto" w:fill="000080"/>
      <w:lang w:eastAsia="ru-RU"/>
    </w:rPr>
  </w:style>
  <w:style w:type="paragraph" w:styleId="a7">
    <w:name w:val="footer"/>
    <w:basedOn w:val="a"/>
    <w:link w:val="a8"/>
    <w:rsid w:val="00EE1A61"/>
    <w:pPr>
      <w:tabs>
        <w:tab w:val="center" w:pos="4677"/>
        <w:tab w:val="right" w:pos="9355"/>
      </w:tabs>
    </w:pPr>
  </w:style>
  <w:style w:type="character" w:customStyle="1" w:styleId="a8">
    <w:name w:val="Нижний колонтитул Знак"/>
    <w:basedOn w:val="a0"/>
    <w:link w:val="a7"/>
    <w:locked/>
    <w:rsid w:val="00EE1A61"/>
    <w:rPr>
      <w:rFonts w:ascii="Times New Roman" w:hAnsi="Times New Roman" w:cs="Times New Roman"/>
      <w:sz w:val="24"/>
      <w:szCs w:val="24"/>
      <w:lang w:eastAsia="ru-RU"/>
    </w:rPr>
  </w:style>
  <w:style w:type="character" w:styleId="a9">
    <w:name w:val="page number"/>
    <w:basedOn w:val="a0"/>
    <w:rsid w:val="00EE1A61"/>
    <w:rPr>
      <w:rFonts w:cs="Times New Roman"/>
    </w:rPr>
  </w:style>
  <w:style w:type="table" w:styleId="aa">
    <w:name w:val="Table Grid"/>
    <w:basedOn w:val="a1"/>
    <w:rsid w:val="00EE1A61"/>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basedOn w:val="a"/>
    <w:link w:val="ac"/>
    <w:semiHidden/>
    <w:rsid w:val="00EE1A61"/>
    <w:rPr>
      <w:sz w:val="20"/>
      <w:szCs w:val="20"/>
    </w:rPr>
  </w:style>
  <w:style w:type="character" w:customStyle="1" w:styleId="ac">
    <w:name w:val="Текст сноски Знак"/>
    <w:basedOn w:val="a0"/>
    <w:link w:val="ab"/>
    <w:semiHidden/>
    <w:locked/>
    <w:rsid w:val="00EE1A61"/>
    <w:rPr>
      <w:rFonts w:ascii="Times New Roman" w:hAnsi="Times New Roman" w:cs="Times New Roman"/>
      <w:sz w:val="20"/>
      <w:szCs w:val="20"/>
      <w:lang w:eastAsia="ru-RU"/>
    </w:rPr>
  </w:style>
  <w:style w:type="character" w:styleId="ad">
    <w:name w:val="footnote reference"/>
    <w:basedOn w:val="a0"/>
    <w:semiHidden/>
    <w:rsid w:val="00EE1A61"/>
    <w:rPr>
      <w:rFonts w:cs="Times New Roman"/>
      <w:vertAlign w:val="superscript"/>
    </w:rPr>
  </w:style>
  <w:style w:type="character" w:styleId="ae">
    <w:name w:val="endnote reference"/>
    <w:basedOn w:val="a0"/>
    <w:semiHidden/>
    <w:rsid w:val="00EE1A61"/>
    <w:rPr>
      <w:rFonts w:cs="Times New Roman"/>
      <w:vertAlign w:val="superscript"/>
    </w:rPr>
  </w:style>
  <w:style w:type="character" w:customStyle="1" w:styleId="apple-converted-space">
    <w:name w:val="apple-converted-space"/>
    <w:basedOn w:val="a0"/>
    <w:rsid w:val="00EE1A61"/>
    <w:rPr>
      <w:rFonts w:cs="Times New Roman"/>
    </w:rPr>
  </w:style>
  <w:style w:type="paragraph" w:customStyle="1" w:styleId="12">
    <w:name w:val="Заголовок1"/>
    <w:basedOn w:val="10"/>
    <w:rsid w:val="00EE1A61"/>
    <w:pPr>
      <w:jc w:val="center"/>
    </w:pPr>
    <w:rPr>
      <w:b w:val="0"/>
      <w:sz w:val="32"/>
      <w:szCs w:val="28"/>
    </w:rPr>
  </w:style>
  <w:style w:type="paragraph" w:customStyle="1" w:styleId="21">
    <w:name w:val="Заголовок2"/>
    <w:basedOn w:val="a"/>
    <w:rsid w:val="00EE1A61"/>
    <w:pPr>
      <w:jc w:val="center"/>
    </w:pPr>
    <w:rPr>
      <w:b/>
      <w:sz w:val="28"/>
      <w:szCs w:val="28"/>
    </w:rPr>
  </w:style>
  <w:style w:type="paragraph" w:customStyle="1" w:styleId="31">
    <w:name w:val="Заголовок3"/>
    <w:basedOn w:val="a"/>
    <w:rsid w:val="00EE1A61"/>
    <w:pPr>
      <w:jc w:val="center"/>
    </w:pPr>
    <w:rPr>
      <w:b/>
      <w:sz w:val="28"/>
      <w:szCs w:val="28"/>
    </w:rPr>
  </w:style>
  <w:style w:type="character" w:customStyle="1" w:styleId="13">
    <w:name w:val="Оглавление 1 Знак"/>
    <w:basedOn w:val="a0"/>
    <w:link w:val="10"/>
    <w:uiPriority w:val="39"/>
    <w:locked/>
    <w:rsid w:val="008B1D2F"/>
    <w:rPr>
      <w:rFonts w:ascii="Times New Roman" w:hAnsi="Times New Roman"/>
      <w:b/>
      <w:bCs/>
      <w:caps/>
      <w:sz w:val="24"/>
      <w:szCs w:val="24"/>
    </w:rPr>
  </w:style>
  <w:style w:type="paragraph" w:styleId="10">
    <w:name w:val="toc 1"/>
    <w:basedOn w:val="a"/>
    <w:next w:val="a"/>
    <w:link w:val="13"/>
    <w:autoRedefine/>
    <w:uiPriority w:val="39"/>
    <w:rsid w:val="008B1D2F"/>
    <w:pPr>
      <w:tabs>
        <w:tab w:val="right" w:leader="dot" w:pos="9605"/>
      </w:tabs>
      <w:spacing w:before="120" w:after="120"/>
      <w:ind w:firstLine="851"/>
      <w:jc w:val="both"/>
    </w:pPr>
    <w:rPr>
      <w:b/>
      <w:bCs/>
      <w:caps/>
    </w:rPr>
  </w:style>
  <w:style w:type="paragraph" w:styleId="14">
    <w:name w:val="index 1"/>
    <w:basedOn w:val="a"/>
    <w:next w:val="a"/>
    <w:autoRedefine/>
    <w:semiHidden/>
    <w:rsid w:val="00EE1A61"/>
    <w:pPr>
      <w:ind w:left="240" w:hanging="240"/>
    </w:pPr>
  </w:style>
  <w:style w:type="paragraph" w:styleId="af">
    <w:name w:val="header"/>
    <w:basedOn w:val="a"/>
    <w:link w:val="af0"/>
    <w:rsid w:val="00EE1A61"/>
    <w:pPr>
      <w:tabs>
        <w:tab w:val="center" w:pos="4677"/>
        <w:tab w:val="right" w:pos="9355"/>
      </w:tabs>
    </w:pPr>
  </w:style>
  <w:style w:type="character" w:customStyle="1" w:styleId="af0">
    <w:name w:val="Верхний колонтитул Знак"/>
    <w:basedOn w:val="a0"/>
    <w:link w:val="af"/>
    <w:locked/>
    <w:rsid w:val="00EE1A61"/>
    <w:rPr>
      <w:rFonts w:ascii="Times New Roman" w:hAnsi="Times New Roman" w:cs="Times New Roman"/>
      <w:sz w:val="24"/>
      <w:szCs w:val="24"/>
      <w:lang w:eastAsia="ru-RU"/>
    </w:rPr>
  </w:style>
  <w:style w:type="paragraph" w:styleId="af1">
    <w:name w:val="Normal (Web)"/>
    <w:basedOn w:val="a"/>
    <w:uiPriority w:val="99"/>
    <w:rsid w:val="00EE1A61"/>
    <w:pPr>
      <w:spacing w:before="100" w:beforeAutospacing="1" w:after="100" w:afterAutospacing="1"/>
    </w:pPr>
  </w:style>
  <w:style w:type="character" w:styleId="af2">
    <w:name w:val="Strong"/>
    <w:basedOn w:val="a0"/>
    <w:qFormat/>
    <w:rsid w:val="00EE1A61"/>
    <w:rPr>
      <w:rFonts w:cs="Times New Roman"/>
      <w:b/>
      <w:bCs/>
    </w:rPr>
  </w:style>
  <w:style w:type="paragraph" w:styleId="af3">
    <w:name w:val="Balloon Text"/>
    <w:basedOn w:val="a"/>
    <w:link w:val="af4"/>
    <w:semiHidden/>
    <w:rsid w:val="00EE1A61"/>
    <w:rPr>
      <w:rFonts w:ascii="Tahoma" w:hAnsi="Tahoma" w:cs="Tahoma"/>
      <w:sz w:val="16"/>
      <w:szCs w:val="16"/>
    </w:rPr>
  </w:style>
  <w:style w:type="character" w:customStyle="1" w:styleId="af4">
    <w:name w:val="Текст выноски Знак"/>
    <w:basedOn w:val="a0"/>
    <w:link w:val="af3"/>
    <w:semiHidden/>
    <w:locked/>
    <w:rsid w:val="00EE1A61"/>
    <w:rPr>
      <w:rFonts w:ascii="Tahoma" w:hAnsi="Tahoma" w:cs="Tahoma"/>
      <w:sz w:val="16"/>
      <w:szCs w:val="16"/>
      <w:lang w:eastAsia="ru-RU"/>
    </w:rPr>
  </w:style>
  <w:style w:type="paragraph" w:customStyle="1" w:styleId="15">
    <w:name w:val="Заголовок оглавления1"/>
    <w:basedOn w:val="1"/>
    <w:next w:val="a"/>
    <w:rsid w:val="00EE1A61"/>
    <w:pPr>
      <w:keepLines/>
      <w:spacing w:before="480" w:after="0" w:line="276" w:lineRule="auto"/>
      <w:jc w:val="left"/>
      <w:outlineLvl w:val="9"/>
    </w:pPr>
    <w:rPr>
      <w:rFonts w:ascii="Cambria" w:hAnsi="Cambria"/>
      <w:color w:val="365F91"/>
      <w:kern w:val="0"/>
      <w:lang w:eastAsia="en-US"/>
    </w:rPr>
  </w:style>
  <w:style w:type="paragraph" w:styleId="22">
    <w:name w:val="toc 2"/>
    <w:basedOn w:val="a"/>
    <w:next w:val="a"/>
    <w:autoRedefine/>
    <w:uiPriority w:val="39"/>
    <w:rsid w:val="00EE1A61"/>
    <w:pPr>
      <w:ind w:left="240"/>
    </w:pPr>
    <w:rPr>
      <w:rFonts w:ascii="Calibri" w:hAnsi="Calibri"/>
      <w:smallCaps/>
      <w:sz w:val="20"/>
      <w:szCs w:val="20"/>
    </w:rPr>
  </w:style>
  <w:style w:type="paragraph" w:styleId="32">
    <w:name w:val="toc 3"/>
    <w:basedOn w:val="a"/>
    <w:next w:val="a"/>
    <w:autoRedefine/>
    <w:uiPriority w:val="39"/>
    <w:rsid w:val="002B3C11"/>
    <w:pPr>
      <w:tabs>
        <w:tab w:val="right" w:leader="dot" w:pos="9605"/>
      </w:tabs>
      <w:ind w:firstLine="480"/>
      <w:jc w:val="both"/>
    </w:pPr>
    <w:rPr>
      <w:iCs/>
      <w:noProof/>
      <w:sz w:val="20"/>
      <w:szCs w:val="20"/>
    </w:rPr>
  </w:style>
  <w:style w:type="paragraph" w:styleId="41">
    <w:name w:val="toc 4"/>
    <w:basedOn w:val="a"/>
    <w:next w:val="a"/>
    <w:autoRedefine/>
    <w:uiPriority w:val="39"/>
    <w:rsid w:val="000D4B66"/>
    <w:pPr>
      <w:tabs>
        <w:tab w:val="right" w:leader="dot" w:pos="9605"/>
      </w:tabs>
      <w:ind w:left="720"/>
    </w:pPr>
    <w:rPr>
      <w:rFonts w:ascii="Calibri" w:hAnsi="Calibri"/>
      <w:noProof/>
      <w:sz w:val="18"/>
      <w:szCs w:val="18"/>
    </w:rPr>
  </w:style>
  <w:style w:type="paragraph" w:styleId="51">
    <w:name w:val="toc 5"/>
    <w:basedOn w:val="a"/>
    <w:next w:val="a"/>
    <w:autoRedefine/>
    <w:rsid w:val="00EE1A61"/>
    <w:pPr>
      <w:ind w:left="960"/>
    </w:pPr>
    <w:rPr>
      <w:rFonts w:ascii="Calibri" w:hAnsi="Calibri"/>
      <w:sz w:val="18"/>
      <w:szCs w:val="18"/>
    </w:rPr>
  </w:style>
  <w:style w:type="paragraph" w:styleId="61">
    <w:name w:val="toc 6"/>
    <w:basedOn w:val="a"/>
    <w:next w:val="a"/>
    <w:autoRedefine/>
    <w:rsid w:val="00EE1A61"/>
    <w:pPr>
      <w:ind w:left="1200"/>
    </w:pPr>
    <w:rPr>
      <w:rFonts w:ascii="Calibri" w:hAnsi="Calibri"/>
      <w:sz w:val="18"/>
      <w:szCs w:val="18"/>
    </w:rPr>
  </w:style>
  <w:style w:type="paragraph" w:styleId="71">
    <w:name w:val="toc 7"/>
    <w:basedOn w:val="a"/>
    <w:next w:val="a"/>
    <w:autoRedefine/>
    <w:rsid w:val="00EE1A61"/>
    <w:pPr>
      <w:ind w:left="1440"/>
    </w:pPr>
    <w:rPr>
      <w:rFonts w:ascii="Calibri" w:hAnsi="Calibri"/>
      <w:sz w:val="18"/>
      <w:szCs w:val="18"/>
    </w:rPr>
  </w:style>
  <w:style w:type="paragraph" w:styleId="81">
    <w:name w:val="toc 8"/>
    <w:basedOn w:val="a"/>
    <w:next w:val="a"/>
    <w:autoRedefine/>
    <w:rsid w:val="00EE1A61"/>
    <w:pPr>
      <w:ind w:left="1680"/>
    </w:pPr>
    <w:rPr>
      <w:rFonts w:ascii="Calibri" w:hAnsi="Calibri"/>
      <w:sz w:val="18"/>
      <w:szCs w:val="18"/>
    </w:rPr>
  </w:style>
  <w:style w:type="paragraph" w:styleId="91">
    <w:name w:val="toc 9"/>
    <w:basedOn w:val="a"/>
    <w:next w:val="a"/>
    <w:autoRedefine/>
    <w:rsid w:val="00EE1A61"/>
    <w:pPr>
      <w:ind w:left="1920"/>
    </w:pPr>
    <w:rPr>
      <w:rFonts w:ascii="Calibri" w:hAnsi="Calibri"/>
      <w:sz w:val="18"/>
      <w:szCs w:val="18"/>
    </w:rPr>
  </w:style>
  <w:style w:type="paragraph" w:customStyle="1" w:styleId="16">
    <w:name w:val="Стиль1"/>
    <w:basedOn w:val="a"/>
    <w:rsid w:val="00B569D3"/>
    <w:rPr>
      <w:b/>
    </w:rPr>
  </w:style>
  <w:style w:type="character" w:customStyle="1" w:styleId="af5">
    <w:name w:val="Стиль полужирный"/>
    <w:basedOn w:val="30"/>
    <w:rsid w:val="00B569D3"/>
  </w:style>
  <w:style w:type="paragraph" w:customStyle="1" w:styleId="42">
    <w:name w:val="Стиль Заголовок 4 + курсив"/>
    <w:basedOn w:val="3"/>
    <w:rsid w:val="00B569D3"/>
    <w:rPr>
      <w:i/>
      <w:iCs/>
    </w:rPr>
  </w:style>
  <w:style w:type="paragraph" w:styleId="af6">
    <w:name w:val="caption"/>
    <w:basedOn w:val="a"/>
    <w:next w:val="a"/>
    <w:unhideWhenUsed/>
    <w:qFormat/>
    <w:rsid w:val="00906F4E"/>
    <w:pPr>
      <w:spacing w:before="120" w:after="200"/>
      <w:ind w:firstLine="709"/>
      <w:jc w:val="both"/>
    </w:pPr>
    <w:rPr>
      <w:b/>
      <w:bCs/>
      <w:color w:val="4F81BD"/>
      <w:szCs w:val="18"/>
      <w:lang w:eastAsia="en-US"/>
    </w:rPr>
  </w:style>
  <w:style w:type="paragraph" w:styleId="af7">
    <w:name w:val="List Paragraph"/>
    <w:basedOn w:val="a"/>
    <w:uiPriority w:val="34"/>
    <w:qFormat/>
    <w:rsid w:val="001F02A9"/>
    <w:pPr>
      <w:spacing w:after="200" w:line="276" w:lineRule="auto"/>
      <w:ind w:left="720"/>
      <w:contextualSpacing/>
    </w:pPr>
    <w:rPr>
      <w:szCs w:val="22"/>
      <w:lang w:eastAsia="en-US"/>
    </w:rPr>
  </w:style>
  <w:style w:type="character" w:styleId="af8">
    <w:name w:val="annotation reference"/>
    <w:basedOn w:val="a0"/>
    <w:locked/>
    <w:rsid w:val="00F134F0"/>
    <w:rPr>
      <w:sz w:val="16"/>
      <w:szCs w:val="16"/>
    </w:rPr>
  </w:style>
  <w:style w:type="paragraph" w:styleId="af9">
    <w:name w:val="annotation text"/>
    <w:basedOn w:val="a"/>
    <w:link w:val="afa"/>
    <w:locked/>
    <w:rsid w:val="00F134F0"/>
    <w:rPr>
      <w:sz w:val="20"/>
      <w:szCs w:val="20"/>
    </w:rPr>
  </w:style>
  <w:style w:type="character" w:customStyle="1" w:styleId="afa">
    <w:name w:val="Текст примечания Знак"/>
    <w:basedOn w:val="a0"/>
    <w:link w:val="af9"/>
    <w:rsid w:val="00F134F0"/>
    <w:rPr>
      <w:rFonts w:ascii="Times New Roman" w:hAnsi="Times New Roman"/>
    </w:rPr>
  </w:style>
  <w:style w:type="paragraph" w:styleId="afb">
    <w:name w:val="annotation subject"/>
    <w:basedOn w:val="af9"/>
    <w:next w:val="af9"/>
    <w:link w:val="afc"/>
    <w:locked/>
    <w:rsid w:val="00F134F0"/>
    <w:rPr>
      <w:b/>
      <w:bCs/>
    </w:rPr>
  </w:style>
  <w:style w:type="character" w:customStyle="1" w:styleId="afc">
    <w:name w:val="Тема примечания Знак"/>
    <w:basedOn w:val="afa"/>
    <w:link w:val="afb"/>
    <w:rsid w:val="00F134F0"/>
    <w:rPr>
      <w:b/>
      <w:bCs/>
    </w:rPr>
  </w:style>
  <w:style w:type="character" w:customStyle="1" w:styleId="reference-text">
    <w:name w:val="reference-text"/>
    <w:basedOn w:val="a0"/>
    <w:rsid w:val="004D4AF5"/>
  </w:style>
  <w:style w:type="character" w:styleId="afd">
    <w:name w:val="Emphasis"/>
    <w:basedOn w:val="a0"/>
    <w:qFormat/>
    <w:rsid w:val="001B47F2"/>
    <w:rPr>
      <w:i/>
      <w:iCs/>
    </w:rPr>
  </w:style>
  <w:style w:type="character" w:styleId="afe">
    <w:name w:val="FollowedHyperlink"/>
    <w:basedOn w:val="a0"/>
    <w:locked/>
    <w:rsid w:val="00837BCA"/>
    <w:rPr>
      <w:color w:val="800080"/>
      <w:u w:val="single"/>
    </w:rPr>
  </w:style>
  <w:style w:type="character" w:customStyle="1" w:styleId="kn">
    <w:name w:val="kn"/>
    <w:basedOn w:val="a0"/>
    <w:rsid w:val="000A1160"/>
  </w:style>
  <w:style w:type="paragraph" w:styleId="aff">
    <w:name w:val="TOC Heading"/>
    <w:basedOn w:val="1"/>
    <w:next w:val="a"/>
    <w:uiPriority w:val="39"/>
    <w:unhideWhenUsed/>
    <w:qFormat/>
    <w:rsid w:val="00CB2171"/>
    <w:pPr>
      <w:keepLines/>
      <w:tabs>
        <w:tab w:val="clear" w:pos="2340"/>
        <w:tab w:val="clear" w:pos="9605"/>
      </w:tabs>
      <w:spacing w:before="480" w:after="0" w:line="276" w:lineRule="auto"/>
      <w:ind w:firstLine="0"/>
      <w:jc w:val="left"/>
      <w:outlineLvl w:val="9"/>
    </w:pPr>
    <w:rPr>
      <w:rFonts w:asciiTheme="majorHAnsi" w:eastAsiaTheme="majorEastAsia" w:hAnsiTheme="majorHAnsi" w:cstheme="majorBidi"/>
      <w:bCs/>
      <w:iCs w:val="0"/>
      <w:caps w:val="0"/>
      <w:color w:val="365F91" w:themeColor="accent1" w:themeShade="BF"/>
      <w:kern w:val="0"/>
      <w:lang w:eastAsia="en-US"/>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1804443">
      <w:bodyDiv w:val="1"/>
      <w:marLeft w:val="0"/>
      <w:marRight w:val="0"/>
      <w:marTop w:val="0"/>
      <w:marBottom w:val="0"/>
      <w:divBdr>
        <w:top w:val="none" w:sz="0" w:space="0" w:color="auto"/>
        <w:left w:val="none" w:sz="0" w:space="0" w:color="auto"/>
        <w:bottom w:val="none" w:sz="0" w:space="0" w:color="auto"/>
        <w:right w:val="none" w:sz="0" w:space="0" w:color="auto"/>
      </w:divBdr>
    </w:div>
    <w:div w:id="520095258">
      <w:bodyDiv w:val="1"/>
      <w:marLeft w:val="0"/>
      <w:marRight w:val="0"/>
      <w:marTop w:val="0"/>
      <w:marBottom w:val="0"/>
      <w:divBdr>
        <w:top w:val="none" w:sz="0" w:space="0" w:color="auto"/>
        <w:left w:val="none" w:sz="0" w:space="0" w:color="auto"/>
        <w:bottom w:val="none" w:sz="0" w:space="0" w:color="auto"/>
        <w:right w:val="none" w:sz="0" w:space="0" w:color="auto"/>
      </w:divBdr>
    </w:div>
    <w:div w:id="572934847">
      <w:bodyDiv w:val="1"/>
      <w:marLeft w:val="0"/>
      <w:marRight w:val="0"/>
      <w:marTop w:val="0"/>
      <w:marBottom w:val="0"/>
      <w:divBdr>
        <w:top w:val="none" w:sz="0" w:space="0" w:color="auto"/>
        <w:left w:val="none" w:sz="0" w:space="0" w:color="auto"/>
        <w:bottom w:val="none" w:sz="0" w:space="0" w:color="auto"/>
        <w:right w:val="none" w:sz="0" w:space="0" w:color="auto"/>
      </w:divBdr>
    </w:div>
    <w:div w:id="1192961048">
      <w:bodyDiv w:val="1"/>
      <w:marLeft w:val="0"/>
      <w:marRight w:val="0"/>
      <w:marTop w:val="0"/>
      <w:marBottom w:val="0"/>
      <w:divBdr>
        <w:top w:val="none" w:sz="0" w:space="0" w:color="auto"/>
        <w:left w:val="none" w:sz="0" w:space="0" w:color="auto"/>
        <w:bottom w:val="none" w:sz="0" w:space="0" w:color="auto"/>
        <w:right w:val="none" w:sz="0" w:space="0" w:color="auto"/>
      </w:divBdr>
    </w:div>
    <w:div w:id="1390759911">
      <w:bodyDiv w:val="1"/>
      <w:marLeft w:val="0"/>
      <w:marRight w:val="0"/>
      <w:marTop w:val="0"/>
      <w:marBottom w:val="0"/>
      <w:divBdr>
        <w:top w:val="none" w:sz="0" w:space="0" w:color="auto"/>
        <w:left w:val="none" w:sz="0" w:space="0" w:color="auto"/>
        <w:bottom w:val="none" w:sz="0" w:space="0" w:color="auto"/>
        <w:right w:val="none" w:sz="0" w:space="0" w:color="auto"/>
      </w:divBdr>
    </w:div>
    <w:div w:id="1610430998">
      <w:bodyDiv w:val="1"/>
      <w:marLeft w:val="0"/>
      <w:marRight w:val="0"/>
      <w:marTop w:val="0"/>
      <w:marBottom w:val="0"/>
      <w:divBdr>
        <w:top w:val="none" w:sz="0" w:space="0" w:color="auto"/>
        <w:left w:val="none" w:sz="0" w:space="0" w:color="auto"/>
        <w:bottom w:val="none" w:sz="0" w:space="0" w:color="auto"/>
        <w:right w:val="none" w:sz="0" w:space="0" w:color="auto"/>
      </w:divBdr>
    </w:div>
    <w:div w:id="2026125503">
      <w:bodyDiv w:val="1"/>
      <w:marLeft w:val="0"/>
      <w:marRight w:val="0"/>
      <w:marTop w:val="0"/>
      <w:marBottom w:val="0"/>
      <w:divBdr>
        <w:top w:val="none" w:sz="0" w:space="0" w:color="auto"/>
        <w:left w:val="none" w:sz="0" w:space="0" w:color="auto"/>
        <w:bottom w:val="none" w:sz="0" w:space="0" w:color="auto"/>
        <w:right w:val="none" w:sz="0" w:space="0" w:color="auto"/>
      </w:divBdr>
    </w:div>
    <w:div w:id="2116166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117" Type="http://schemas.openxmlformats.org/officeDocument/2006/relationships/chart" Target="charts/chart60.xml"/><Relationship Id="rId21" Type="http://schemas.openxmlformats.org/officeDocument/2006/relationships/hyperlink" Target="http://www.rg.ru/2009/11/27/energo-dok.html" TargetMode="External"/><Relationship Id="rId42" Type="http://schemas.openxmlformats.org/officeDocument/2006/relationships/image" Target="media/image20.jpeg"/><Relationship Id="rId47" Type="http://schemas.openxmlformats.org/officeDocument/2006/relationships/image" Target="media/image21.png"/><Relationship Id="rId63" Type="http://schemas.openxmlformats.org/officeDocument/2006/relationships/chart" Target="charts/chart20.xml"/><Relationship Id="rId68" Type="http://schemas.openxmlformats.org/officeDocument/2006/relationships/chart" Target="charts/chart23.xml"/><Relationship Id="rId84" Type="http://schemas.openxmlformats.org/officeDocument/2006/relationships/chart" Target="charts/chart39.xml"/><Relationship Id="rId89" Type="http://schemas.openxmlformats.org/officeDocument/2006/relationships/chart" Target="charts/chart44.xml"/><Relationship Id="rId112" Type="http://schemas.openxmlformats.org/officeDocument/2006/relationships/chart" Target="charts/chart57.xml"/><Relationship Id="rId133" Type="http://schemas.openxmlformats.org/officeDocument/2006/relationships/hyperlink" Target="http://www.newsbg.ru/ekonomika/100-ekonomika/5241-k-kontsu-2012-goda-rost-dohodov-bolgarskih-semej-obognal-rost-rashodov.html" TargetMode="External"/><Relationship Id="rId16" Type="http://schemas.openxmlformats.org/officeDocument/2006/relationships/hyperlink" Target="http://theeconomiccollapseblog.com/wp-content/uploads/2010/12/Price-Of-Oil.png" TargetMode="External"/><Relationship Id="rId107" Type="http://schemas.openxmlformats.org/officeDocument/2006/relationships/hyperlink" Target="http://realty.lenta.ru/news/2012/09/04/sdelki/" TargetMode="External"/><Relationship Id="rId11" Type="http://schemas.openxmlformats.org/officeDocument/2006/relationships/image" Target="media/image3.png"/><Relationship Id="rId32" Type="http://schemas.openxmlformats.org/officeDocument/2006/relationships/chart" Target="charts/chart5.xml"/><Relationship Id="rId37" Type="http://schemas.openxmlformats.org/officeDocument/2006/relationships/chart" Target="charts/chart7.xml"/><Relationship Id="rId53" Type="http://schemas.openxmlformats.org/officeDocument/2006/relationships/chart" Target="charts/chart14.xml"/><Relationship Id="rId58" Type="http://schemas.openxmlformats.org/officeDocument/2006/relationships/chart" Target="charts/chart18.xml"/><Relationship Id="rId74" Type="http://schemas.openxmlformats.org/officeDocument/2006/relationships/chart" Target="charts/chart29.xml"/><Relationship Id="rId79" Type="http://schemas.openxmlformats.org/officeDocument/2006/relationships/chart" Target="charts/chart34.xml"/><Relationship Id="rId102" Type="http://schemas.openxmlformats.org/officeDocument/2006/relationships/chart" Target="charts/chart55.xml"/><Relationship Id="rId123" Type="http://schemas.openxmlformats.org/officeDocument/2006/relationships/chart" Target="charts/chart66.xml"/><Relationship Id="rId128" Type="http://schemas.openxmlformats.org/officeDocument/2006/relationships/chart" Target="charts/chart70.xml"/><Relationship Id="rId5" Type="http://schemas.openxmlformats.org/officeDocument/2006/relationships/webSettings" Target="webSettings.xml"/><Relationship Id="rId90" Type="http://schemas.openxmlformats.org/officeDocument/2006/relationships/chart" Target="charts/chart45.xml"/><Relationship Id="rId95" Type="http://schemas.openxmlformats.org/officeDocument/2006/relationships/hyperlink" Target="http://www.depir.ru/content/c384-page1.html" TargetMode="External"/><Relationship Id="rId14" Type="http://schemas.openxmlformats.org/officeDocument/2006/relationships/chart" Target="charts/chart1.xml"/><Relationship Id="rId22" Type="http://schemas.openxmlformats.org/officeDocument/2006/relationships/hyperlink" Target="http://base.garant.ru/12172853/" TargetMode="External"/><Relationship Id="rId27" Type="http://schemas.openxmlformats.org/officeDocument/2006/relationships/image" Target="media/image13.jpeg"/><Relationship Id="rId30" Type="http://schemas.openxmlformats.org/officeDocument/2006/relationships/image" Target="media/image15.png"/><Relationship Id="rId35" Type="http://schemas.openxmlformats.org/officeDocument/2006/relationships/hyperlink" Target="http://ru.wikipedia.org/wiki/%C1%E5%E3%F1%F2%E2%EE_%EA%E0%EF%E8%F2%E0%EB%E0" TargetMode="External"/><Relationship Id="rId43" Type="http://schemas.openxmlformats.org/officeDocument/2006/relationships/chart" Target="charts/chart9.xml"/><Relationship Id="rId48" Type="http://schemas.openxmlformats.org/officeDocument/2006/relationships/image" Target="media/image22.png"/><Relationship Id="rId56" Type="http://schemas.openxmlformats.org/officeDocument/2006/relationships/chart" Target="charts/chart16.xml"/><Relationship Id="rId64" Type="http://schemas.openxmlformats.org/officeDocument/2006/relationships/hyperlink" Target="http://www.ruscable.ru/article/eepr/" TargetMode="External"/><Relationship Id="rId69" Type="http://schemas.openxmlformats.org/officeDocument/2006/relationships/chart" Target="charts/chart24.xml"/><Relationship Id="rId77" Type="http://schemas.openxmlformats.org/officeDocument/2006/relationships/chart" Target="charts/chart32.xml"/><Relationship Id="rId100" Type="http://schemas.openxmlformats.org/officeDocument/2006/relationships/chart" Target="charts/chart53.xml"/><Relationship Id="rId105" Type="http://schemas.openxmlformats.org/officeDocument/2006/relationships/image" Target="media/image30.png"/><Relationship Id="rId113" Type="http://schemas.openxmlformats.org/officeDocument/2006/relationships/chart" Target="charts/chart58.xml"/><Relationship Id="rId118" Type="http://schemas.openxmlformats.org/officeDocument/2006/relationships/chart" Target="charts/chart61.xml"/><Relationship Id="rId126" Type="http://schemas.openxmlformats.org/officeDocument/2006/relationships/chart" Target="charts/chart68.xml"/><Relationship Id="rId134" Type="http://schemas.openxmlformats.org/officeDocument/2006/relationships/chart" Target="charts/chart74.xml"/><Relationship Id="rId8" Type="http://schemas.openxmlformats.org/officeDocument/2006/relationships/image" Target="media/image1.jpeg"/><Relationship Id="rId51" Type="http://schemas.openxmlformats.org/officeDocument/2006/relationships/chart" Target="charts/chart13.xml"/><Relationship Id="rId72" Type="http://schemas.openxmlformats.org/officeDocument/2006/relationships/chart" Target="charts/chart27.xml"/><Relationship Id="rId80" Type="http://schemas.openxmlformats.org/officeDocument/2006/relationships/chart" Target="charts/chart35.xml"/><Relationship Id="rId85" Type="http://schemas.openxmlformats.org/officeDocument/2006/relationships/chart" Target="charts/chart40.xml"/><Relationship Id="rId93" Type="http://schemas.openxmlformats.org/officeDocument/2006/relationships/chart" Target="charts/chart48.xml"/><Relationship Id="rId98" Type="http://schemas.openxmlformats.org/officeDocument/2006/relationships/chart" Target="charts/chart51.xml"/><Relationship Id="rId121" Type="http://schemas.openxmlformats.org/officeDocument/2006/relationships/chart" Target="charts/chart6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jpeg"/><Relationship Id="rId38" Type="http://schemas.openxmlformats.org/officeDocument/2006/relationships/image" Target="media/image17.png"/><Relationship Id="rId46" Type="http://schemas.openxmlformats.org/officeDocument/2006/relationships/chart" Target="charts/chart12.xml"/><Relationship Id="rId59" Type="http://schemas.openxmlformats.org/officeDocument/2006/relationships/chart" Target="charts/chart19.xml"/><Relationship Id="rId67" Type="http://schemas.openxmlformats.org/officeDocument/2006/relationships/chart" Target="charts/chart22.xml"/><Relationship Id="rId103" Type="http://schemas.openxmlformats.org/officeDocument/2006/relationships/hyperlink" Target="http://ru.wikipedia.org/wiki/%D0%9F%D0%BB%D0%BE%D1%82%D0%BD%D0%BE%D1%81%D1%82%D1%8C_%D0%BD%D0%B0%D1%81%D0%B5%D0%BB%D0%B5%D0%BD%D0%B8%D1%8F" TargetMode="External"/><Relationship Id="rId108" Type="http://schemas.openxmlformats.org/officeDocument/2006/relationships/hyperlink" Target="http://www.gdeetotdom.ru/living/articles/1854415/" TargetMode="External"/><Relationship Id="rId116" Type="http://schemas.openxmlformats.org/officeDocument/2006/relationships/chart" Target="charts/chart59.xml"/><Relationship Id="rId124" Type="http://schemas.openxmlformats.org/officeDocument/2006/relationships/chart" Target="charts/chart67.xml"/><Relationship Id="rId129" Type="http://schemas.openxmlformats.org/officeDocument/2006/relationships/image" Target="media/image33.png"/><Relationship Id="rId137"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chart" Target="charts/chart8.xml"/><Relationship Id="rId54" Type="http://schemas.openxmlformats.org/officeDocument/2006/relationships/image" Target="media/image25.png"/><Relationship Id="rId62" Type="http://schemas.openxmlformats.org/officeDocument/2006/relationships/image" Target="media/image28.png"/><Relationship Id="rId70" Type="http://schemas.openxmlformats.org/officeDocument/2006/relationships/chart" Target="charts/chart25.xml"/><Relationship Id="rId75" Type="http://schemas.openxmlformats.org/officeDocument/2006/relationships/chart" Target="charts/chart30.xml"/><Relationship Id="rId83" Type="http://schemas.openxmlformats.org/officeDocument/2006/relationships/chart" Target="charts/chart38.xml"/><Relationship Id="rId88" Type="http://schemas.openxmlformats.org/officeDocument/2006/relationships/chart" Target="charts/chart43.xml"/><Relationship Id="rId91" Type="http://schemas.openxmlformats.org/officeDocument/2006/relationships/chart" Target="charts/chart46.xml"/><Relationship Id="rId96" Type="http://schemas.openxmlformats.org/officeDocument/2006/relationships/hyperlink" Target="http://www.mos.ru/press-center/transcripts/index.php?id_4=22995" TargetMode="External"/><Relationship Id="rId111" Type="http://schemas.openxmlformats.org/officeDocument/2006/relationships/chart" Target="charts/chart56.xml"/><Relationship Id="rId132" Type="http://schemas.openxmlformats.org/officeDocument/2006/relationships/chart" Target="charts/chart7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hyperlink" Target="http://www.garant.ru/products/ipo/prime/doc/98256/" TargetMode="External"/><Relationship Id="rId28" Type="http://schemas.openxmlformats.org/officeDocument/2006/relationships/chart" Target="charts/chart3.xml"/><Relationship Id="rId36" Type="http://schemas.openxmlformats.org/officeDocument/2006/relationships/hyperlink" Target="http://www.cbr.ru/statistics/credit_statistics/print.asp?file=capital.htm" TargetMode="External"/><Relationship Id="rId49" Type="http://schemas.openxmlformats.org/officeDocument/2006/relationships/image" Target="media/image23.png"/><Relationship Id="rId57" Type="http://schemas.openxmlformats.org/officeDocument/2006/relationships/chart" Target="charts/chart17.xml"/><Relationship Id="rId106" Type="http://schemas.openxmlformats.org/officeDocument/2006/relationships/image" Target="media/image31.emf"/><Relationship Id="rId114" Type="http://schemas.openxmlformats.org/officeDocument/2006/relationships/footer" Target="footer1.xml"/><Relationship Id="rId119" Type="http://schemas.openxmlformats.org/officeDocument/2006/relationships/chart" Target="charts/chart62.xml"/><Relationship Id="rId127" Type="http://schemas.openxmlformats.org/officeDocument/2006/relationships/chart" Target="charts/chart69.xml"/><Relationship Id="rId10" Type="http://schemas.openxmlformats.org/officeDocument/2006/relationships/hyperlink" Target="http://www.economy.gov.ru/minec/activity/sections/macro/prognoz/doc20120428_0010" TargetMode="External"/><Relationship Id="rId31" Type="http://schemas.openxmlformats.org/officeDocument/2006/relationships/chart" Target="charts/chart4.xml"/><Relationship Id="rId44" Type="http://schemas.openxmlformats.org/officeDocument/2006/relationships/chart" Target="charts/chart10.xml"/><Relationship Id="rId52" Type="http://schemas.openxmlformats.org/officeDocument/2006/relationships/hyperlink" Target="http://www.proatom.ru" TargetMode="External"/><Relationship Id="rId60" Type="http://schemas.openxmlformats.org/officeDocument/2006/relationships/image" Target="media/image26.jpeg"/><Relationship Id="rId65" Type="http://schemas.openxmlformats.org/officeDocument/2006/relationships/hyperlink" Target="http://www.ruscable.ru/article/eepr/tag/%D0%AD%D0%AD%D0%9F%D0%A0%20%E2%84%966,%202011/" TargetMode="External"/><Relationship Id="rId73" Type="http://schemas.openxmlformats.org/officeDocument/2006/relationships/chart" Target="charts/chart28.xml"/><Relationship Id="rId78" Type="http://schemas.openxmlformats.org/officeDocument/2006/relationships/chart" Target="charts/chart33.xml"/><Relationship Id="rId81" Type="http://schemas.openxmlformats.org/officeDocument/2006/relationships/chart" Target="charts/chart36.xml"/><Relationship Id="rId86" Type="http://schemas.openxmlformats.org/officeDocument/2006/relationships/chart" Target="charts/chart41.xml"/><Relationship Id="rId94" Type="http://schemas.openxmlformats.org/officeDocument/2006/relationships/chart" Target="charts/chart49.xml"/><Relationship Id="rId99" Type="http://schemas.openxmlformats.org/officeDocument/2006/relationships/chart" Target="charts/chart52.xml"/><Relationship Id="rId101" Type="http://schemas.openxmlformats.org/officeDocument/2006/relationships/chart" Target="charts/chart54.xml"/><Relationship Id="rId122" Type="http://schemas.openxmlformats.org/officeDocument/2006/relationships/chart" Target="charts/chart65.xml"/><Relationship Id="rId130" Type="http://schemas.openxmlformats.org/officeDocument/2006/relationships/chart" Target="charts/chart71.xml"/><Relationship Id="rId135" Type="http://schemas.openxmlformats.org/officeDocument/2006/relationships/hyperlink" Target="http://www.gks.ru/bgd/regl/b12_01/IssWWW.exe/Stg/d03/3-1-2.htm"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18.png"/><Relationship Id="rId109" Type="http://schemas.openxmlformats.org/officeDocument/2006/relationships/hyperlink" Target="http://realty.newsru.ru/article/08feb2012/vvod_zhilya" TargetMode="External"/><Relationship Id="rId34" Type="http://schemas.openxmlformats.org/officeDocument/2006/relationships/chart" Target="charts/chart6.xml"/><Relationship Id="rId50" Type="http://schemas.openxmlformats.org/officeDocument/2006/relationships/image" Target="media/image24.png"/><Relationship Id="rId55" Type="http://schemas.openxmlformats.org/officeDocument/2006/relationships/chart" Target="charts/chart15.xml"/><Relationship Id="rId76" Type="http://schemas.openxmlformats.org/officeDocument/2006/relationships/chart" Target="charts/chart31.xml"/><Relationship Id="rId97" Type="http://schemas.openxmlformats.org/officeDocument/2006/relationships/chart" Target="charts/chart50.xml"/><Relationship Id="rId104" Type="http://schemas.openxmlformats.org/officeDocument/2006/relationships/hyperlink" Target="http://ru.wikipedia.org/wiki/%D0%A1%D0%B0%D0%BD%D0%BA%D1%82-%D0%9F%D0%B5%D1%82%D0%B5%D1%80%D0%B1%D1%83%D1%80%D0%B3" TargetMode="External"/><Relationship Id="rId120" Type="http://schemas.openxmlformats.org/officeDocument/2006/relationships/chart" Target="charts/chart63.xml"/><Relationship Id="rId125" Type="http://schemas.openxmlformats.org/officeDocument/2006/relationships/hyperlink" Target="http://www.gks.ru/wps/wcm/connect/rosstat_main/rosstat/ru/statistics/tariffs/" TargetMode="External"/><Relationship Id="rId7" Type="http://schemas.openxmlformats.org/officeDocument/2006/relationships/endnotes" Target="endnotes.xml"/><Relationship Id="rId71" Type="http://schemas.openxmlformats.org/officeDocument/2006/relationships/chart" Target="charts/chart26.xml"/><Relationship Id="rId92" Type="http://schemas.openxmlformats.org/officeDocument/2006/relationships/chart" Target="charts/chart47.xml"/><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19.jpeg"/><Relationship Id="rId45" Type="http://schemas.openxmlformats.org/officeDocument/2006/relationships/chart" Target="charts/chart11.xml"/><Relationship Id="rId66" Type="http://schemas.openxmlformats.org/officeDocument/2006/relationships/chart" Target="charts/chart21.xml"/><Relationship Id="rId87" Type="http://schemas.openxmlformats.org/officeDocument/2006/relationships/chart" Target="charts/chart42.xml"/><Relationship Id="rId110" Type="http://schemas.openxmlformats.org/officeDocument/2006/relationships/image" Target="media/image32.emf"/><Relationship Id="rId115" Type="http://schemas.openxmlformats.org/officeDocument/2006/relationships/footer" Target="footer2.xml"/><Relationship Id="rId131" Type="http://schemas.openxmlformats.org/officeDocument/2006/relationships/chart" Target="charts/chart72.xml"/><Relationship Id="rId136" Type="http://schemas.openxmlformats.org/officeDocument/2006/relationships/fontTable" Target="fontTable.xml"/><Relationship Id="rId61" Type="http://schemas.openxmlformats.org/officeDocument/2006/relationships/image" Target="media/image27.jpeg"/><Relationship Id="rId82" Type="http://schemas.openxmlformats.org/officeDocument/2006/relationships/chart" Target="charts/chart37.xml"/><Relationship Id="rId19" Type="http://schemas.openxmlformats.org/officeDocument/2006/relationships/image" Target="media/image9.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43;&#1088;&#1072;&#1092;&#1080;&#1082;&#1080;%20&#1085;&#1086;&#1074;&#1099;&#1077;_&#1095;&#1072;&#1089;&#1090;&#1100;%20&#1075;&#1088;&#1072;&#1092;&#1080;&#1082;&#1086;&#1074;%20&#1082;&#1086;&#1088;&#1088;&#1077;&#1082;&#1090;&#1080;&#1088;&#1086;&#1074;&#1082;&#1072;.xls" TargetMode="External"/></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0;&#1086;&#1087;&#1080;&#1103;%20&#1069;&#1083;&#1077;&#1082;&#1090;&#1088;&#1086;&#1087;&#1086;&#1090;&#1088;&#1077;&#1073;&#1083;&#1077;&#1085;&#1080;&#1077;%20&#1052;&#1086;&#1089;&#1082;&#1074;&#1099;.xls"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Users\Secretary-Nbi\Desktop\&#1052;&#1054;&#1057;&#1050;&#1054;&#1042;&#1057;&#1050;&#1040;&#1071;%20&#1054;&#1041;&#1051;&#1040;&#1057;&#1058;&#1068;59651.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0;&#1071;%20&#1054;&#1041;&#1051;&#1040;&#1057;&#1058;&#1068;2.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0;&#1071;%20&#1054;&#1041;&#1051;&#1040;&#1057;&#1058;&#1068;2.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0;&#1071;%20&#1054;&#1041;&#1051;&#1040;&#1057;&#1058;&#1068;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ecretary-Nbi\Desktop\&#1055;&#1072;&#1087;&#1082;&#1072;%20&#1075;&#1088;&#1072;&#1092;&#1080;&#1082;&#1080;%20&#1089;&#1086;%20&#1089;&#1090;&#1086;&#1083;&#1072;\&#1044;&#1072;&#1085;&#1085;&#1099;&#1077;\&#1056;&#1086;&#1089;&#1089;&#1080;&#1103;\&#1076;&#1077;&#1084;&#1086;&#1075;&#1088;&#1072;&#1092;&#1080;&#1103;_&#1079;&#1076;&#1088;&#1072;&#1074;&#1086;&#1086;&#1093;&#1088;&#1072;&#1085;&#1077;&#1085;&#1080;&#1077;_&#1056;&#1060;+&#1057;&#1053;&#1043;\&#1063;&#1080;&#1089;&#1083;&#1077;&#1085;&#1085;&#1086;&#1089;&#1090;&#1100;%20&#1085;&#1072;&#1089;&#1077;&#1083;&#1077;&#1085;&#1080;&#1103;%20&#1056;&#1060;.xlsx" TargetMode="External"/></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oleObject" Target="file:///C:\Users\Secretary-Nbi\Desktop\&#1052;&#1054;&#1057;&#1050;&#1054;&#1042;&#1057;&#1050;&#1048;&#1049;%20&#1056;&#1045;&#1043;&#1048;&#1054;&#1053;%202.xlsx.xls" TargetMode="External"/></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oleObject" Target="file:///C:\Users\Secretary-Nbi\Desktop\&#1052;&#1054;&#1057;&#1050;&#1054;&#1042;&#1057;&#1050;&#1048;&#1049;%20&#1056;&#1045;&#1043;&#1048;&#1054;&#1053;%202.xlsx.xls" TargetMode="External"/></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oleObject" Target="file:///C:\Users\Secretary-Nbi\Desktop\&#1052;&#1054;&#1057;&#1050;&#1054;&#1042;&#1057;&#1050;&#1048;&#1049;%20&#1056;&#1045;&#1043;&#1048;&#1054;&#1053;%202.xlsx.xls" TargetMode="External"/></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86;&#1089;&#1082;&#1074;&#1072;&#1086;&#1088;&#1080;&#1075;&#1080;&#1085;&#1072;&#1083;.xlsx" TargetMode="External"/></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86;&#1089;&#1082;&#1074;&#1072;&#1086;&#1088;&#1080;&#1075;&#1080;&#1085;&#1072;&#1083;.xlsx" TargetMode="External"/></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86;&#1089;&#1082;&#1074;&#1072;&#1086;&#1088;&#1080;&#1075;&#1080;&#1085;&#1072;&#1083;.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ecretary-Nbi\Desktop\&#1055;&#1072;&#1087;&#1082;&#1072;%20&#1075;&#1088;&#1072;&#1092;&#1080;&#1082;&#1080;%20&#1089;&#1086;%20&#1089;&#1090;&#1086;&#1083;&#1072;\&#1043;&#1088;&#1072;&#1092;&#1080;&#1082;&#1080;_xls\&#1056;&#1086;&#1089;&#1089;&#1080;&#1103;\&#1084;&#1072;&#1082;&#1088;&#1072;\&#1048;&#1054;&#1050;+&#1042;&#1042;&#1055;_&#1056;&#1060;\&#1048;&#1054;&#1050;%20&#1080;%20&#1042;&#1042;&#1055;%201970.xls" TargetMode="External"/></Relationships>
</file>

<file path=word/charts/_rels/chart40.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86;&#1089;&#1082;&#1074;&#1072;&#1086;&#1088;&#1080;&#1075;&#1080;&#1085;&#1072;&#1083;.xlsx" TargetMode="External"/></Relationships>
</file>

<file path=word/charts/_rels/chart41.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86;&#1089;&#1082;&#1074;&#1072;&#1086;&#1088;&#1080;&#1075;&#1080;&#1085;&#1072;&#1083;.xlsx" TargetMode="External"/></Relationships>
</file>

<file path=word/charts/_rels/chart42.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0;&#1071;%20&#1054;&#1041;&#1051;&#1040;&#1057;&#1058;&#1068;2.xlsx" TargetMode="External"/></Relationships>
</file>

<file path=word/charts/_rels/chart43.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0;&#1071;%20&#1054;&#1041;&#1051;&#1040;&#1057;&#1058;&#1068;2.xlsx" TargetMode="External"/></Relationships>
</file>

<file path=word/charts/_rels/chart44.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0;&#1071;%20&#1054;&#1041;&#1051;&#1040;&#1057;&#1058;&#1068;2.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46.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47.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48.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49.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54;&#1042;&#1057;&#1050;&#1048;&#1049;%20&#1056;&#1045;&#1043;&#1048;&#1054;&#1053;%202.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Secretary-Nbi\AppData\Local\Microsoft\Windows\Temporary%20Internet%20Files\Content.Outlook\4RRR21DO\&#1048;&#1054;&#1050;%20&#1082;%20&#1042;&#1042;&#1055;%201995-2012.xlsx" TargetMode="External"/></Relationships>
</file>

<file path=word/charts/_rels/chart50.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2;&#1054;&#1057;&#1050;&#1042;&#1040;2.xlsx" TargetMode="External"/></Relationships>
</file>

<file path=word/charts/_rels/chart51.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0;&#1086;&#1087;&#1080;&#1103;%20&#1069;&#1083;&#1077;&#1082;&#1090;&#1088;&#1086;&#1087;&#1086;&#1090;&#1088;&#1077;&#1073;&#1083;&#1077;&#1085;&#1080;&#1077;%20&#1052;&#1086;&#1089;&#1082;&#1074;&#1099;.xls" TargetMode="External"/></Relationships>
</file>

<file path=word/charts/_rels/chart52.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0;&#1086;&#1087;&#1080;&#1103;%20&#1069;&#1083;&#1077;&#1082;&#1090;&#1088;&#1086;&#1087;&#1086;&#1090;&#1088;&#1077;&#1073;&#1083;&#1077;&#1085;&#1080;&#1077;%20&#1052;&#1086;&#1089;&#1082;&#1074;&#1099;.xls" TargetMode="External"/></Relationships>
</file>

<file path=word/charts/_rels/chart53.xml.rels><?xml version="1.0" encoding="UTF-8" standalone="yes"?>
<Relationships xmlns="http://schemas.openxmlformats.org/package/2006/relationships"><Relationship Id="rId2" Type="http://schemas.openxmlformats.org/officeDocument/2006/relationships/chartUserShapes" Target="../drawings/drawing40.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0;&#1086;&#1087;&#1080;&#1103;%20&#1069;&#1083;&#1077;&#1082;&#1090;&#1088;&#1086;&#1087;&#1086;&#1090;&#1088;&#1077;&#1073;&#1083;&#1077;&#1085;&#1080;&#1077;%20&#1052;&#1086;&#1089;&#1082;&#1074;&#1099;.xls" TargetMode="External"/></Relationships>
</file>

<file path=word/charts/_rels/chart54.xml.rels><?xml version="1.0" encoding="UTF-8" standalone="yes"?>
<Relationships xmlns="http://schemas.openxmlformats.org/package/2006/relationships"><Relationship Id="rId2" Type="http://schemas.openxmlformats.org/officeDocument/2006/relationships/chartUserShapes" Target="../drawings/drawing41.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0;&#1086;&#1087;&#1080;&#1103;%20&#1069;&#1083;&#1077;&#1082;&#1090;&#1088;&#1086;&#1087;&#1086;&#1090;&#1088;&#1077;&#1073;&#1083;&#1077;&#1085;&#1080;&#1077;%20&#1052;&#1086;&#1089;&#1082;&#1074;&#1099;.xls" TargetMode="External"/></Relationships>
</file>

<file path=word/charts/_rels/chart55.xml.rels><?xml version="1.0" encoding="UTF-8" standalone="yes"?>
<Relationships xmlns="http://schemas.openxmlformats.org/package/2006/relationships"><Relationship Id="rId2" Type="http://schemas.openxmlformats.org/officeDocument/2006/relationships/chartUserShapes" Target="../drawings/drawing42.xml"/><Relationship Id="rId1" Type="http://schemas.openxmlformats.org/officeDocument/2006/relationships/oleObject" Target="file:///C:\Users\Secretary-Nbi\Desktop\&#1055;&#1072;&#1087;&#1082;&#1072;%20&#1075;&#1088;&#1072;&#1092;&#1080;&#1082;&#1080;%20&#1089;&#1086;%20&#1089;&#1090;&#1086;&#1083;&#1072;\&#1043;&#1088;&#1072;&#1092;&#1080;&#1082;&#1080;_xls\&#1056;&#1086;&#1089;&#1089;&#1080;&#1103;\&#1084;&#1072;&#1090;&#1077;&#1088;&#1080;&#1072;&#1083;&#1099;%20&#1087;&#1086;%20&#1052;&#1086;&#1089;&#1082;&#1074;&#1077;\&#1050;&#1086;&#1087;&#1080;&#1103;%20&#1069;&#1083;&#1077;&#1082;&#1090;&#1088;&#1086;&#1087;&#1086;&#1090;&#1088;&#1077;&#1073;&#1083;&#1077;&#1085;&#1080;&#1077;%20&#1052;&#1086;&#1089;&#1082;&#1074;&#1099;.xls" TargetMode="External"/></Relationships>
</file>

<file path=word/charts/_rels/chart56.xml.rels><?xml version="1.0" encoding="UTF-8" standalone="yes"?>
<Relationships xmlns="http://schemas.openxmlformats.org/package/2006/relationships"><Relationship Id="rId2" Type="http://schemas.openxmlformats.org/officeDocument/2006/relationships/chartUserShapes" Target="../drawings/drawing43.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57.xml.rels><?xml version="1.0" encoding="UTF-8" standalone="yes"?>
<Relationships xmlns="http://schemas.openxmlformats.org/package/2006/relationships"><Relationship Id="rId2" Type="http://schemas.openxmlformats.org/officeDocument/2006/relationships/chartUserShapes" Target="../drawings/drawing44.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58.xml.rels><?xml version="1.0" encoding="UTF-8" standalone="yes"?>
<Relationships xmlns="http://schemas.openxmlformats.org/package/2006/relationships"><Relationship Id="rId2" Type="http://schemas.openxmlformats.org/officeDocument/2006/relationships/chartUserShapes" Target="../drawings/drawing45.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59.xml.rels><?xml version="1.0" encoding="UTF-8" standalone="yes"?>
<Relationships xmlns="http://schemas.openxmlformats.org/package/2006/relationships"><Relationship Id="rId2" Type="http://schemas.openxmlformats.org/officeDocument/2006/relationships/chartUserShapes" Target="../drawings/drawing46.xml"/><Relationship Id="rId1" Type="http://schemas.openxmlformats.org/officeDocument/2006/relationships/oleObject" Target="file:///C:\Users\Secretary-Nbi\Desktop\&#1057;&#1090;&#1072;&#1090;&#1100;&#1080;%20&#1080;%20&#1088;&#1072;&#1073;&#1086;&#1090;&#1099;%20&#1041;&#1048;\&#1063;&#1077;&#1093;&#1080;&#1103;\&#1075;&#1088;&#1072;&#1092;&#1080;&#1082;&#1080;\!!!&#1101;&#1085;&#1077;&#1088;&#1075;&#1086;%20&#1080;%20&#1101;&#1083;&#1077;&#1082;&#1090;&#1088;&#1086;%20&#1101;&#1092;&#1092;%20&#1080;%20&#1042;&#1048;&#1069;.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60.xml.rels><?xml version="1.0" encoding="UTF-8" standalone="yes"?>
<Relationships xmlns="http://schemas.openxmlformats.org/package/2006/relationships"><Relationship Id="rId2" Type="http://schemas.openxmlformats.org/officeDocument/2006/relationships/chartUserShapes" Target="../drawings/drawing47.xml"/><Relationship Id="rId1" Type="http://schemas.openxmlformats.org/officeDocument/2006/relationships/oleObject" Target="file:///C:\Users\Secretary-Nbi\Desktop\&#1057;&#1090;&#1072;&#1090;&#1100;&#1080;%20&#1080;%20&#1088;&#1072;&#1073;&#1086;&#1090;&#1099;%20&#1041;&#1048;\&#1063;&#1077;&#1093;&#1080;&#1103;\&#1075;&#1088;&#1072;&#1092;&#1080;&#1082;&#1080;\!!!&#1101;&#1085;&#1077;&#1088;&#1075;&#1086;%20&#1080;%20&#1101;&#1083;&#1077;&#1082;&#1090;&#1088;&#1086;%20&#1101;&#1092;&#1092;%20&#1080;%20&#1042;&#1048;&#1069;.xlsx" TargetMode="External"/></Relationships>
</file>

<file path=word/charts/_rels/chart61.xml.rels><?xml version="1.0" encoding="UTF-8" standalone="yes"?>
<Relationships xmlns="http://schemas.openxmlformats.org/package/2006/relationships"><Relationship Id="rId2" Type="http://schemas.openxmlformats.org/officeDocument/2006/relationships/chartUserShapes" Target="../drawings/drawing48.xml"/><Relationship Id="rId1" Type="http://schemas.openxmlformats.org/officeDocument/2006/relationships/oleObject" Target="file:///C:\Users\Secretary-Nbi\Desktop\&#1057;&#1090;&#1072;&#1090;&#1100;&#1080;%20&#1080;%20&#1088;&#1072;&#1073;&#1086;&#1090;&#1099;%20&#1041;&#1048;\&#1063;&#1077;&#1093;&#1080;&#1103;\&#1075;&#1088;&#1072;&#1092;&#1080;&#1082;&#1080;\!!!&#1101;&#1085;&#1077;&#1088;&#1075;&#1086;%20&#1080;%20&#1101;&#1083;&#1077;&#1082;&#1090;&#1088;&#1086;%20&#1101;&#1092;&#1092;%20&#1080;%20&#1042;&#1048;&#1069;.xlsx" TargetMode="External"/></Relationships>
</file>

<file path=word/charts/_rels/chart62.xml.rels><?xml version="1.0" encoding="UTF-8" standalone="yes"?>
<Relationships xmlns="http://schemas.openxmlformats.org/package/2006/relationships"><Relationship Id="rId2" Type="http://schemas.openxmlformats.org/officeDocument/2006/relationships/chartUserShapes" Target="../drawings/drawing49.xml"/><Relationship Id="rId1" Type="http://schemas.openxmlformats.org/officeDocument/2006/relationships/oleObject" Target="file:///C:\Users\Secretary-Nbi\Desktop\&#1057;&#1090;&#1072;&#1090;&#1100;&#1080;%20&#1080;%20&#1088;&#1072;&#1073;&#1086;&#1090;&#1099;%20&#1041;&#1048;\&#1063;&#1077;&#1093;&#1080;&#1103;\&#1075;&#1088;&#1072;&#1092;&#1080;&#1082;&#1080;\!!!&#1101;&#1085;&#1077;&#1088;&#1075;&#1086;%20&#1080;%20&#1101;&#1083;&#1077;&#1082;&#1090;&#1088;&#1086;%20&#1101;&#1092;&#1092;%20&#1080;%20&#1042;&#1048;&#1069;.xlsx" TargetMode="External"/></Relationships>
</file>

<file path=word/charts/_rels/chart63.xml.rels><?xml version="1.0" encoding="UTF-8" standalone="yes"?>
<Relationships xmlns="http://schemas.openxmlformats.org/package/2006/relationships"><Relationship Id="rId2" Type="http://schemas.openxmlformats.org/officeDocument/2006/relationships/chartUserShapes" Target="../drawings/drawing50.xml"/><Relationship Id="rId1" Type="http://schemas.openxmlformats.org/officeDocument/2006/relationships/oleObject" Target="file:///C:\Users\Secretary-Nbi\Desktop\&#1057;&#1090;&#1072;&#1090;&#1100;&#1080;%20&#1080;%20&#1088;&#1072;&#1073;&#1086;&#1090;&#1099;%20&#1041;&#1048;\&#1063;&#1077;&#1093;&#1080;&#1103;\&#1075;&#1088;&#1072;&#1092;&#1080;&#1082;&#1080;\!!!&#1101;&#1085;&#1077;&#1088;&#1075;&#1086;%20&#1080;%20&#1101;&#1083;&#1077;&#1082;&#1090;&#1088;&#1086;%20&#1101;&#1092;&#1092;%20&#1080;%20&#1042;&#1048;&#1069;.xlsx" TargetMode="External"/></Relationships>
</file>

<file path=word/charts/_rels/chart64.xml.rels><?xml version="1.0" encoding="UTF-8" standalone="yes"?>
<Relationships xmlns="http://schemas.openxmlformats.org/package/2006/relationships"><Relationship Id="rId2" Type="http://schemas.openxmlformats.org/officeDocument/2006/relationships/chartUserShapes" Target="../drawings/drawing51.xml"/><Relationship Id="rId1" Type="http://schemas.openxmlformats.org/officeDocument/2006/relationships/oleObject" Target="file:///C:\Users\Secretary-Nbi\Desktop\&#1057;&#1090;&#1072;&#1090;&#1100;&#1080;%20&#1080;%20&#1088;&#1072;&#1073;&#1086;&#1090;&#1099;%20&#1041;&#1048;\&#1091;&#1075;&#1086;&#1083;&#1100;\&#1059;&#1075;&#1086;&#1083;&#1100;%20&#1053;&#1072;&#1089;&#1090;&#1103;.xlsx" TargetMode="External"/></Relationships>
</file>

<file path=word/charts/_rels/chart65.xml.rels><?xml version="1.0" encoding="UTF-8" standalone="yes"?>
<Relationships xmlns="http://schemas.openxmlformats.org/package/2006/relationships"><Relationship Id="rId2" Type="http://schemas.openxmlformats.org/officeDocument/2006/relationships/chartUserShapes" Target="../drawings/drawing52.xml"/><Relationship Id="rId1" Type="http://schemas.openxmlformats.org/officeDocument/2006/relationships/oleObject" Target="file:///C:\Users\Secretary-Nbi\Desktop\&#1057;&#1090;&#1072;&#1090;&#1100;&#1080;%20&#1080;%20&#1088;&#1072;&#1073;&#1086;&#1090;&#1099;%20&#1041;&#1048;\&#1063;&#1077;&#1093;&#1080;&#1103;\&#1075;&#1088;&#1072;&#1092;&#1080;&#1082;&#1080;\!!!&#1063;&#1045;&#1061;&#1048;&#1071;!.xlsx" TargetMode="External"/></Relationships>
</file>

<file path=word/charts/_rels/chart66.xml.rels><?xml version="1.0" encoding="UTF-8" standalone="yes"?>
<Relationships xmlns="http://schemas.openxmlformats.org/package/2006/relationships"><Relationship Id="rId2" Type="http://schemas.openxmlformats.org/officeDocument/2006/relationships/chartUserShapes" Target="../drawings/drawing53.xml"/><Relationship Id="rId1" Type="http://schemas.openxmlformats.org/officeDocument/2006/relationships/oleObject" Target="file:///C:\Users\Secretary-Nbi\Desktop\&#1057;&#1090;&#1072;&#1090;&#1100;&#1080;%20&#1080;%20&#1088;&#1072;&#1073;&#1086;&#1090;&#1099;%20&#1041;&#1048;\&#1063;&#1077;&#1093;&#1080;&#1103;\&#1075;&#1088;&#1072;&#1092;&#1080;&#1082;&#1080;\!!!&#1063;&#1045;&#1061;&#1048;&#1071;!.xlsx" TargetMode="External"/></Relationships>
</file>

<file path=word/charts/_rels/chart67.xml.rels><?xml version="1.0" encoding="UTF-8" standalone="yes"?>
<Relationships xmlns="http://schemas.openxmlformats.org/package/2006/relationships"><Relationship Id="rId2" Type="http://schemas.openxmlformats.org/officeDocument/2006/relationships/chartUserShapes" Target="../drawings/drawing54.xml"/><Relationship Id="rId1"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48;&#1085;&#1076;&#1077;&#1082;&#1089;&#1099;%20&#1053;&#1086;&#1074;&#1086;&#1089;&#1080;&#1073;.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48;&#1085;&#1076;&#1077;&#1082;&#1089;&#1099;%20&#1053;&#1086;&#1074;&#1086;&#1089;&#1080;&#1073;.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48;&#1085;&#1076;&#1077;&#1082;&#1089;&#1099;%20&#1053;&#1086;&#1074;&#1086;&#1089;&#1080;&#1073;.xlsx"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48;&#1085;&#1076;&#1077;&#1082;&#1089;&#1099;%20&#1053;&#1086;&#1074;&#1086;&#1089;&#1080;&#1073;.xlsx" TargetMode="External"/></Relationships>
</file>

<file path=word/charts/_rels/chart71.xml.rels><?xml version="1.0" encoding="UTF-8" standalone="yes"?>
<Relationships xmlns="http://schemas.openxmlformats.org/package/2006/relationships"><Relationship Id="rId8" Type="http://schemas.openxmlformats.org/officeDocument/2006/relationships/image" Target="../media/image41.png"/><Relationship Id="rId13" Type="http://schemas.openxmlformats.org/officeDocument/2006/relationships/image" Target="../media/image46.jpeg"/><Relationship Id="rId18" Type="http://schemas.openxmlformats.org/officeDocument/2006/relationships/image" Target="../media/image51.png"/><Relationship Id="rId26"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94;&#1077;&#1085;&#1072;%20&#1101;&#1083;&#1077;&#1082;&#1090;&#1088;&#1086;&#1101;&#1085;&#1077;&#1088;&#1075;&#1080;&#1080;%20&#1077;&#1074;&#1088;&#1086;%20&#1055;&#1055;&#1057;,&#1077;&#1074;&#1088;&#1086;%20&#1062;&#1041;,%20&#1092;&#1083;&#1072;&#1075;&#1080;%202012!.xls" TargetMode="External"/><Relationship Id="rId3" Type="http://schemas.openxmlformats.org/officeDocument/2006/relationships/image" Target="../media/image36.png"/><Relationship Id="rId21" Type="http://schemas.openxmlformats.org/officeDocument/2006/relationships/image" Target="../media/image54.png"/><Relationship Id="rId7" Type="http://schemas.openxmlformats.org/officeDocument/2006/relationships/image" Target="../media/image40.png"/><Relationship Id="rId12" Type="http://schemas.openxmlformats.org/officeDocument/2006/relationships/image" Target="../media/image45.png"/><Relationship Id="rId17" Type="http://schemas.openxmlformats.org/officeDocument/2006/relationships/image" Target="../media/image50.jpeg"/><Relationship Id="rId25" Type="http://schemas.openxmlformats.org/officeDocument/2006/relationships/image" Target="../media/image58.png"/><Relationship Id="rId2" Type="http://schemas.openxmlformats.org/officeDocument/2006/relationships/image" Target="../media/image35.png"/><Relationship Id="rId16" Type="http://schemas.openxmlformats.org/officeDocument/2006/relationships/image" Target="../media/image49.png"/><Relationship Id="rId20" Type="http://schemas.openxmlformats.org/officeDocument/2006/relationships/image" Target="../media/image53.png"/><Relationship Id="rId1" Type="http://schemas.openxmlformats.org/officeDocument/2006/relationships/image" Target="../media/image34.png"/><Relationship Id="rId6" Type="http://schemas.openxmlformats.org/officeDocument/2006/relationships/image" Target="../media/image39.png"/><Relationship Id="rId11" Type="http://schemas.openxmlformats.org/officeDocument/2006/relationships/image" Target="../media/image44.png"/><Relationship Id="rId24" Type="http://schemas.openxmlformats.org/officeDocument/2006/relationships/image" Target="../media/image57.jpeg"/><Relationship Id="rId5" Type="http://schemas.openxmlformats.org/officeDocument/2006/relationships/image" Target="../media/image38.png"/><Relationship Id="rId15" Type="http://schemas.openxmlformats.org/officeDocument/2006/relationships/image" Target="../media/image48.png"/><Relationship Id="rId23" Type="http://schemas.openxmlformats.org/officeDocument/2006/relationships/image" Target="../media/image56.png"/><Relationship Id="rId10" Type="http://schemas.openxmlformats.org/officeDocument/2006/relationships/image" Target="../media/image43.png"/><Relationship Id="rId19" Type="http://schemas.openxmlformats.org/officeDocument/2006/relationships/image" Target="../media/image52.png"/><Relationship Id="rId4" Type="http://schemas.openxmlformats.org/officeDocument/2006/relationships/image" Target="../media/image37.png"/><Relationship Id="rId9" Type="http://schemas.openxmlformats.org/officeDocument/2006/relationships/image" Target="../media/image42.png"/><Relationship Id="rId14" Type="http://schemas.openxmlformats.org/officeDocument/2006/relationships/image" Target="../media/image47.png"/><Relationship Id="rId22" Type="http://schemas.openxmlformats.org/officeDocument/2006/relationships/image" Target="../media/image55.png"/><Relationship Id="rId27" Type="http://schemas.openxmlformats.org/officeDocument/2006/relationships/chartUserShapes" Target="../drawings/drawing55.xml"/></Relationships>
</file>

<file path=word/charts/_rels/chart72.xml.rels><?xml version="1.0" encoding="UTF-8" standalone="yes"?>
<Relationships xmlns="http://schemas.openxmlformats.org/package/2006/relationships"><Relationship Id="rId8" Type="http://schemas.openxmlformats.org/officeDocument/2006/relationships/image" Target="../media/image35.png"/><Relationship Id="rId13" Type="http://schemas.openxmlformats.org/officeDocument/2006/relationships/image" Target="../media/image57.jpeg"/><Relationship Id="rId18" Type="http://schemas.openxmlformats.org/officeDocument/2006/relationships/image" Target="../media/image48.png"/><Relationship Id="rId3" Type="http://schemas.openxmlformats.org/officeDocument/2006/relationships/image" Target="../media/image39.png"/><Relationship Id="rId21" Type="http://schemas.openxmlformats.org/officeDocument/2006/relationships/image" Target="../media/image46.jpeg"/><Relationship Id="rId7" Type="http://schemas.openxmlformats.org/officeDocument/2006/relationships/image" Target="../media/image43.png"/><Relationship Id="rId12" Type="http://schemas.openxmlformats.org/officeDocument/2006/relationships/image" Target="../media/image52.png"/><Relationship Id="rId17" Type="http://schemas.openxmlformats.org/officeDocument/2006/relationships/image" Target="../media/image54.png"/><Relationship Id="rId25" Type="http://schemas.openxmlformats.org/officeDocument/2006/relationships/chartUserShapes" Target="../drawings/drawing56.xml"/><Relationship Id="rId2" Type="http://schemas.openxmlformats.org/officeDocument/2006/relationships/image" Target="../media/image41.png"/><Relationship Id="rId16" Type="http://schemas.openxmlformats.org/officeDocument/2006/relationships/image" Target="../media/image47.png"/><Relationship Id="rId20" Type="http://schemas.openxmlformats.org/officeDocument/2006/relationships/image" Target="../media/image37.png"/><Relationship Id="rId1" Type="http://schemas.openxmlformats.org/officeDocument/2006/relationships/image" Target="../media/image34.png"/><Relationship Id="rId6" Type="http://schemas.openxmlformats.org/officeDocument/2006/relationships/image" Target="../media/image44.png"/><Relationship Id="rId11" Type="http://schemas.openxmlformats.org/officeDocument/2006/relationships/image" Target="../media/image51.png"/><Relationship Id="rId24"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94;&#1077;&#1085;&#1072;%20&#1101;&#1083;&#1077;&#1082;&#1090;&#1088;&#1086;&#1101;&#1085;&#1077;&#1088;&#1075;&#1080;&#1080;%20&#1077;&#1074;&#1088;&#1086;%20&#1055;&#1055;&#1057;,&#1077;&#1074;&#1088;&#1086;%20&#1062;&#1041;,%20&#1092;&#1083;&#1072;&#1075;&#1080;%202012!.xls" TargetMode="External"/><Relationship Id="rId5" Type="http://schemas.openxmlformats.org/officeDocument/2006/relationships/image" Target="../media/image42.png"/><Relationship Id="rId15" Type="http://schemas.openxmlformats.org/officeDocument/2006/relationships/image" Target="../media/image59.png"/><Relationship Id="rId23" Type="http://schemas.openxmlformats.org/officeDocument/2006/relationships/image" Target="../media/image60.png"/><Relationship Id="rId10" Type="http://schemas.openxmlformats.org/officeDocument/2006/relationships/image" Target="../media/image55.png"/><Relationship Id="rId19" Type="http://schemas.openxmlformats.org/officeDocument/2006/relationships/image" Target="../media/image53.png"/><Relationship Id="rId4" Type="http://schemas.openxmlformats.org/officeDocument/2006/relationships/image" Target="../media/image45.png"/><Relationship Id="rId9" Type="http://schemas.openxmlformats.org/officeDocument/2006/relationships/image" Target="../media/image49.png"/><Relationship Id="rId14" Type="http://schemas.openxmlformats.org/officeDocument/2006/relationships/image" Target="../media/image40.png"/><Relationship Id="rId22" Type="http://schemas.openxmlformats.org/officeDocument/2006/relationships/image" Target="../media/image50.jpeg"/></Relationships>
</file>

<file path=word/charts/_rels/chart73.xml.rels><?xml version="1.0" encoding="UTF-8" standalone="yes"?>
<Relationships xmlns="http://schemas.openxmlformats.org/package/2006/relationships"><Relationship Id="rId8" Type="http://schemas.openxmlformats.org/officeDocument/2006/relationships/image" Target="../media/image63.png"/><Relationship Id="rId13" Type="http://schemas.openxmlformats.org/officeDocument/2006/relationships/image" Target="../media/image64.png"/><Relationship Id="rId18" Type="http://schemas.openxmlformats.org/officeDocument/2006/relationships/image" Target="../media/image45.png"/><Relationship Id="rId26"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94;&#1077;&#1085;&#1072;%20&#1101;&#1083;&#1077;&#1082;&#1090;&#1088;&#1086;&#1101;&#1085;&#1077;&#1088;&#1075;&#1080;&#1080;%20&#1077;&#1074;&#1088;&#1086;%20&#1055;&#1055;&#1057;,&#1077;&#1074;&#1088;&#1086;%20&#1062;&#1041;,%20&#1092;&#1083;&#1072;&#1075;&#1080;%202012!.xls" TargetMode="External"/><Relationship Id="rId3" Type="http://schemas.openxmlformats.org/officeDocument/2006/relationships/image" Target="../media/image61.png"/><Relationship Id="rId21" Type="http://schemas.openxmlformats.org/officeDocument/2006/relationships/image" Target="../media/image49.png"/><Relationship Id="rId7" Type="http://schemas.openxmlformats.org/officeDocument/2006/relationships/image" Target="../media/image46.jpeg"/><Relationship Id="rId12" Type="http://schemas.openxmlformats.org/officeDocument/2006/relationships/image" Target="../media/image39.png"/><Relationship Id="rId17" Type="http://schemas.openxmlformats.org/officeDocument/2006/relationships/image" Target="../media/image42.png"/><Relationship Id="rId25" Type="http://schemas.openxmlformats.org/officeDocument/2006/relationships/image" Target="../media/image55.png"/><Relationship Id="rId2" Type="http://schemas.openxmlformats.org/officeDocument/2006/relationships/image" Target="../media/image37.png"/><Relationship Id="rId16" Type="http://schemas.openxmlformats.org/officeDocument/2006/relationships/image" Target="../media/image53.png"/><Relationship Id="rId20" Type="http://schemas.openxmlformats.org/officeDocument/2006/relationships/image" Target="../media/image41.png"/><Relationship Id="rId1" Type="http://schemas.openxmlformats.org/officeDocument/2006/relationships/image" Target="../media/image40.png"/><Relationship Id="rId6" Type="http://schemas.openxmlformats.org/officeDocument/2006/relationships/image" Target="../media/image34.png"/><Relationship Id="rId11" Type="http://schemas.openxmlformats.org/officeDocument/2006/relationships/image" Target="../media/image52.png"/><Relationship Id="rId24" Type="http://schemas.openxmlformats.org/officeDocument/2006/relationships/image" Target="../media/image65.png"/><Relationship Id="rId5" Type="http://schemas.openxmlformats.org/officeDocument/2006/relationships/image" Target="../media/image35.png"/><Relationship Id="rId15" Type="http://schemas.openxmlformats.org/officeDocument/2006/relationships/image" Target="../media/image50.jpeg"/><Relationship Id="rId23" Type="http://schemas.openxmlformats.org/officeDocument/2006/relationships/image" Target="../media/image59.png"/><Relationship Id="rId10" Type="http://schemas.openxmlformats.org/officeDocument/2006/relationships/image" Target="../media/image47.png"/><Relationship Id="rId19" Type="http://schemas.openxmlformats.org/officeDocument/2006/relationships/image" Target="../media/image43.png"/><Relationship Id="rId4" Type="http://schemas.openxmlformats.org/officeDocument/2006/relationships/image" Target="../media/image62.png"/><Relationship Id="rId9" Type="http://schemas.openxmlformats.org/officeDocument/2006/relationships/image" Target="../media/image60.png"/><Relationship Id="rId14" Type="http://schemas.openxmlformats.org/officeDocument/2006/relationships/image" Target="../media/image48.png"/><Relationship Id="rId22" Type="http://schemas.openxmlformats.org/officeDocument/2006/relationships/image" Target="../media/image57.jpeg"/><Relationship Id="rId27" Type="http://schemas.openxmlformats.org/officeDocument/2006/relationships/chartUserShapes" Target="../drawings/drawing57.xml"/></Relationships>
</file>

<file path=word/charts/_rels/chart74.xml.rels><?xml version="1.0" encoding="UTF-8" standalone="yes"?>
<Relationships xmlns="http://schemas.openxmlformats.org/package/2006/relationships"><Relationship Id="rId8" Type="http://schemas.openxmlformats.org/officeDocument/2006/relationships/image" Target="../media/image35.png"/><Relationship Id="rId13" Type="http://schemas.openxmlformats.org/officeDocument/2006/relationships/image" Target="../media/image54.png"/><Relationship Id="rId18" Type="http://schemas.openxmlformats.org/officeDocument/2006/relationships/image" Target="../media/image46.jpeg"/><Relationship Id="rId26" Type="http://schemas.openxmlformats.org/officeDocument/2006/relationships/chartUserShapes" Target="../drawings/drawing58.xml"/><Relationship Id="rId3" Type="http://schemas.openxmlformats.org/officeDocument/2006/relationships/image" Target="../media/image40.png"/><Relationship Id="rId21" Type="http://schemas.openxmlformats.org/officeDocument/2006/relationships/image" Target="../media/image60.png"/><Relationship Id="rId7" Type="http://schemas.openxmlformats.org/officeDocument/2006/relationships/image" Target="../media/image42.png"/><Relationship Id="rId12" Type="http://schemas.openxmlformats.org/officeDocument/2006/relationships/image" Target="../media/image43.png"/><Relationship Id="rId17" Type="http://schemas.openxmlformats.org/officeDocument/2006/relationships/image" Target="../media/image37.png"/><Relationship Id="rId25" Type="http://schemas.openxmlformats.org/officeDocument/2006/relationships/oleObject" Target="file:///C:\Users\Secretary-Nbi\Desktop\&#1057;&#1090;&#1072;&#1090;&#1100;&#1080;%20&#1080;%20&#1088;&#1072;&#1073;&#1086;&#1090;&#1099;%20&#1041;&#1048;\&#1089;&#1086;&#1087;&#1086;&#1089;&#1090;&#1072;&#1074;&#1083;&#1077;&#1085;&#1080;&#1077;%20&#1089;&#1090;&#1086;&#1080;&#1084;&#1086;&#1089;&#1090;&#1077;&#1081;\&#1075;&#1088;&#1072;&#1092;&#1080;&#1082;&#1080;%20&#1082;%20&#1089;&#1090;&#1072;&#1090;&#1100;&#1077;\&#1094;&#1077;&#1085;&#1072;%20&#1101;&#1083;&#1077;&#1082;&#1090;&#1088;&#1086;&#1101;&#1085;&#1077;&#1088;&#1075;&#1080;&#1080;%20&#1077;&#1074;&#1088;&#1086;%20&#1055;&#1055;&#1057;,&#1077;&#1074;&#1088;&#1086;%20&#1062;&#1041;,%20&#1092;&#1083;&#1072;&#1075;&#1080;%202012!.xls" TargetMode="External"/><Relationship Id="rId2" Type="http://schemas.openxmlformats.org/officeDocument/2006/relationships/image" Target="../media/image44.png"/><Relationship Id="rId16" Type="http://schemas.openxmlformats.org/officeDocument/2006/relationships/image" Target="../media/image55.png"/><Relationship Id="rId20" Type="http://schemas.openxmlformats.org/officeDocument/2006/relationships/image" Target="../media/image47.png"/><Relationship Id="rId1" Type="http://schemas.openxmlformats.org/officeDocument/2006/relationships/image" Target="../media/image34.png"/><Relationship Id="rId6" Type="http://schemas.openxmlformats.org/officeDocument/2006/relationships/image" Target="../media/image45.png"/><Relationship Id="rId11" Type="http://schemas.openxmlformats.org/officeDocument/2006/relationships/image" Target="../media/image52.png"/><Relationship Id="rId24" Type="http://schemas.openxmlformats.org/officeDocument/2006/relationships/image" Target="../media/image50.jpeg"/><Relationship Id="rId5" Type="http://schemas.openxmlformats.org/officeDocument/2006/relationships/image" Target="../media/image39.png"/><Relationship Id="rId15" Type="http://schemas.openxmlformats.org/officeDocument/2006/relationships/image" Target="../media/image59.png"/><Relationship Id="rId23" Type="http://schemas.openxmlformats.org/officeDocument/2006/relationships/image" Target="../media/image48.png"/><Relationship Id="rId10" Type="http://schemas.openxmlformats.org/officeDocument/2006/relationships/image" Target="../media/image51.png"/><Relationship Id="rId19" Type="http://schemas.openxmlformats.org/officeDocument/2006/relationships/image" Target="../media/image57.jpeg"/><Relationship Id="rId4" Type="http://schemas.openxmlformats.org/officeDocument/2006/relationships/image" Target="../media/image41.png"/><Relationship Id="rId9" Type="http://schemas.openxmlformats.org/officeDocument/2006/relationships/image" Target="../media/image62.png"/><Relationship Id="rId14" Type="http://schemas.openxmlformats.org/officeDocument/2006/relationships/image" Target="../media/image49.png"/><Relationship Id="rId22" Type="http://schemas.openxmlformats.org/officeDocument/2006/relationships/image" Target="../media/image53.png"/></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9.xml.rels><?xml version="1.0" encoding="UTF-8" standalone="yes"?>
<Relationships xmlns="http://schemas.openxmlformats.org/package/2006/relationships"><Relationship Id="rId1" Type="http://schemas.openxmlformats.org/officeDocument/2006/relationships/oleObject" Target="file:///C:\Users\Secretary-Nbi\Desktop\&#1057;&#1090;&#1072;&#1090;&#1100;&#1080;%20&#1080;%20&#1088;&#1072;&#1073;&#1086;&#1090;&#1099;%20&#1041;&#1048;\&#1050;&#1086;&#1088;&#1088;&#1077;&#1082;&#1090;&#1080;&#1088;&#1086;&#1074;&#1082;&#1072;\&#1082;&#1086;&#1088;&#1088;&#1077;&#1082;&#1090;&#1080;&#1088;&#1086;&#1074;&#1082;&#1072;%202013-2019\&#1056;&#1080;&#1089;&#1091;&#1085;&#1082;&#1080;%20&#1082;%20&#1082;&#1086;&#1088;&#1088;&#1077;&#1082;&#1090;&#1080;&#1088;&#1086;&#1074;&#1082;&#1077;%2013-19\&#1075;&#1088;&#1072;&#1092;&#1080;&#1082;&#1080;%20&#1082;%20&#1082;&#1086;&#1088;&#1088;%202013-20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777777777777821E-2"/>
          <c:y val="5.9952038369304593E-2"/>
          <c:w val="0.56349206349206349"/>
          <c:h val="0.82494004796163067"/>
        </c:manualLayout>
      </c:layout>
      <c:lineChart>
        <c:grouping val="standard"/>
        <c:ser>
          <c:idx val="0"/>
          <c:order val="0"/>
          <c:tx>
            <c:strRef>
              <c:f>Sheet1!$A$2</c:f>
              <c:strCache>
                <c:ptCount val="1"/>
                <c:pt idx="0">
                  <c:v>ВВП к 1990 г.</c:v>
                </c:pt>
              </c:strCache>
            </c:strRef>
          </c:tx>
          <c:spPr>
            <a:ln w="25399">
              <a:solidFill>
                <a:srgbClr val="FF0000"/>
              </a:solidFill>
              <a:prstDash val="solid"/>
            </a:ln>
          </c:spPr>
          <c:marker>
            <c:symbol val="circle"/>
            <c:size val="6"/>
            <c:spPr>
              <a:solidFill>
                <a:srgbClr val="FF0000"/>
              </a:solidFill>
              <a:ln>
                <a:solidFill>
                  <a:srgbClr val="FF0000"/>
                </a:solidFill>
                <a:prstDash val="solid"/>
              </a:ln>
            </c:spPr>
          </c:marker>
          <c:dLbls>
            <c:dLbl>
              <c:idx val="8"/>
              <c:layout>
                <c:manualLayout>
                  <c:x val="-4.1381913198349982E-2"/>
                  <c:y val="1.6619463432739186E-2"/>
                </c:manualLayout>
              </c:layout>
              <c:numFmt formatCode="0.00" sourceLinked="0"/>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Val val="1"/>
            </c:dLbl>
            <c:dLbl>
              <c:idx val="18"/>
              <c:layout>
                <c:manualLayout>
                  <c:x val="-3.7172119110110896E-2"/>
                  <c:y val="-2.9951164112505778E-2"/>
                </c:manualLayout>
              </c:layout>
              <c:numFmt formatCode="0.00" sourceLinked="0"/>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Val val="1"/>
            </c:dLbl>
            <c:dLbl>
              <c:idx val="19"/>
              <c:layout>
                <c:manualLayout>
                  <c:x val="-4.5798775153106486E-2"/>
                  <c:y val="2.2183003749133425E-2"/>
                </c:manualLayout>
              </c:layout>
              <c:numFmt formatCode="0.00" sourceLinked="0"/>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Val val="1"/>
            </c:dLbl>
            <c:dLbl>
              <c:idx val="22"/>
              <c:layout>
                <c:manualLayout>
                  <c:x val="-1.9297790901137361E-2"/>
                  <c:y val="-2.6042474729578415E-2"/>
                </c:manualLayout>
              </c:layout>
              <c:spPr>
                <a:noFill/>
                <a:ln w="25399">
                  <a:noFill/>
                </a:ln>
              </c:spPr>
              <c:txPr>
                <a:bodyPr/>
                <a:lstStyle/>
                <a:p>
                  <a:pPr>
                    <a:defRPr sz="1000" b="1" i="0" u="none" strike="noStrike" baseline="0">
                      <a:solidFill>
                        <a:srgbClr val="FF0000"/>
                      </a:solidFill>
                      <a:latin typeface="Arial"/>
                      <a:ea typeface="Arial"/>
                      <a:cs typeface="Arial"/>
                    </a:defRPr>
                  </a:pPr>
                  <a:endParaRPr lang="ru-RU"/>
                </a:p>
              </c:txPr>
              <c:dLblPos val="r"/>
              <c:showVal val="1"/>
            </c:dLbl>
            <c:delete val="1"/>
          </c:dLbls>
          <c:cat>
            <c:numRef>
              <c:f>Sheet1!$B$1:$X$1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Sheet1!$B$2:$X$2</c:f>
              <c:numCache>
                <c:formatCode>General</c:formatCode>
                <c:ptCount val="23"/>
                <c:pt idx="0">
                  <c:v>1</c:v>
                </c:pt>
                <c:pt idx="1">
                  <c:v>0.95000000000000062</c:v>
                </c:pt>
                <c:pt idx="2">
                  <c:v>0.81299999999999994</c:v>
                </c:pt>
                <c:pt idx="3">
                  <c:v>0.74200000000000166</c:v>
                </c:pt>
                <c:pt idx="4">
                  <c:v>0.64700000000000191</c:v>
                </c:pt>
                <c:pt idx="5">
                  <c:v>0.62100000000000166</c:v>
                </c:pt>
                <c:pt idx="6">
                  <c:v>0.59600000000000053</c:v>
                </c:pt>
                <c:pt idx="7">
                  <c:v>0.58400000000000052</c:v>
                </c:pt>
                <c:pt idx="8">
                  <c:v>0.54300000000000004</c:v>
                </c:pt>
                <c:pt idx="9">
                  <c:v>0.57800000000000062</c:v>
                </c:pt>
                <c:pt idx="10">
                  <c:v>0.6360000000000019</c:v>
                </c:pt>
                <c:pt idx="11">
                  <c:v>0.66800000000000215</c:v>
                </c:pt>
                <c:pt idx="12">
                  <c:v>0.69900000000000095</c:v>
                </c:pt>
                <c:pt idx="13">
                  <c:v>0.75000000000000178</c:v>
                </c:pt>
                <c:pt idx="14">
                  <c:v>0.80400000000000005</c:v>
                </c:pt>
                <c:pt idx="15">
                  <c:v>0.85550000000000004</c:v>
                </c:pt>
                <c:pt idx="16">
                  <c:v>0.91879999999999995</c:v>
                </c:pt>
                <c:pt idx="17">
                  <c:v>0.99319999999999997</c:v>
                </c:pt>
                <c:pt idx="18">
                  <c:v>1.0489999999999966</c:v>
                </c:pt>
                <c:pt idx="19">
                  <c:v>0.96700000000000064</c:v>
                </c:pt>
                <c:pt idx="20">
                  <c:v>1.008</c:v>
                </c:pt>
                <c:pt idx="21">
                  <c:v>1.0529999999999966</c:v>
                </c:pt>
                <c:pt idx="22">
                  <c:v>1.0900000000000001</c:v>
                </c:pt>
              </c:numCache>
            </c:numRef>
          </c:val>
        </c:ser>
        <c:ser>
          <c:idx val="1"/>
          <c:order val="1"/>
          <c:tx>
            <c:strRef>
              <c:f>Sheet1!$A$3</c:f>
              <c:strCache>
                <c:ptCount val="1"/>
                <c:pt idx="0">
                  <c:v>Электропотребление к 1990 г.</c:v>
                </c:pt>
              </c:strCache>
            </c:strRef>
          </c:tx>
          <c:spPr>
            <a:ln w="25399">
              <a:solidFill>
                <a:srgbClr val="0000FF"/>
              </a:solidFill>
              <a:prstDash val="solid"/>
            </a:ln>
          </c:spPr>
          <c:marker>
            <c:symbol val="circle"/>
            <c:size val="6"/>
            <c:spPr>
              <a:solidFill>
                <a:srgbClr val="0000FF"/>
              </a:solidFill>
              <a:ln>
                <a:solidFill>
                  <a:srgbClr val="0000FF"/>
                </a:solidFill>
                <a:prstDash val="solid"/>
              </a:ln>
            </c:spPr>
          </c:marker>
          <c:dLbls>
            <c:dLbl>
              <c:idx val="8"/>
              <c:layout>
                <c:manualLayout>
                  <c:x val="-3.503270684914369E-2"/>
                  <c:y val="2.2134908569852615E-2"/>
                </c:manualLayout>
              </c:layout>
              <c:numFmt formatCode="0.00" sourceLinked="0"/>
              <c:spPr>
                <a:noFill/>
                <a:ln w="25399">
                  <a:noFill/>
                </a:ln>
              </c:spPr>
              <c:txPr>
                <a:bodyPr/>
                <a:lstStyle/>
                <a:p>
                  <a:pPr>
                    <a:defRPr sz="1000" b="1" i="0" u="none" strike="noStrike" baseline="0">
                      <a:solidFill>
                        <a:srgbClr val="0000FF"/>
                      </a:solidFill>
                      <a:latin typeface="Arial"/>
                      <a:ea typeface="Arial"/>
                      <a:cs typeface="Arial"/>
                    </a:defRPr>
                  </a:pPr>
                  <a:endParaRPr lang="ru-RU"/>
                </a:p>
              </c:txPr>
              <c:dLblPos val="r"/>
              <c:showVal val="1"/>
            </c:dLbl>
            <c:dLbl>
              <c:idx val="18"/>
              <c:layout>
                <c:manualLayout>
                  <c:x val="-4.3521325459317556E-2"/>
                  <c:y val="-3.8848284075352658E-2"/>
                </c:manualLayout>
              </c:layout>
              <c:numFmt formatCode="0.00" sourceLinked="0"/>
              <c:spPr>
                <a:noFill/>
                <a:ln w="25399">
                  <a:noFill/>
                </a:ln>
              </c:spPr>
              <c:txPr>
                <a:bodyPr/>
                <a:lstStyle/>
                <a:p>
                  <a:pPr>
                    <a:defRPr sz="1000" b="1" i="0" u="none" strike="noStrike" baseline="0">
                      <a:solidFill>
                        <a:srgbClr val="0000FF"/>
                      </a:solidFill>
                      <a:latin typeface="Arial"/>
                      <a:ea typeface="Arial"/>
                      <a:cs typeface="Arial"/>
                    </a:defRPr>
                  </a:pPr>
                  <a:endParaRPr lang="ru-RU"/>
                </a:p>
              </c:txPr>
              <c:dLblPos val="r"/>
              <c:showVal val="1"/>
            </c:dLbl>
            <c:dLbl>
              <c:idx val="19"/>
              <c:layout>
                <c:manualLayout>
                  <c:x val="-4.4211473565804293E-2"/>
                  <c:y val="2.8154290007298223E-2"/>
                </c:manualLayout>
              </c:layout>
              <c:numFmt formatCode="0.00" sourceLinked="0"/>
              <c:spPr>
                <a:noFill/>
                <a:ln w="25399">
                  <a:noFill/>
                </a:ln>
              </c:spPr>
              <c:txPr>
                <a:bodyPr/>
                <a:lstStyle/>
                <a:p>
                  <a:pPr>
                    <a:defRPr sz="1000" b="1" i="0" u="none" strike="noStrike" baseline="0">
                      <a:solidFill>
                        <a:srgbClr val="0000FF"/>
                      </a:solidFill>
                      <a:latin typeface="Arial"/>
                      <a:ea typeface="Arial"/>
                      <a:cs typeface="Arial"/>
                    </a:defRPr>
                  </a:pPr>
                  <a:endParaRPr lang="ru-RU"/>
                </a:p>
              </c:txPr>
              <c:dLblPos val="r"/>
              <c:showVal val="1"/>
            </c:dLbl>
            <c:dLbl>
              <c:idx val="22"/>
              <c:numFmt formatCode="0.00" sourceLinked="0"/>
              <c:spPr>
                <a:noFill/>
                <a:ln w="25399">
                  <a:noFill/>
                </a:ln>
              </c:spPr>
              <c:txPr>
                <a:bodyPr/>
                <a:lstStyle/>
                <a:p>
                  <a:pPr>
                    <a:defRPr sz="1000" b="1" i="0" u="none" strike="noStrike" baseline="0">
                      <a:solidFill>
                        <a:srgbClr val="0000FF"/>
                      </a:solidFill>
                      <a:latin typeface="Arial"/>
                      <a:ea typeface="Arial"/>
                      <a:cs typeface="Arial"/>
                    </a:defRPr>
                  </a:pPr>
                  <a:endParaRPr lang="ru-RU"/>
                </a:p>
              </c:txPr>
              <c:showVal val="1"/>
            </c:dLbl>
            <c:delete val="1"/>
          </c:dLbls>
          <c:cat>
            <c:numRef>
              <c:f>Sheet1!$B$1:$X$1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Sheet1!$B$3:$X$3</c:f>
              <c:numCache>
                <c:formatCode>General</c:formatCode>
                <c:ptCount val="23"/>
                <c:pt idx="0">
                  <c:v>1</c:v>
                </c:pt>
                <c:pt idx="1">
                  <c:v>0.98499999999999999</c:v>
                </c:pt>
                <c:pt idx="2">
                  <c:v>0.92800000000000005</c:v>
                </c:pt>
                <c:pt idx="3">
                  <c:v>0.87700000000000189</c:v>
                </c:pt>
                <c:pt idx="4">
                  <c:v>0.8</c:v>
                </c:pt>
                <c:pt idx="5">
                  <c:v>0.78200000000000003</c:v>
                </c:pt>
                <c:pt idx="6">
                  <c:v>0.77000000000000124</c:v>
                </c:pt>
                <c:pt idx="7">
                  <c:v>0.7630000000000019</c:v>
                </c:pt>
                <c:pt idx="8">
                  <c:v>0.75300000000000189</c:v>
                </c:pt>
                <c:pt idx="9">
                  <c:v>0.77300000000000124</c:v>
                </c:pt>
                <c:pt idx="10">
                  <c:v>0.80400000000000005</c:v>
                </c:pt>
                <c:pt idx="11">
                  <c:v>0.81499999999999995</c:v>
                </c:pt>
                <c:pt idx="12">
                  <c:v>0.81799999999999995</c:v>
                </c:pt>
                <c:pt idx="13">
                  <c:v>0.84100000000000064</c:v>
                </c:pt>
                <c:pt idx="14">
                  <c:v>0.86100000000000065</c:v>
                </c:pt>
                <c:pt idx="15">
                  <c:v>0.87600000000000189</c:v>
                </c:pt>
                <c:pt idx="16">
                  <c:v>0.91200000000000003</c:v>
                </c:pt>
                <c:pt idx="17">
                  <c:v>0.93300000000000005</c:v>
                </c:pt>
                <c:pt idx="18">
                  <c:v>0.95200000000000062</c:v>
                </c:pt>
                <c:pt idx="19">
                  <c:v>0.91</c:v>
                </c:pt>
                <c:pt idx="20">
                  <c:v>0.95000000000000062</c:v>
                </c:pt>
                <c:pt idx="21">
                  <c:v>0.96200000000000063</c:v>
                </c:pt>
                <c:pt idx="22">
                  <c:v>0.97800000000000065</c:v>
                </c:pt>
              </c:numCache>
            </c:numRef>
          </c:val>
        </c:ser>
        <c:ser>
          <c:idx val="2"/>
          <c:order val="2"/>
          <c:tx>
            <c:strRef>
              <c:f>Sheet1!$A$4</c:f>
              <c:strCache>
                <c:ptCount val="1"/>
                <c:pt idx="0">
                  <c:v>Промышленное производство к 1990 г.</c:v>
                </c:pt>
              </c:strCache>
            </c:strRef>
          </c:tx>
          <c:spPr>
            <a:ln w="38099">
              <a:solidFill>
                <a:srgbClr val="008000"/>
              </a:solidFill>
              <a:prstDash val="solid"/>
            </a:ln>
          </c:spPr>
          <c:marker>
            <c:symbol val="circle"/>
            <c:size val="6"/>
            <c:spPr>
              <a:solidFill>
                <a:srgbClr val="008000"/>
              </a:solidFill>
              <a:ln>
                <a:solidFill>
                  <a:srgbClr val="008000"/>
                </a:solidFill>
                <a:prstDash val="solid"/>
              </a:ln>
            </c:spPr>
          </c:marker>
          <c:dLbls>
            <c:dLbl>
              <c:idx val="8"/>
              <c:layout>
                <c:manualLayout>
                  <c:x val="-3.1858103674540512E-2"/>
                  <c:y val="1.7362736486575363E-2"/>
                </c:manualLayout>
              </c:layout>
              <c:spPr>
                <a:noFill/>
                <a:ln w="25399">
                  <a:noFill/>
                </a:ln>
              </c:spPr>
              <c:txPr>
                <a:bodyPr/>
                <a:lstStyle/>
                <a:p>
                  <a:pPr>
                    <a:defRPr sz="1000" b="1" i="0" u="none" strike="noStrike" baseline="0">
                      <a:solidFill>
                        <a:srgbClr val="008000"/>
                      </a:solidFill>
                      <a:latin typeface="Arial"/>
                      <a:ea typeface="Arial"/>
                      <a:cs typeface="Arial"/>
                    </a:defRPr>
                  </a:pPr>
                  <a:endParaRPr lang="ru-RU"/>
                </a:p>
              </c:txPr>
              <c:dLblPos val="r"/>
              <c:showVal val="1"/>
            </c:dLbl>
            <c:dLbl>
              <c:idx val="18"/>
              <c:layout>
                <c:manualLayout>
                  <c:x val="-3.399751593550799E-2"/>
                  <c:y val="-3.3140873902143042E-2"/>
                </c:manualLayout>
              </c:layout>
              <c:numFmt formatCode="0.00" sourceLinked="0"/>
              <c:spPr>
                <a:noFill/>
                <a:ln w="25399">
                  <a:noFill/>
                </a:ln>
              </c:spPr>
              <c:txPr>
                <a:bodyPr/>
                <a:lstStyle/>
                <a:p>
                  <a:pPr>
                    <a:defRPr sz="1000" b="1" i="0" u="none" strike="noStrike" baseline="0">
                      <a:solidFill>
                        <a:srgbClr val="008000"/>
                      </a:solidFill>
                      <a:latin typeface="Arial"/>
                      <a:ea typeface="Arial"/>
                      <a:cs typeface="Arial"/>
                    </a:defRPr>
                  </a:pPr>
                  <a:endParaRPr lang="ru-RU"/>
                </a:p>
              </c:txPr>
              <c:dLblPos val="r"/>
              <c:showVal val="1"/>
            </c:dLbl>
            <c:dLbl>
              <c:idx val="19"/>
              <c:layout>
                <c:manualLayout>
                  <c:x val="-5.0560679915010787E-2"/>
                  <c:y val="3.7171042969787481E-2"/>
                </c:manualLayout>
              </c:layout>
              <c:numFmt formatCode="0.00" sourceLinked="0"/>
              <c:spPr>
                <a:noFill/>
                <a:ln w="25399">
                  <a:noFill/>
                </a:ln>
              </c:spPr>
              <c:txPr>
                <a:bodyPr/>
                <a:lstStyle/>
                <a:p>
                  <a:pPr>
                    <a:defRPr sz="1000" b="1" i="0" u="none" strike="noStrike" baseline="0">
                      <a:solidFill>
                        <a:srgbClr val="008000"/>
                      </a:solidFill>
                      <a:latin typeface="Arial"/>
                      <a:ea typeface="Arial"/>
                      <a:cs typeface="Arial"/>
                    </a:defRPr>
                  </a:pPr>
                  <a:endParaRPr lang="ru-RU"/>
                </a:p>
              </c:txPr>
              <c:dLblPos val="r"/>
              <c:showVal val="1"/>
            </c:dLbl>
            <c:dLbl>
              <c:idx val="22"/>
              <c:layout>
                <c:manualLayout>
                  <c:x val="-2.7234298837644881E-2"/>
                  <c:y val="-2.9903371407504039E-2"/>
                </c:manualLayout>
              </c:layout>
              <c:numFmt formatCode="0.00" sourceLinked="0"/>
              <c:spPr>
                <a:noFill/>
                <a:ln w="25399">
                  <a:noFill/>
                </a:ln>
              </c:spPr>
              <c:txPr>
                <a:bodyPr/>
                <a:lstStyle/>
                <a:p>
                  <a:pPr>
                    <a:defRPr sz="1000" b="1" i="0" u="none" strike="noStrike" baseline="0">
                      <a:solidFill>
                        <a:srgbClr val="008000"/>
                      </a:solidFill>
                      <a:latin typeface="Arial"/>
                      <a:ea typeface="Arial"/>
                      <a:cs typeface="Arial"/>
                    </a:defRPr>
                  </a:pPr>
                  <a:endParaRPr lang="ru-RU"/>
                </a:p>
              </c:txPr>
              <c:dLblPos val="r"/>
              <c:showVal val="1"/>
            </c:dLbl>
            <c:delete val="1"/>
          </c:dLbls>
          <c:cat>
            <c:numRef>
              <c:f>Sheet1!$B$1:$X$1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Sheet1!$B$4:$X$4</c:f>
              <c:numCache>
                <c:formatCode>General</c:formatCode>
                <c:ptCount val="23"/>
                <c:pt idx="0">
                  <c:v>1</c:v>
                </c:pt>
                <c:pt idx="1">
                  <c:v>0.95800000000000063</c:v>
                </c:pt>
                <c:pt idx="2">
                  <c:v>0.80500000000000005</c:v>
                </c:pt>
                <c:pt idx="3">
                  <c:v>0.69400000000000095</c:v>
                </c:pt>
                <c:pt idx="4">
                  <c:v>0.54400000000000004</c:v>
                </c:pt>
                <c:pt idx="5">
                  <c:v>0.51900000000000002</c:v>
                </c:pt>
                <c:pt idx="6">
                  <c:v>0.48000000000000032</c:v>
                </c:pt>
                <c:pt idx="7">
                  <c:v>0.48500000000000032</c:v>
                </c:pt>
                <c:pt idx="8">
                  <c:v>0.46</c:v>
                </c:pt>
                <c:pt idx="9">
                  <c:v>0.503</c:v>
                </c:pt>
                <c:pt idx="10">
                  <c:v>0.54600000000000004</c:v>
                </c:pt>
                <c:pt idx="11">
                  <c:v>0.56200000000000061</c:v>
                </c:pt>
                <c:pt idx="12">
                  <c:v>0.58000000000000052</c:v>
                </c:pt>
                <c:pt idx="13">
                  <c:v>0.63100000000000189</c:v>
                </c:pt>
                <c:pt idx="14">
                  <c:v>0.68200000000000094</c:v>
                </c:pt>
                <c:pt idx="15">
                  <c:v>0.71600000000000064</c:v>
                </c:pt>
                <c:pt idx="16">
                  <c:v>0.7610000000000019</c:v>
                </c:pt>
                <c:pt idx="17">
                  <c:v>0.81299999999999994</c:v>
                </c:pt>
                <c:pt idx="18">
                  <c:v>0.81799999999999995</c:v>
                </c:pt>
                <c:pt idx="19">
                  <c:v>0.74200000000000166</c:v>
                </c:pt>
                <c:pt idx="20">
                  <c:v>0.80300000000000005</c:v>
                </c:pt>
                <c:pt idx="21">
                  <c:v>0.84100000000000064</c:v>
                </c:pt>
                <c:pt idx="22">
                  <c:v>0.86300000000000165</c:v>
                </c:pt>
              </c:numCache>
            </c:numRef>
          </c:val>
        </c:ser>
        <c:marker val="1"/>
        <c:axId val="243211648"/>
        <c:axId val="247026816"/>
      </c:lineChart>
      <c:catAx>
        <c:axId val="243211648"/>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u-RU"/>
          </a:p>
        </c:txPr>
        <c:crossAx val="247026816"/>
        <c:crosses val="autoZero"/>
        <c:auto val="1"/>
        <c:lblAlgn val="ctr"/>
        <c:lblOffset val="100"/>
        <c:tickLblSkip val="5"/>
        <c:tickMarkSkip val="1"/>
      </c:catAx>
      <c:valAx>
        <c:axId val="247026816"/>
        <c:scaling>
          <c:orientation val="minMax"/>
          <c:min val="0.4"/>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ru-RU"/>
          </a:p>
        </c:txPr>
        <c:crossAx val="243211648"/>
        <c:crosses val="autoZero"/>
        <c:crossBetween val="between"/>
        <c:majorUnit val="0.1"/>
      </c:valAx>
      <c:spPr>
        <a:noFill/>
        <a:ln w="12700">
          <a:solidFill>
            <a:srgbClr val="000000"/>
          </a:solidFill>
          <a:prstDash val="solid"/>
        </a:ln>
      </c:spPr>
    </c:plotArea>
    <c:legend>
      <c:legendPos val="r"/>
      <c:layout>
        <c:manualLayout>
          <c:xMode val="edge"/>
          <c:yMode val="edge"/>
          <c:x val="0.66825396825396821"/>
          <c:y val="0.28776978417266291"/>
          <c:w val="0.32857142857142857"/>
          <c:h val="0.25179856115107918"/>
        </c:manualLayout>
      </c:layout>
      <c:spPr>
        <a:noFill/>
        <a:ln w="3175">
          <a:solidFill>
            <a:srgbClr val="000000"/>
          </a:solidFill>
          <a:prstDash val="solid"/>
        </a:ln>
      </c:spPr>
      <c:txPr>
        <a:bodyPr/>
        <a:lstStyle/>
        <a:p>
          <a:pPr>
            <a:defRPr sz="920" b="1" i="0" u="none" strike="noStrike" baseline="0">
              <a:solidFill>
                <a:srgbClr val="000000"/>
              </a:solidFill>
              <a:latin typeface="Arial"/>
              <a:ea typeface="Arial"/>
              <a:cs typeface="Arial"/>
            </a:defRPr>
          </a:pPr>
          <a:endParaRPr lang="ru-RU"/>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1800" b="1" i="0" u="none" strike="noStrike" baseline="0">
          <a:solidFill>
            <a:srgbClr val="000000"/>
          </a:solidFill>
          <a:latin typeface="Arial"/>
          <a:ea typeface="Arial"/>
          <a:cs typeface="Arial"/>
        </a:defRPr>
      </a:pPr>
      <a:endParaRPr lang="ru-RU"/>
    </a:p>
  </c:tx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285004374453192"/>
          <c:y val="4.2098272599645992E-2"/>
          <c:w val="0.86013764946048465"/>
          <c:h val="0.70950194228809471"/>
        </c:manualLayout>
      </c:layout>
      <c:lineChart>
        <c:grouping val="standard"/>
        <c:ser>
          <c:idx val="0"/>
          <c:order val="0"/>
          <c:tx>
            <c:strRef>
              <c:f>'макс эл нагрузка'!$A$41</c:f>
              <c:strCache>
                <c:ptCount val="1"/>
                <c:pt idx="0">
                  <c:v>Прогноз Минэнерго макс. нагрузка, 2013</c:v>
                </c:pt>
              </c:strCache>
            </c:strRef>
          </c:tx>
          <c:dLbls>
            <c:dLbl>
              <c:idx val="0"/>
              <c:layout>
                <c:manualLayout>
                  <c:x val="-0.13136538283207347"/>
                  <c:y val="2.2224718228551252E-2"/>
                </c:manualLayout>
              </c:layout>
              <c:showVal val="1"/>
            </c:dLbl>
            <c:dLbl>
              <c:idx val="1"/>
              <c:layout>
                <c:manualLayout>
                  <c:x val="-5.6296296296296434E-2"/>
                  <c:y val="4.6511627906977007E-2"/>
                </c:manualLayout>
              </c:layout>
              <c:showVal val="1"/>
            </c:dLbl>
            <c:dLbl>
              <c:idx val="2"/>
              <c:layout>
                <c:manualLayout>
                  <c:x val="-4.4444444444444502E-2"/>
                  <c:y val="4.03100775193799E-2"/>
                </c:manualLayout>
              </c:layout>
              <c:showVal val="1"/>
            </c:dLbl>
            <c:dLbl>
              <c:idx val="3"/>
              <c:layout>
                <c:manualLayout>
                  <c:x val="-6.2222222222222436E-2"/>
                  <c:y val="-3.7209302325581547E-2"/>
                </c:manualLayout>
              </c:layout>
              <c:showVal val="1"/>
            </c:dLbl>
            <c:dLbl>
              <c:idx val="10"/>
              <c:layout>
                <c:manualLayout>
                  <c:x val="-2.5518347717125269E-2"/>
                  <c:y val="-3.6199095022624583E-2"/>
                </c:manualLayout>
              </c:layout>
              <c:showVal val="1"/>
            </c:dLbl>
            <c:delete val="1"/>
            <c:numFmt formatCode="#,##0.0" sourceLinked="0"/>
            <c:txPr>
              <a:bodyPr/>
              <a:lstStyle/>
              <a:p>
                <a:pPr>
                  <a:defRPr b="1"/>
                </a:pPr>
                <a:endParaRPr lang="ru-RU"/>
              </a:p>
            </c:txPr>
          </c:dLbls>
          <c:cat>
            <c:numRef>
              <c:f>'макс эл нагрузка'!$B$40:$L$40</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'макс эл нагрузка'!$B$41:$L$41</c:f>
              <c:numCache>
                <c:formatCode>_-* #,##0_р_._-;\-* #,##0_р_._-;_-* "-"??_р_._-;_-@_-</c:formatCode>
                <c:ptCount val="11"/>
                <c:pt idx="0">
                  <c:v>150</c:v>
                </c:pt>
                <c:pt idx="1">
                  <c:v>149.15700000000001</c:v>
                </c:pt>
                <c:pt idx="2">
                  <c:v>147.76999999999998</c:v>
                </c:pt>
                <c:pt idx="3" formatCode="_-* #,##0.00_р_._-;\-* #,##0.00_р_._-;_-* &quot;-&quot;??_р_._-;_-@_-">
                  <c:v>157.43</c:v>
                </c:pt>
                <c:pt idx="4">
                  <c:v>158.79</c:v>
                </c:pt>
                <c:pt idx="5">
                  <c:v>162.51</c:v>
                </c:pt>
                <c:pt idx="6">
                  <c:v>166.05</c:v>
                </c:pt>
                <c:pt idx="7">
                  <c:v>169</c:v>
                </c:pt>
                <c:pt idx="8">
                  <c:v>171.47</c:v>
                </c:pt>
                <c:pt idx="9">
                  <c:v>173.59</c:v>
                </c:pt>
                <c:pt idx="10">
                  <c:v>175.68</c:v>
                </c:pt>
              </c:numCache>
            </c:numRef>
          </c:val>
        </c:ser>
        <c:ser>
          <c:idx val="1"/>
          <c:order val="1"/>
          <c:tx>
            <c:strRef>
              <c:f>'макс эл нагрузка'!$A$43</c:f>
              <c:strCache>
                <c:ptCount val="1"/>
                <c:pt idx="0">
                  <c:v>Прогноз СПЭ макс. нагрузка, 2013 (февраль)</c:v>
                </c:pt>
              </c:strCache>
            </c:strRef>
          </c:tx>
          <c:dLbls>
            <c:dLbl>
              <c:idx val="10"/>
              <c:layout>
                <c:manualLayout>
                  <c:x val="-2.8397780280262332E-2"/>
                  <c:y val="-2.9258107346809312E-2"/>
                </c:manualLayout>
              </c:layout>
              <c:showVal val="1"/>
            </c:dLbl>
            <c:delete val="1"/>
            <c:numFmt formatCode="#,##0.0" sourceLinked="0"/>
            <c:txPr>
              <a:bodyPr/>
              <a:lstStyle/>
              <a:p>
                <a:pPr>
                  <a:defRPr b="1"/>
                </a:pPr>
                <a:endParaRPr lang="ru-RU"/>
              </a:p>
            </c:txPr>
          </c:dLbls>
          <c:val>
            <c:numRef>
              <c:f>'макс эл нагрузка'!$B$43:$L$43</c:f>
              <c:numCache>
                <c:formatCode>General</c:formatCode>
                <c:ptCount val="11"/>
                <c:pt idx="3" formatCode="_-* #,##0.00_р_._-;\-* #,##0.00_р_._-;_-* &quot;-&quot;??_р_._-;_-@_-">
                  <c:v>157.43</c:v>
                </c:pt>
                <c:pt idx="4" formatCode="_-* #,##0_р_._-;\-* #,##0_р_._-;_-* &quot;-&quot;??_р_._-;_-@_-">
                  <c:v>158.85428571428571</c:v>
                </c:pt>
                <c:pt idx="5" formatCode="_-* #,##0_р_._-;\-* #,##0_р_._-;_-* &quot;-&quot;??_р_._-;_-@_-">
                  <c:v>160.27857142857081</c:v>
                </c:pt>
                <c:pt idx="6" formatCode="_-* #,##0_р_._-;\-* #,##0_р_._-;_-* &quot;-&quot;??_р_._-;_-@_-">
                  <c:v>161.70285714285669</c:v>
                </c:pt>
                <c:pt idx="7" formatCode="_-* #,##0_р_._-;\-* #,##0_р_._-;_-* &quot;-&quot;??_р_._-;_-@_-">
                  <c:v>163.12714285714281</c:v>
                </c:pt>
                <c:pt idx="8" formatCode="_-* #,##0_р_._-;\-* #,##0_р_._-;_-* &quot;-&quot;??_р_._-;_-@_-">
                  <c:v>164.551428571429</c:v>
                </c:pt>
                <c:pt idx="9" formatCode="_-* #,##0_р_._-;\-* #,##0_р_._-;_-* &quot;-&quot;??_р_._-;_-@_-">
                  <c:v>165.97571428571422</c:v>
                </c:pt>
                <c:pt idx="10" formatCode="_-* #,##0_р_._-;\-* #,##0_р_._-;_-* &quot;-&quot;??_р_._-;_-@_-">
                  <c:v>167.4</c:v>
                </c:pt>
              </c:numCache>
            </c:numRef>
          </c:val>
        </c:ser>
        <c:ser>
          <c:idx val="2"/>
          <c:order val="2"/>
          <c:tx>
            <c:strRef>
              <c:f>'макс эл нагрузка'!$A$45</c:f>
              <c:strCache>
                <c:ptCount val="1"/>
                <c:pt idx="0">
                  <c:v>Прогноз СПЭ макс. нагрузка, 2013 (октябрь)</c:v>
                </c:pt>
              </c:strCache>
            </c:strRef>
          </c:tx>
          <c:dLbls>
            <c:dLbl>
              <c:idx val="4"/>
              <c:layout>
                <c:manualLayout>
                  <c:x val="-8.9364718879352295E-2"/>
                  <c:y val="3.0646765208704092E-2"/>
                </c:manualLayout>
              </c:layout>
              <c:showVal val="1"/>
            </c:dLbl>
            <c:dLbl>
              <c:idx val="5"/>
              <c:layout>
                <c:manualLayout>
                  <c:x val="-3.9473904425811543E-2"/>
                  <c:y val="4.7125013996718493E-2"/>
                </c:manualLayout>
              </c:layout>
              <c:showVal val="1"/>
            </c:dLbl>
            <c:dLbl>
              <c:idx val="10"/>
              <c:layout>
                <c:manualLayout>
                  <c:x val="-2.5377584273558223E-2"/>
                  <c:y val="3.0660725873640791E-2"/>
                </c:manualLayout>
              </c:layout>
              <c:showVal val="1"/>
            </c:dLbl>
            <c:delete val="1"/>
            <c:numFmt formatCode="#,##0.0" sourceLinked="0"/>
            <c:txPr>
              <a:bodyPr/>
              <a:lstStyle/>
              <a:p>
                <a:pPr>
                  <a:defRPr b="1"/>
                </a:pPr>
                <a:endParaRPr lang="ru-RU"/>
              </a:p>
            </c:txPr>
          </c:dLbls>
          <c:val>
            <c:numRef>
              <c:f>'макс эл нагрузка'!$B$45:$L$45</c:f>
              <c:numCache>
                <c:formatCode>General</c:formatCode>
                <c:ptCount val="11"/>
                <c:pt idx="4" formatCode="_-* #,##0_р_._-;\-* #,##0_р_._-;_-* &quot;-&quot;??_р_._-;_-@_-">
                  <c:v>155.43644716692231</c:v>
                </c:pt>
                <c:pt idx="5" formatCode="_-* #,##0_р_._-;\-* #,##0_р_._-;_-* &quot;-&quot;??_р_._-;_-@_-">
                  <c:v>156.99081163859114</c:v>
                </c:pt>
                <c:pt idx="6" formatCode="_-* #,##0_р_._-;\-* #,##0_р_._-;_-* &quot;-&quot;??_р_._-;_-@_-">
                  <c:v>158.56071975497699</c:v>
                </c:pt>
                <c:pt idx="7" formatCode="_-* #,##0_р_._-;\-* #,##0_р_._-;_-* &quot;-&quot;??_р_._-;_-@_-">
                  <c:v>160.1463269525274</c:v>
                </c:pt>
                <c:pt idx="8" formatCode="_-* #,##0_р_._-;\-* #,##0_р_._-;_-* &quot;-&quot;??_р_._-;_-@_-">
                  <c:v>161.74779022205149</c:v>
                </c:pt>
                <c:pt idx="9" formatCode="_-* #,##0_р_._-;\-* #,##0_р_._-;_-* &quot;-&quot;??_р_._-;_-@_-">
                  <c:v>163.36526812427255</c:v>
                </c:pt>
                <c:pt idx="10" formatCode="_-* #,##0_р_._-;\-* #,##0_р_._-;_-* &quot;-&quot;??_р_._-;_-@_-">
                  <c:v>164.99892080551592</c:v>
                </c:pt>
              </c:numCache>
            </c:numRef>
          </c:val>
        </c:ser>
        <c:marker val="1"/>
        <c:axId val="252799616"/>
        <c:axId val="252830080"/>
      </c:lineChart>
      <c:catAx>
        <c:axId val="252799616"/>
        <c:scaling>
          <c:orientation val="minMax"/>
        </c:scaling>
        <c:axPos val="b"/>
        <c:numFmt formatCode="General" sourceLinked="1"/>
        <c:tickLblPos val="nextTo"/>
        <c:crossAx val="252830080"/>
        <c:crosses val="autoZero"/>
        <c:auto val="1"/>
        <c:lblAlgn val="ctr"/>
        <c:lblOffset val="100"/>
        <c:tickLblSkip val="2"/>
      </c:catAx>
      <c:valAx>
        <c:axId val="252830080"/>
        <c:scaling>
          <c:orientation val="minMax"/>
          <c:min val="140"/>
        </c:scaling>
        <c:axPos val="l"/>
        <c:majorGridlines/>
        <c:numFmt formatCode="0" sourceLinked="0"/>
        <c:tickLblPos val="nextTo"/>
        <c:crossAx val="252799616"/>
        <c:crosses val="autoZero"/>
        <c:crossBetween val="between"/>
      </c:valAx>
    </c:plotArea>
    <c:legend>
      <c:legendPos val="r"/>
      <c:layout>
        <c:manualLayout>
          <c:xMode val="edge"/>
          <c:yMode val="edge"/>
          <c:x val="0.12835045445075755"/>
          <c:y val="0.81680262473854615"/>
          <c:w val="0.77906678331875179"/>
          <c:h val="0.15201897003644202"/>
        </c:manualLayout>
      </c:layout>
      <c:spPr>
        <a:ln>
          <a:noFill/>
        </a:ln>
      </c:sp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Экспорт!$A$2</c:f>
              <c:strCache>
                <c:ptCount val="1"/>
                <c:pt idx="0">
                  <c:v>Минэнерго 2011г.</c:v>
                </c:pt>
              </c:strCache>
            </c:strRef>
          </c:tx>
          <c:spPr>
            <a:ln>
              <a:solidFill>
                <a:srgbClr val="FFC000"/>
              </a:solidFill>
            </a:ln>
          </c:spPr>
          <c:marker>
            <c:symbol val="diamond"/>
            <c:size val="7"/>
            <c:spPr>
              <a:solidFill>
                <a:srgbClr val="FFC000"/>
              </a:solidFill>
              <a:ln>
                <a:solidFill>
                  <a:srgbClr val="FFC000"/>
                </a:solidFill>
              </a:ln>
            </c:spPr>
          </c:marker>
          <c:dLbls>
            <c:dLbl>
              <c:idx val="0"/>
              <c:showVal val="1"/>
            </c:dLbl>
            <c:dLbl>
              <c:idx val="1"/>
              <c:layout>
                <c:manualLayout>
                  <c:x val="-6.1111111111111123E-2"/>
                  <c:y val="4.1666666666666664E-2"/>
                </c:manualLayout>
              </c:layout>
              <c:showVal val="1"/>
            </c:dLbl>
            <c:dLbl>
              <c:idx val="6"/>
              <c:layout>
                <c:manualLayout>
                  <c:x val="-2.7777777777777991E-2"/>
                  <c:y val="-6.4814814814815117E-2"/>
                </c:manualLayout>
              </c:layout>
              <c:showVal val="1"/>
            </c:dLbl>
            <c:delete val="1"/>
            <c:txPr>
              <a:bodyPr/>
              <a:lstStyle/>
              <a:p>
                <a:pPr>
                  <a:defRPr sz="1200" b="1">
                    <a:solidFill>
                      <a:srgbClr val="FFC000"/>
                    </a:solidFill>
                  </a:defRPr>
                </a:pPr>
                <a:endParaRPr lang="ru-RU"/>
              </a:p>
            </c:txPr>
          </c:dLbls>
          <c:cat>
            <c:numRef>
              <c:f>Экспорт!$B$1:$J$1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Экспорт!$B$2:$J$2</c:f>
              <c:numCache>
                <c:formatCode>General</c:formatCode>
                <c:ptCount val="9"/>
                <c:pt idx="0">
                  <c:v>3.48</c:v>
                </c:pt>
                <c:pt idx="1">
                  <c:v>1.37</c:v>
                </c:pt>
                <c:pt idx="2">
                  <c:v>1.37</c:v>
                </c:pt>
                <c:pt idx="3">
                  <c:v>1.37</c:v>
                </c:pt>
                <c:pt idx="4">
                  <c:v>1.37</c:v>
                </c:pt>
                <c:pt idx="5">
                  <c:v>1.37</c:v>
                </c:pt>
                <c:pt idx="6">
                  <c:v>1.37</c:v>
                </c:pt>
              </c:numCache>
            </c:numRef>
          </c:val>
        </c:ser>
        <c:ser>
          <c:idx val="1"/>
          <c:order val="1"/>
          <c:tx>
            <c:strRef>
              <c:f>Экспорт!$A$3</c:f>
              <c:strCache>
                <c:ptCount val="1"/>
                <c:pt idx="0">
                  <c:v>Минэнерго 2012г</c:v>
                </c:pt>
              </c:strCache>
            </c:strRef>
          </c:tx>
          <c:spPr>
            <a:ln>
              <a:solidFill>
                <a:srgbClr val="0070C0"/>
              </a:solidFill>
            </a:ln>
          </c:spPr>
          <c:marker>
            <c:symbol val="square"/>
            <c:size val="7"/>
            <c:spPr>
              <a:solidFill>
                <a:srgbClr val="0070C0"/>
              </a:solidFill>
              <a:ln>
                <a:solidFill>
                  <a:srgbClr val="0070C0"/>
                </a:solidFill>
              </a:ln>
            </c:spPr>
          </c:marker>
          <c:dLbls>
            <c:dLbl>
              <c:idx val="1"/>
              <c:showVal val="1"/>
            </c:dLbl>
            <c:dLbl>
              <c:idx val="7"/>
              <c:showVal val="1"/>
            </c:dLbl>
            <c:delete val="1"/>
            <c:txPr>
              <a:bodyPr/>
              <a:lstStyle/>
              <a:p>
                <a:pPr>
                  <a:defRPr sz="1200" b="1">
                    <a:solidFill>
                      <a:srgbClr val="0070C0"/>
                    </a:solidFill>
                  </a:defRPr>
                </a:pPr>
                <a:endParaRPr lang="ru-RU"/>
              </a:p>
            </c:txPr>
          </c:dLbls>
          <c:cat>
            <c:numRef>
              <c:f>Экспорт!$B$1:$J$1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Экспорт!$B$3:$J$3</c:f>
              <c:numCache>
                <c:formatCode>General</c:formatCode>
                <c:ptCount val="9"/>
                <c:pt idx="1">
                  <c:v>2.2999999999999998</c:v>
                </c:pt>
                <c:pt idx="2">
                  <c:v>1.1800000000000033</c:v>
                </c:pt>
                <c:pt idx="3">
                  <c:v>1.1800000000000033</c:v>
                </c:pt>
                <c:pt idx="4">
                  <c:v>1.1800000000000033</c:v>
                </c:pt>
                <c:pt idx="5">
                  <c:v>1.1800000000000033</c:v>
                </c:pt>
                <c:pt idx="6">
                  <c:v>1.1800000000000033</c:v>
                </c:pt>
                <c:pt idx="7">
                  <c:v>1.1800000000000033</c:v>
                </c:pt>
              </c:numCache>
            </c:numRef>
          </c:val>
        </c:ser>
        <c:ser>
          <c:idx val="2"/>
          <c:order val="2"/>
          <c:tx>
            <c:strRef>
              <c:f>Экспорт!$A$4</c:f>
              <c:strCache>
                <c:ptCount val="1"/>
                <c:pt idx="0">
                  <c:v>Минэнерго 2013</c:v>
                </c:pt>
              </c:strCache>
            </c:strRef>
          </c:tx>
          <c:spPr>
            <a:ln>
              <a:solidFill>
                <a:srgbClr val="FF0000"/>
              </a:solidFill>
            </a:ln>
          </c:spPr>
          <c:marker>
            <c:spPr>
              <a:solidFill>
                <a:srgbClr val="FF0000"/>
              </a:solidFill>
              <a:ln>
                <a:solidFill>
                  <a:srgbClr val="FF0000"/>
                </a:solidFill>
              </a:ln>
            </c:spPr>
          </c:marker>
          <c:dLbls>
            <c:dLbl>
              <c:idx val="2"/>
              <c:layout>
                <c:manualLayout>
                  <c:x val="-0.05"/>
                  <c:y val="-5.5555555555555455E-2"/>
                </c:manualLayout>
              </c:layout>
              <c:spPr/>
              <c:txPr>
                <a:bodyPr/>
                <a:lstStyle/>
                <a:p>
                  <a:pPr>
                    <a:defRPr sz="1200" b="1">
                      <a:solidFill>
                        <a:srgbClr val="FF0000"/>
                      </a:solidFill>
                    </a:defRPr>
                  </a:pPr>
                  <a:endParaRPr lang="ru-RU"/>
                </a:p>
              </c:txPr>
              <c:showVal val="1"/>
            </c:dLbl>
            <c:dLbl>
              <c:idx val="7"/>
              <c:layout>
                <c:manualLayout>
                  <c:x val="-6.1111111111111123E-2"/>
                  <c:y val="-5.5555555555555455E-2"/>
                </c:manualLayout>
              </c:layout>
              <c:spPr/>
              <c:txPr>
                <a:bodyPr/>
                <a:lstStyle/>
                <a:p>
                  <a:pPr>
                    <a:defRPr sz="1200" b="1">
                      <a:solidFill>
                        <a:srgbClr val="FF0000"/>
                      </a:solidFill>
                    </a:defRPr>
                  </a:pPr>
                  <a:endParaRPr lang="ru-RU"/>
                </a:p>
              </c:txPr>
              <c:showVal val="1"/>
            </c:dLbl>
            <c:delete val="1"/>
            <c:txPr>
              <a:bodyPr/>
              <a:lstStyle/>
              <a:p>
                <a:pPr>
                  <a:defRPr sz="1200"/>
                </a:pPr>
                <a:endParaRPr lang="ru-RU"/>
              </a:p>
            </c:txPr>
          </c:dLbls>
          <c:cat>
            <c:numRef>
              <c:f>Экспорт!$B$1:$J$1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Экспорт!$B$4:$J$4</c:f>
              <c:numCache>
                <c:formatCode>General</c:formatCode>
                <c:ptCount val="9"/>
                <c:pt idx="2">
                  <c:v>3.66</c:v>
                </c:pt>
                <c:pt idx="3">
                  <c:v>3.66</c:v>
                </c:pt>
                <c:pt idx="4">
                  <c:v>3.66</c:v>
                </c:pt>
                <c:pt idx="5">
                  <c:v>3.66</c:v>
                </c:pt>
                <c:pt idx="6">
                  <c:v>3.66</c:v>
                </c:pt>
                <c:pt idx="7">
                  <c:v>3.9699999999999998</c:v>
                </c:pt>
                <c:pt idx="8">
                  <c:v>3.9699999999999998</c:v>
                </c:pt>
              </c:numCache>
            </c:numRef>
          </c:val>
        </c:ser>
        <c:marker val="1"/>
        <c:axId val="252857344"/>
        <c:axId val="252883712"/>
      </c:lineChart>
      <c:catAx>
        <c:axId val="252857344"/>
        <c:scaling>
          <c:orientation val="minMax"/>
        </c:scaling>
        <c:axPos val="b"/>
        <c:numFmt formatCode="General" sourceLinked="1"/>
        <c:tickLblPos val="nextTo"/>
        <c:crossAx val="252883712"/>
        <c:crosses val="autoZero"/>
        <c:auto val="1"/>
        <c:lblAlgn val="ctr"/>
        <c:lblOffset val="100"/>
      </c:catAx>
      <c:valAx>
        <c:axId val="252883712"/>
        <c:scaling>
          <c:orientation val="minMax"/>
        </c:scaling>
        <c:axPos val="l"/>
        <c:majorGridlines/>
        <c:numFmt formatCode="General" sourceLinked="1"/>
        <c:tickLblPos val="nextTo"/>
        <c:crossAx val="252857344"/>
        <c:crosses val="autoZero"/>
        <c:crossBetween val="between"/>
      </c:valAx>
    </c:plotArea>
    <c:legend>
      <c:legendPos val="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643285214348206E-2"/>
          <c:y val="5.1400554097404488E-2"/>
          <c:w val="0.58480314960629698"/>
          <c:h val="0.8326195683872849"/>
        </c:manualLayout>
      </c:layout>
      <c:lineChart>
        <c:grouping val="standard"/>
        <c:ser>
          <c:idx val="0"/>
          <c:order val="0"/>
          <c:tx>
            <c:strRef>
              <c:f>Экспорт!$A$9</c:f>
              <c:strCache>
                <c:ptCount val="1"/>
                <c:pt idx="0">
                  <c:v>Минэнерго 2011г.</c:v>
                </c:pt>
              </c:strCache>
            </c:strRef>
          </c:tx>
          <c:spPr>
            <a:ln>
              <a:solidFill>
                <a:srgbClr val="FFC000"/>
              </a:solidFill>
            </a:ln>
          </c:spPr>
          <c:marker>
            <c:symbol val="diamond"/>
            <c:size val="7"/>
            <c:spPr>
              <a:solidFill>
                <a:srgbClr val="FFC000"/>
              </a:solidFill>
              <a:ln>
                <a:solidFill>
                  <a:srgbClr val="FFC000"/>
                </a:solidFill>
              </a:ln>
            </c:spPr>
          </c:marker>
          <c:dLbls>
            <c:dLbl>
              <c:idx val="0"/>
              <c:layout>
                <c:manualLayout>
                  <c:x val="-3.8888888888888876E-2"/>
                  <c:y val="-5.0925925925925923E-2"/>
                </c:manualLayout>
              </c:layout>
              <c:showVal val="1"/>
            </c:dLbl>
            <c:dLbl>
              <c:idx val="1"/>
              <c:layout>
                <c:manualLayout>
                  <c:x val="-6.3888888888888884E-2"/>
                  <c:y val="7.407407407407407E-2"/>
                </c:manualLayout>
              </c:layout>
              <c:showVal val="1"/>
            </c:dLbl>
            <c:delete val="1"/>
            <c:txPr>
              <a:bodyPr/>
              <a:lstStyle/>
              <a:p>
                <a:pPr>
                  <a:defRPr sz="1200" b="1">
                    <a:solidFill>
                      <a:srgbClr val="FFC000"/>
                    </a:solidFill>
                  </a:defRPr>
                </a:pPr>
                <a:endParaRPr lang="ru-RU"/>
              </a:p>
            </c:txPr>
          </c:dLbls>
          <c:cat>
            <c:numRef>
              <c:f>Экспорт!$B$8:$J$8</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Экспорт!$B$9:$J$9</c:f>
              <c:numCache>
                <c:formatCode>General</c:formatCode>
                <c:ptCount val="9"/>
                <c:pt idx="0">
                  <c:v>20.239999999999988</c:v>
                </c:pt>
                <c:pt idx="1">
                  <c:v>10.17</c:v>
                </c:pt>
                <c:pt idx="2">
                  <c:v>10.17</c:v>
                </c:pt>
                <c:pt idx="3">
                  <c:v>10.17</c:v>
                </c:pt>
                <c:pt idx="4">
                  <c:v>10.17</c:v>
                </c:pt>
                <c:pt idx="5">
                  <c:v>10.17</c:v>
                </c:pt>
                <c:pt idx="6">
                  <c:v>10.17</c:v>
                </c:pt>
              </c:numCache>
            </c:numRef>
          </c:val>
        </c:ser>
        <c:ser>
          <c:idx val="1"/>
          <c:order val="1"/>
          <c:tx>
            <c:strRef>
              <c:f>Экспорт!$A$10</c:f>
              <c:strCache>
                <c:ptCount val="1"/>
                <c:pt idx="0">
                  <c:v>Минэнерго 2012г</c:v>
                </c:pt>
              </c:strCache>
            </c:strRef>
          </c:tx>
          <c:spPr>
            <a:ln>
              <a:solidFill>
                <a:srgbClr val="0070C0"/>
              </a:solidFill>
            </a:ln>
          </c:spPr>
          <c:marker>
            <c:symbol val="square"/>
            <c:size val="7"/>
            <c:spPr>
              <a:solidFill>
                <a:srgbClr val="0070C0"/>
              </a:solidFill>
              <a:ln>
                <a:solidFill>
                  <a:srgbClr val="0070C0"/>
                </a:solidFill>
              </a:ln>
            </c:spPr>
          </c:marker>
          <c:dLbls>
            <c:dLbl>
              <c:idx val="1"/>
              <c:layout>
                <c:manualLayout>
                  <c:x val="-4.4444444444444502E-2"/>
                  <c:y val="-4.1666666666666664E-2"/>
                </c:manualLayout>
              </c:layout>
              <c:showVal val="1"/>
            </c:dLbl>
            <c:dLbl>
              <c:idx val="7"/>
              <c:layout>
                <c:manualLayout>
                  <c:x val="-0.05"/>
                  <c:y val="-5.0925925925925923E-2"/>
                </c:manualLayout>
              </c:layout>
              <c:showVal val="1"/>
            </c:dLbl>
            <c:delete val="1"/>
            <c:txPr>
              <a:bodyPr/>
              <a:lstStyle/>
              <a:p>
                <a:pPr>
                  <a:defRPr sz="1200" b="1">
                    <a:solidFill>
                      <a:srgbClr val="0070C0"/>
                    </a:solidFill>
                  </a:defRPr>
                </a:pPr>
                <a:endParaRPr lang="ru-RU"/>
              </a:p>
            </c:txPr>
          </c:dLbls>
          <c:cat>
            <c:numRef>
              <c:f>Экспорт!$B$8:$J$8</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Экспорт!$B$10:$J$10</c:f>
              <c:numCache>
                <c:formatCode>General</c:formatCode>
                <c:ptCount val="9"/>
                <c:pt idx="1">
                  <c:v>16.760000000000002</c:v>
                </c:pt>
                <c:pt idx="2">
                  <c:v>10.31</c:v>
                </c:pt>
                <c:pt idx="3">
                  <c:v>10.31</c:v>
                </c:pt>
                <c:pt idx="4">
                  <c:v>10.31</c:v>
                </c:pt>
                <c:pt idx="5">
                  <c:v>10.31</c:v>
                </c:pt>
                <c:pt idx="6">
                  <c:v>10.31</c:v>
                </c:pt>
                <c:pt idx="7">
                  <c:v>10.31</c:v>
                </c:pt>
              </c:numCache>
            </c:numRef>
          </c:val>
        </c:ser>
        <c:ser>
          <c:idx val="2"/>
          <c:order val="2"/>
          <c:tx>
            <c:strRef>
              <c:f>Экспорт!$A$11</c:f>
              <c:strCache>
                <c:ptCount val="1"/>
                <c:pt idx="0">
                  <c:v>Минэнерго 2013</c:v>
                </c:pt>
              </c:strCache>
            </c:strRef>
          </c:tx>
          <c:spPr>
            <a:ln>
              <a:solidFill>
                <a:srgbClr val="FF0000"/>
              </a:solidFill>
            </a:ln>
          </c:spPr>
          <c:marker>
            <c:symbol val="triangle"/>
            <c:size val="7"/>
            <c:spPr>
              <a:solidFill>
                <a:srgbClr val="FF0000"/>
              </a:solidFill>
              <a:ln>
                <a:solidFill>
                  <a:srgbClr val="FF0000"/>
                </a:solidFill>
              </a:ln>
            </c:spPr>
          </c:marker>
          <c:dLbls>
            <c:dLbl>
              <c:idx val="2"/>
              <c:layout>
                <c:manualLayout>
                  <c:x val="-2.7777777777777991E-2"/>
                  <c:y val="5.0925925925925902E-2"/>
                </c:manualLayout>
              </c:layout>
              <c:showVal val="1"/>
            </c:dLbl>
            <c:dLbl>
              <c:idx val="7"/>
              <c:layout>
                <c:manualLayout>
                  <c:x val="-5.5555555555555455E-2"/>
                  <c:y val="-4.1666666666666664E-2"/>
                </c:manualLayout>
              </c:layout>
              <c:showVal val="1"/>
            </c:dLbl>
            <c:delete val="1"/>
            <c:txPr>
              <a:bodyPr/>
              <a:lstStyle/>
              <a:p>
                <a:pPr>
                  <a:defRPr sz="1200" b="1">
                    <a:solidFill>
                      <a:srgbClr val="FF0000"/>
                    </a:solidFill>
                  </a:defRPr>
                </a:pPr>
                <a:endParaRPr lang="ru-RU"/>
              </a:p>
            </c:txPr>
          </c:dLbls>
          <c:cat>
            <c:numRef>
              <c:f>Экспорт!$B$8:$J$8</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Экспорт!$B$11:$J$11</c:f>
              <c:numCache>
                <c:formatCode>General</c:formatCode>
                <c:ptCount val="9"/>
                <c:pt idx="2">
                  <c:v>17.829999999999988</c:v>
                </c:pt>
                <c:pt idx="3">
                  <c:v>18.86</c:v>
                </c:pt>
                <c:pt idx="4">
                  <c:v>18.89</c:v>
                </c:pt>
                <c:pt idx="5">
                  <c:v>18.79</c:v>
                </c:pt>
                <c:pt idx="6">
                  <c:v>18.79</c:v>
                </c:pt>
                <c:pt idx="7">
                  <c:v>18.989999999999931</c:v>
                </c:pt>
                <c:pt idx="8">
                  <c:v>18.989999999999931</c:v>
                </c:pt>
              </c:numCache>
            </c:numRef>
          </c:val>
        </c:ser>
        <c:marker val="1"/>
        <c:axId val="252910208"/>
        <c:axId val="252932480"/>
      </c:lineChart>
      <c:catAx>
        <c:axId val="252910208"/>
        <c:scaling>
          <c:orientation val="minMax"/>
        </c:scaling>
        <c:axPos val="b"/>
        <c:numFmt formatCode="General" sourceLinked="1"/>
        <c:tickLblPos val="nextTo"/>
        <c:crossAx val="252932480"/>
        <c:crosses val="autoZero"/>
        <c:auto val="1"/>
        <c:lblAlgn val="ctr"/>
        <c:lblOffset val="100"/>
      </c:catAx>
      <c:valAx>
        <c:axId val="252932480"/>
        <c:scaling>
          <c:orientation val="minMax"/>
        </c:scaling>
        <c:axPos val="l"/>
        <c:majorGridlines/>
        <c:numFmt formatCode="General" sourceLinked="1"/>
        <c:tickLblPos val="nextTo"/>
        <c:crossAx val="252910208"/>
        <c:crosses val="autoZero"/>
        <c:crossBetween val="between"/>
      </c:valAx>
    </c:plotArea>
    <c:legend>
      <c:legendPos val="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stacked"/>
        <c:ser>
          <c:idx val="0"/>
          <c:order val="0"/>
          <c:tx>
            <c:strRef>
              <c:f>'Вводы мощностей'!$A$4</c:f>
              <c:strCache>
                <c:ptCount val="1"/>
                <c:pt idx="0">
                  <c:v>АЭС</c:v>
                </c:pt>
              </c:strCache>
            </c:strRef>
          </c:tx>
          <c:spPr>
            <a:solidFill>
              <a:srgbClr val="FFC000"/>
            </a:solidFill>
          </c:spPr>
          <c:dLbls>
            <c:txPr>
              <a:bodyPr/>
              <a:lstStyle/>
              <a:p>
                <a:pPr>
                  <a:defRPr b="1"/>
                </a:pPr>
                <a:endParaRPr lang="ru-RU"/>
              </a:p>
            </c:txPr>
            <c:showVal val="1"/>
          </c:dLbls>
          <c:cat>
            <c:numRef>
              <c:f>'Вводы мощностей'!$B$2:$H$2</c:f>
              <c:numCache>
                <c:formatCode>General</c:formatCode>
                <c:ptCount val="7"/>
                <c:pt idx="0">
                  <c:v>2013</c:v>
                </c:pt>
                <c:pt idx="1">
                  <c:v>2014</c:v>
                </c:pt>
                <c:pt idx="2">
                  <c:v>2015</c:v>
                </c:pt>
                <c:pt idx="3">
                  <c:v>2016</c:v>
                </c:pt>
                <c:pt idx="4">
                  <c:v>2017</c:v>
                </c:pt>
                <c:pt idx="5">
                  <c:v>2018</c:v>
                </c:pt>
                <c:pt idx="6">
                  <c:v>2019</c:v>
                </c:pt>
              </c:numCache>
            </c:numRef>
          </c:cat>
          <c:val>
            <c:numRef>
              <c:f>'Вводы мощностей'!$B$4:$H$4</c:f>
              <c:numCache>
                <c:formatCode>General</c:formatCode>
                <c:ptCount val="7"/>
                <c:pt idx="1">
                  <c:v>3.18</c:v>
                </c:pt>
                <c:pt idx="2">
                  <c:v>2.3699999999999997</c:v>
                </c:pt>
                <c:pt idx="3">
                  <c:v>1.1700000000000021</c:v>
                </c:pt>
                <c:pt idx="4">
                  <c:v>2.25</c:v>
                </c:pt>
                <c:pt idx="5">
                  <c:v>1.1499999999999964</c:v>
                </c:pt>
                <c:pt idx="6">
                  <c:v>1.1499999999999964</c:v>
                </c:pt>
              </c:numCache>
            </c:numRef>
          </c:val>
        </c:ser>
        <c:ser>
          <c:idx val="1"/>
          <c:order val="1"/>
          <c:tx>
            <c:strRef>
              <c:f>'Вводы мощностей'!$A$5</c:f>
              <c:strCache>
                <c:ptCount val="1"/>
                <c:pt idx="0">
                  <c:v>ГЭС</c:v>
                </c:pt>
              </c:strCache>
            </c:strRef>
          </c:tx>
          <c:spPr>
            <a:solidFill>
              <a:srgbClr val="0070C0"/>
            </a:solidFill>
          </c:spPr>
          <c:dLbls>
            <c:dLbl>
              <c:idx val="0"/>
              <c:layout>
                <c:manualLayout>
                  <c:x val="2.0086240352031132E-2"/>
                  <c:y val="0"/>
                </c:manualLayout>
              </c:layout>
              <c:showVal val="1"/>
            </c:dLbl>
            <c:txPr>
              <a:bodyPr/>
              <a:lstStyle/>
              <a:p>
                <a:pPr>
                  <a:defRPr b="1"/>
                </a:pPr>
                <a:endParaRPr lang="ru-RU"/>
              </a:p>
            </c:txPr>
            <c:showVal val="1"/>
          </c:dLbls>
          <c:cat>
            <c:numRef>
              <c:f>'Вводы мощностей'!$B$2:$H$2</c:f>
              <c:numCache>
                <c:formatCode>General</c:formatCode>
                <c:ptCount val="7"/>
                <c:pt idx="0">
                  <c:v>2013</c:v>
                </c:pt>
                <c:pt idx="1">
                  <c:v>2014</c:v>
                </c:pt>
                <c:pt idx="2">
                  <c:v>2015</c:v>
                </c:pt>
                <c:pt idx="3">
                  <c:v>2016</c:v>
                </c:pt>
                <c:pt idx="4">
                  <c:v>2017</c:v>
                </c:pt>
                <c:pt idx="5">
                  <c:v>2018</c:v>
                </c:pt>
                <c:pt idx="6">
                  <c:v>2019</c:v>
                </c:pt>
              </c:numCache>
            </c:numRef>
          </c:cat>
          <c:val>
            <c:numRef>
              <c:f>'Вводы мощностей'!$B$5:$H$5</c:f>
              <c:numCache>
                <c:formatCode>General</c:formatCode>
                <c:ptCount val="7"/>
                <c:pt idx="0">
                  <c:v>2.4299999999999997</c:v>
                </c:pt>
                <c:pt idx="1">
                  <c:v>0.35000000000000031</c:v>
                </c:pt>
                <c:pt idx="2">
                  <c:v>0.17</c:v>
                </c:pt>
                <c:pt idx="3">
                  <c:v>0.17</c:v>
                </c:pt>
                <c:pt idx="4">
                  <c:v>0.34</c:v>
                </c:pt>
              </c:numCache>
            </c:numRef>
          </c:val>
        </c:ser>
        <c:ser>
          <c:idx val="2"/>
          <c:order val="2"/>
          <c:tx>
            <c:strRef>
              <c:f>'Вводы мощностей'!$A$6</c:f>
              <c:strCache>
                <c:ptCount val="1"/>
                <c:pt idx="0">
                  <c:v>ТЭС</c:v>
                </c:pt>
              </c:strCache>
            </c:strRef>
          </c:tx>
          <c:spPr>
            <a:solidFill>
              <a:srgbClr val="C00000"/>
            </a:solidFill>
          </c:spPr>
          <c:dLbls>
            <c:dLbl>
              <c:idx val="4"/>
              <c:layout>
                <c:manualLayout>
                  <c:x val="0"/>
                  <c:y val="-2.3148148148148147E-2"/>
                </c:manualLayout>
              </c:layout>
              <c:showVal val="1"/>
            </c:dLbl>
            <c:txPr>
              <a:bodyPr/>
              <a:lstStyle/>
              <a:p>
                <a:pPr>
                  <a:defRPr b="1"/>
                </a:pPr>
                <a:endParaRPr lang="ru-RU"/>
              </a:p>
            </c:txPr>
            <c:showVal val="1"/>
          </c:dLbls>
          <c:cat>
            <c:numRef>
              <c:f>'Вводы мощностей'!$B$2:$H$2</c:f>
              <c:numCache>
                <c:formatCode>General</c:formatCode>
                <c:ptCount val="7"/>
                <c:pt idx="0">
                  <c:v>2013</c:v>
                </c:pt>
                <c:pt idx="1">
                  <c:v>2014</c:v>
                </c:pt>
                <c:pt idx="2">
                  <c:v>2015</c:v>
                </c:pt>
                <c:pt idx="3">
                  <c:v>2016</c:v>
                </c:pt>
                <c:pt idx="4">
                  <c:v>2017</c:v>
                </c:pt>
                <c:pt idx="5">
                  <c:v>2018</c:v>
                </c:pt>
                <c:pt idx="6">
                  <c:v>2019</c:v>
                </c:pt>
              </c:numCache>
            </c:numRef>
          </c:cat>
          <c:val>
            <c:numRef>
              <c:f>'Вводы мощностей'!$B$6:$H$6</c:f>
              <c:numCache>
                <c:formatCode>General</c:formatCode>
                <c:ptCount val="7"/>
                <c:pt idx="0">
                  <c:v>4.25</c:v>
                </c:pt>
                <c:pt idx="1">
                  <c:v>5.74</c:v>
                </c:pt>
                <c:pt idx="2">
                  <c:v>5.8599999999999985</c:v>
                </c:pt>
                <c:pt idx="3">
                  <c:v>1.55</c:v>
                </c:pt>
                <c:pt idx="4">
                  <c:v>0.2</c:v>
                </c:pt>
                <c:pt idx="5">
                  <c:v>0.44</c:v>
                </c:pt>
              </c:numCache>
            </c:numRef>
          </c:val>
        </c:ser>
        <c:ser>
          <c:idx val="3"/>
          <c:order val="3"/>
          <c:tx>
            <c:strRef>
              <c:f>'Вводы мощностей'!$A$7</c:f>
              <c:strCache>
                <c:ptCount val="1"/>
                <c:pt idx="0">
                  <c:v>в т.ч. ТЭС на замену</c:v>
                </c:pt>
              </c:strCache>
            </c:strRef>
          </c:tx>
          <c:spPr>
            <a:solidFill>
              <a:srgbClr val="FF6600"/>
            </a:solidFill>
          </c:spPr>
          <c:dLbls>
            <c:dLbl>
              <c:idx val="0"/>
              <c:layout>
                <c:manualLayout>
                  <c:x val="2.5000000000000015E-2"/>
                  <c:y val="9.2592592592592952E-3"/>
                </c:manualLayout>
              </c:layout>
              <c:showVal val="1"/>
            </c:dLbl>
            <c:dLbl>
              <c:idx val="1"/>
              <c:layout>
                <c:manualLayout>
                  <c:x val="3.2904703831523802E-2"/>
                  <c:y val="-1.5634244872591605E-2"/>
                </c:manualLayout>
              </c:layout>
              <c:showVal val="1"/>
            </c:dLbl>
            <c:dLbl>
              <c:idx val="2"/>
              <c:layout>
                <c:manualLayout>
                  <c:x val="3.3333333333333354E-2"/>
                  <c:y val="1.3888888888888938E-2"/>
                </c:manualLayout>
              </c:layout>
              <c:showVal val="1"/>
            </c:dLbl>
            <c:spPr>
              <a:solidFill>
                <a:srgbClr val="FF6600"/>
              </a:solidFill>
            </c:spPr>
            <c:txPr>
              <a:bodyPr/>
              <a:lstStyle/>
              <a:p>
                <a:pPr>
                  <a:defRPr b="1"/>
                </a:pPr>
                <a:endParaRPr lang="ru-RU"/>
              </a:p>
            </c:txPr>
            <c:showVal val="1"/>
          </c:dLbls>
          <c:cat>
            <c:numRef>
              <c:f>'Вводы мощностей'!$B$2:$H$2</c:f>
              <c:numCache>
                <c:formatCode>General</c:formatCode>
                <c:ptCount val="7"/>
                <c:pt idx="0">
                  <c:v>2013</c:v>
                </c:pt>
                <c:pt idx="1">
                  <c:v>2014</c:v>
                </c:pt>
                <c:pt idx="2">
                  <c:v>2015</c:v>
                </c:pt>
                <c:pt idx="3">
                  <c:v>2016</c:v>
                </c:pt>
                <c:pt idx="4">
                  <c:v>2017</c:v>
                </c:pt>
                <c:pt idx="5">
                  <c:v>2018</c:v>
                </c:pt>
                <c:pt idx="6">
                  <c:v>2019</c:v>
                </c:pt>
              </c:numCache>
            </c:numRef>
          </c:cat>
          <c:val>
            <c:numRef>
              <c:f>'Вводы мощностей'!$B$7:$H$7</c:f>
              <c:numCache>
                <c:formatCode>General</c:formatCode>
                <c:ptCount val="7"/>
                <c:pt idx="0">
                  <c:v>6.0000000000000032E-2</c:v>
                </c:pt>
                <c:pt idx="1">
                  <c:v>7.0000000000000021E-2</c:v>
                </c:pt>
                <c:pt idx="2">
                  <c:v>0.12000000000000002</c:v>
                </c:pt>
                <c:pt idx="3">
                  <c:v>0.12000000000000002</c:v>
                </c:pt>
              </c:numCache>
            </c:numRef>
          </c:val>
        </c:ser>
        <c:gapWidth val="228"/>
        <c:overlap val="100"/>
        <c:axId val="263622016"/>
        <c:axId val="263640192"/>
      </c:barChart>
      <c:catAx>
        <c:axId val="263622016"/>
        <c:scaling>
          <c:orientation val="minMax"/>
        </c:scaling>
        <c:axPos val="b"/>
        <c:numFmt formatCode="General" sourceLinked="1"/>
        <c:tickLblPos val="nextTo"/>
        <c:crossAx val="263640192"/>
        <c:crosses val="autoZero"/>
        <c:auto val="1"/>
        <c:lblAlgn val="ctr"/>
        <c:lblOffset val="100"/>
      </c:catAx>
      <c:valAx>
        <c:axId val="263640192"/>
        <c:scaling>
          <c:orientation val="minMax"/>
        </c:scaling>
        <c:axPos val="l"/>
        <c:majorGridlines/>
        <c:numFmt formatCode="General" sourceLinked="1"/>
        <c:tickLblPos val="nextTo"/>
        <c:crossAx val="263622016"/>
        <c:crosses val="autoZero"/>
        <c:crossBetween val="between"/>
      </c:valAx>
    </c:plotArea>
    <c:legend>
      <c:legendPos val="r"/>
    </c:legend>
    <c:plotVisOnly val="1"/>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8.9948808754231765E-2"/>
          <c:y val="5.0926779710011964E-2"/>
          <c:w val="0.84975662018976461"/>
          <c:h val="0.77322961580915894"/>
        </c:manualLayout>
      </c:layout>
      <c:barChart>
        <c:barDir val="col"/>
        <c:grouping val="stacked"/>
        <c:ser>
          <c:idx val="1"/>
          <c:order val="0"/>
          <c:tx>
            <c:strRef>
              <c:f>'установленная мощности'!$B$15</c:f>
              <c:strCache>
                <c:ptCount val="1"/>
                <c:pt idx="0">
                  <c:v>         АЭС</c:v>
                </c:pt>
              </c:strCache>
            </c:strRef>
          </c:tx>
          <c:spPr>
            <a:solidFill>
              <a:srgbClr val="FFC000"/>
            </a:solidFill>
            <a:ln>
              <a:solidFill>
                <a:srgbClr val="FFC000"/>
              </a:solidFill>
            </a:ln>
          </c:spPr>
          <c:dLbls>
            <c:txPr>
              <a:bodyPr/>
              <a:lstStyle/>
              <a:p>
                <a:pPr>
                  <a:defRPr b="1"/>
                </a:pPr>
                <a:endParaRPr lang="ru-RU"/>
              </a:p>
            </c:txPr>
            <c:showVal val="1"/>
          </c:dLbls>
          <c:cat>
            <c:numRef>
              <c:f>'установленная мощности'!$C$13:$I$13</c:f>
              <c:numCache>
                <c:formatCode>General</c:formatCode>
                <c:ptCount val="7"/>
                <c:pt idx="0">
                  <c:v>2011</c:v>
                </c:pt>
                <c:pt idx="1">
                  <c:v>2012</c:v>
                </c:pt>
                <c:pt idx="2">
                  <c:v>2013</c:v>
                </c:pt>
                <c:pt idx="3">
                  <c:v>2014</c:v>
                </c:pt>
                <c:pt idx="4">
                  <c:v>2015</c:v>
                </c:pt>
                <c:pt idx="5">
                  <c:v>2016</c:v>
                </c:pt>
                <c:pt idx="6">
                  <c:v>2017</c:v>
                </c:pt>
              </c:numCache>
            </c:numRef>
          </c:cat>
          <c:val>
            <c:numRef>
              <c:f>'установленная мощности'!$C$15:$I$15</c:f>
              <c:numCache>
                <c:formatCode>0.0</c:formatCode>
                <c:ptCount val="7"/>
                <c:pt idx="0">
                  <c:v>25.265999999999927</c:v>
                </c:pt>
                <c:pt idx="1">
                  <c:v>25.265999999999927</c:v>
                </c:pt>
                <c:pt idx="2">
                  <c:v>26.446000000000002</c:v>
                </c:pt>
                <c:pt idx="3">
                  <c:v>29.571999999999999</c:v>
                </c:pt>
                <c:pt idx="4">
                  <c:v>30.751999999999999</c:v>
                </c:pt>
                <c:pt idx="5">
                  <c:v>32.661000000000001</c:v>
                </c:pt>
                <c:pt idx="6">
                  <c:v>33.313999999999993</c:v>
                </c:pt>
              </c:numCache>
            </c:numRef>
          </c:val>
        </c:ser>
        <c:ser>
          <c:idx val="2"/>
          <c:order val="1"/>
          <c:tx>
            <c:strRef>
              <c:f>'установленная мощности'!$B$16</c:f>
              <c:strCache>
                <c:ptCount val="1"/>
                <c:pt idx="0">
                  <c:v>         ГЭС + ГАЭС</c:v>
                </c:pt>
              </c:strCache>
            </c:strRef>
          </c:tx>
          <c:spPr>
            <a:solidFill>
              <a:schemeClr val="accent1"/>
            </a:solidFill>
            <a:ln>
              <a:solidFill>
                <a:schemeClr val="accent1"/>
              </a:solidFill>
            </a:ln>
          </c:spPr>
          <c:dLbls>
            <c:txPr>
              <a:bodyPr/>
              <a:lstStyle/>
              <a:p>
                <a:pPr>
                  <a:defRPr b="1"/>
                </a:pPr>
                <a:endParaRPr lang="ru-RU"/>
              </a:p>
            </c:txPr>
            <c:showVal val="1"/>
          </c:dLbls>
          <c:cat>
            <c:numRef>
              <c:f>'установленная мощности'!$C$13:$I$13</c:f>
              <c:numCache>
                <c:formatCode>General</c:formatCode>
                <c:ptCount val="7"/>
                <c:pt idx="0">
                  <c:v>2011</c:v>
                </c:pt>
                <c:pt idx="1">
                  <c:v>2012</c:v>
                </c:pt>
                <c:pt idx="2">
                  <c:v>2013</c:v>
                </c:pt>
                <c:pt idx="3">
                  <c:v>2014</c:v>
                </c:pt>
                <c:pt idx="4">
                  <c:v>2015</c:v>
                </c:pt>
                <c:pt idx="5">
                  <c:v>2016</c:v>
                </c:pt>
                <c:pt idx="6">
                  <c:v>2017</c:v>
                </c:pt>
              </c:numCache>
            </c:numRef>
          </c:cat>
          <c:val>
            <c:numRef>
              <c:f>'установленная мощности'!$C$16:$I$16</c:f>
              <c:numCache>
                <c:formatCode>0.0</c:formatCode>
                <c:ptCount val="7"/>
                <c:pt idx="0">
                  <c:v>44.266600000000011</c:v>
                </c:pt>
                <c:pt idx="1">
                  <c:v>46.7637000000001</c:v>
                </c:pt>
                <c:pt idx="2">
                  <c:v>48.664100000000012</c:v>
                </c:pt>
                <c:pt idx="3">
                  <c:v>49.097100000000012</c:v>
                </c:pt>
                <c:pt idx="4">
                  <c:v>49.580200000000005</c:v>
                </c:pt>
                <c:pt idx="5">
                  <c:v>49.662700000000115</c:v>
                </c:pt>
                <c:pt idx="6">
                  <c:v>49.854699999999994</c:v>
                </c:pt>
              </c:numCache>
            </c:numRef>
          </c:val>
        </c:ser>
        <c:ser>
          <c:idx val="4"/>
          <c:order val="2"/>
          <c:tx>
            <c:strRef>
              <c:f>'установленная мощности'!$B$17</c:f>
              <c:strCache>
                <c:ptCount val="1"/>
                <c:pt idx="0">
                  <c:v>         ТЭС</c:v>
                </c:pt>
              </c:strCache>
            </c:strRef>
          </c:tx>
          <c:spPr>
            <a:solidFill>
              <a:schemeClr val="accent6">
                <a:lumMod val="60000"/>
                <a:lumOff val="40000"/>
              </a:schemeClr>
            </a:solidFill>
            <a:ln>
              <a:solidFill>
                <a:schemeClr val="accent6">
                  <a:lumMod val="40000"/>
                  <a:lumOff val="60000"/>
                </a:schemeClr>
              </a:solidFill>
            </a:ln>
          </c:spPr>
          <c:dLbls>
            <c:txPr>
              <a:bodyPr/>
              <a:lstStyle/>
              <a:p>
                <a:pPr>
                  <a:defRPr b="1"/>
                </a:pPr>
                <a:endParaRPr lang="ru-RU"/>
              </a:p>
            </c:txPr>
            <c:showVal val="1"/>
          </c:dLbls>
          <c:cat>
            <c:numRef>
              <c:f>'установленная мощности'!$C$13:$I$13</c:f>
              <c:numCache>
                <c:formatCode>General</c:formatCode>
                <c:ptCount val="7"/>
                <c:pt idx="0">
                  <c:v>2011</c:v>
                </c:pt>
                <c:pt idx="1">
                  <c:v>2012</c:v>
                </c:pt>
                <c:pt idx="2">
                  <c:v>2013</c:v>
                </c:pt>
                <c:pt idx="3">
                  <c:v>2014</c:v>
                </c:pt>
                <c:pt idx="4">
                  <c:v>2015</c:v>
                </c:pt>
                <c:pt idx="5">
                  <c:v>2016</c:v>
                </c:pt>
                <c:pt idx="6">
                  <c:v>2017</c:v>
                </c:pt>
              </c:numCache>
            </c:numRef>
          </c:cat>
          <c:val>
            <c:numRef>
              <c:f>'установленная мощности'!$C$17:$I$17</c:f>
              <c:numCache>
                <c:formatCode>0.0</c:formatCode>
                <c:ptCount val="7"/>
                <c:pt idx="0">
                  <c:v>151.73939999999999</c:v>
                </c:pt>
                <c:pt idx="1">
                  <c:v>155.08810000000042</c:v>
                </c:pt>
                <c:pt idx="2">
                  <c:v>159.52540000000027</c:v>
                </c:pt>
                <c:pt idx="3">
                  <c:v>166.21919999999992</c:v>
                </c:pt>
                <c:pt idx="4">
                  <c:v>172.00900000000001</c:v>
                </c:pt>
                <c:pt idx="5">
                  <c:v>173.834</c:v>
                </c:pt>
                <c:pt idx="6">
                  <c:v>174.46530000000001</c:v>
                </c:pt>
              </c:numCache>
            </c:numRef>
          </c:val>
        </c:ser>
        <c:ser>
          <c:idx val="5"/>
          <c:order val="3"/>
          <c:tx>
            <c:strRef>
              <c:f>'установленная мощности'!$B$18</c:f>
              <c:strCache>
                <c:ptCount val="1"/>
                <c:pt idx="0">
                  <c:v>         ВИЭ</c:v>
                </c:pt>
              </c:strCache>
            </c:strRef>
          </c:tx>
          <c:spPr>
            <a:solidFill>
              <a:schemeClr val="accent4"/>
            </a:solidFill>
            <a:ln>
              <a:solidFill>
                <a:schemeClr val="accent4"/>
              </a:solidFill>
            </a:ln>
          </c:spPr>
          <c:dLbls>
            <c:spPr>
              <a:solidFill>
                <a:srgbClr val="8064A2"/>
              </a:solidFill>
            </c:spPr>
            <c:txPr>
              <a:bodyPr/>
              <a:lstStyle/>
              <a:p>
                <a:pPr>
                  <a:defRPr b="1">
                    <a:solidFill>
                      <a:schemeClr val="bg1"/>
                    </a:solidFill>
                  </a:defRPr>
                </a:pPr>
                <a:endParaRPr lang="ru-RU"/>
              </a:p>
            </c:txPr>
            <c:dLblPos val="ctr"/>
            <c:showVal val="1"/>
          </c:dLbls>
          <c:cat>
            <c:numRef>
              <c:f>'установленная мощности'!$C$13:$I$13</c:f>
              <c:numCache>
                <c:formatCode>General</c:formatCode>
                <c:ptCount val="7"/>
                <c:pt idx="0">
                  <c:v>2011</c:v>
                </c:pt>
                <c:pt idx="1">
                  <c:v>2012</c:v>
                </c:pt>
                <c:pt idx="2">
                  <c:v>2013</c:v>
                </c:pt>
                <c:pt idx="3">
                  <c:v>2014</c:v>
                </c:pt>
                <c:pt idx="4">
                  <c:v>2015</c:v>
                </c:pt>
                <c:pt idx="5">
                  <c:v>2016</c:v>
                </c:pt>
                <c:pt idx="6">
                  <c:v>2017</c:v>
                </c:pt>
              </c:numCache>
            </c:numRef>
          </c:cat>
          <c:val>
            <c:numRef>
              <c:f>'установленная мощности'!$C$18:$I$18</c:f>
              <c:numCache>
                <c:formatCode>0.0</c:formatCode>
                <c:ptCount val="7"/>
                <c:pt idx="0">
                  <c:v>0.32830000000000137</c:v>
                </c:pt>
                <c:pt idx="1">
                  <c:v>0.36640000000000095</c:v>
                </c:pt>
                <c:pt idx="2">
                  <c:v>0.41220000000000001</c:v>
                </c:pt>
                <c:pt idx="3">
                  <c:v>0.43530000000000107</c:v>
                </c:pt>
                <c:pt idx="4">
                  <c:v>0.98529999999999951</c:v>
                </c:pt>
                <c:pt idx="5">
                  <c:v>0.98529999999999951</c:v>
                </c:pt>
                <c:pt idx="6">
                  <c:v>0.9867999999999999</c:v>
                </c:pt>
              </c:numCache>
            </c:numRef>
          </c:val>
        </c:ser>
        <c:overlap val="100"/>
        <c:axId val="242554752"/>
        <c:axId val="242556288"/>
      </c:barChart>
      <c:lineChart>
        <c:grouping val="standard"/>
        <c:ser>
          <c:idx val="0"/>
          <c:order val="4"/>
          <c:spPr>
            <a:ln>
              <a:noFill/>
            </a:ln>
          </c:spPr>
          <c:marker>
            <c:symbol val="none"/>
          </c:marker>
          <c:dLbls>
            <c:dLbl>
              <c:idx val="0"/>
              <c:layout>
                <c:manualLayout>
                  <c:x val="-2.5056447013785982E-2"/>
                  <c:y val="-7.105944069142045E-2"/>
                </c:manualLayout>
              </c:layout>
              <c:dLblPos val="r"/>
              <c:showVal val="1"/>
            </c:dLbl>
            <c:dLbl>
              <c:idx val="1"/>
              <c:layout>
                <c:manualLayout>
                  <c:x val="-3.8873100672490439E-2"/>
                  <c:y val="-6.3850758713778169E-2"/>
                </c:manualLayout>
              </c:layout>
              <c:dLblPos val="r"/>
              <c:showVal val="1"/>
            </c:dLbl>
            <c:dLbl>
              <c:idx val="2"/>
              <c:layout>
                <c:manualLayout>
                  <c:x val="-4.7163092867712912E-2"/>
                  <c:y val="-6.3850758713778141E-2"/>
                </c:manualLayout>
              </c:layout>
              <c:dLblPos val="r"/>
              <c:showVal val="1"/>
            </c:dLbl>
            <c:dLbl>
              <c:idx val="3"/>
              <c:layout>
                <c:manualLayout>
                  <c:x val="-3.8873100672490439E-2"/>
                  <c:y val="-5.6642076736135853E-2"/>
                </c:manualLayout>
              </c:layout>
              <c:dLblPos val="r"/>
              <c:showVal val="1"/>
            </c:dLbl>
            <c:dLbl>
              <c:idx val="4"/>
              <c:layout>
                <c:manualLayout>
                  <c:x val="-4.1636431404231442E-2"/>
                  <c:y val="-5.3037735747314713E-2"/>
                </c:manualLayout>
              </c:layout>
              <c:dLblPos val="r"/>
              <c:showVal val="1"/>
            </c:dLbl>
            <c:dLbl>
              <c:idx val="5"/>
              <c:layout>
                <c:manualLayout>
                  <c:x val="-3.8873100672490439E-2"/>
                  <c:y val="-5.6642076736135853E-2"/>
                </c:manualLayout>
              </c:layout>
              <c:dLblPos val="r"/>
              <c:showVal val="1"/>
            </c:dLbl>
            <c:dLbl>
              <c:idx val="6"/>
              <c:layout>
                <c:manualLayout>
                  <c:x val="-3.8873100672490522E-2"/>
                  <c:y val="-5.3037735747314713E-2"/>
                </c:manualLayout>
              </c:layout>
              <c:dLblPos val="r"/>
              <c:showVal val="1"/>
            </c:dLbl>
            <c:txPr>
              <a:bodyPr/>
              <a:lstStyle/>
              <a:p>
                <a:pPr>
                  <a:defRPr sz="1100" b="1"/>
                </a:pPr>
                <a:endParaRPr lang="ru-RU"/>
              </a:p>
            </c:txPr>
            <c:dLblPos val="t"/>
            <c:showVal val="1"/>
          </c:dLbls>
          <c:val>
            <c:numRef>
              <c:f>'установленная мощности'!$C$14:$I$14</c:f>
              <c:numCache>
                <c:formatCode>0.0</c:formatCode>
                <c:ptCount val="7"/>
                <c:pt idx="0">
                  <c:v>221.6003</c:v>
                </c:pt>
                <c:pt idx="1">
                  <c:v>227.48420000000004</c:v>
                </c:pt>
                <c:pt idx="2">
                  <c:v>235.04770000000002</c:v>
                </c:pt>
                <c:pt idx="3">
                  <c:v>245.3236</c:v>
                </c:pt>
                <c:pt idx="4">
                  <c:v>253.32650000000001</c:v>
                </c:pt>
                <c:pt idx="5">
                  <c:v>257.14299999999997</c:v>
                </c:pt>
                <c:pt idx="6">
                  <c:v>258.62079999999969</c:v>
                </c:pt>
              </c:numCache>
            </c:numRef>
          </c:val>
        </c:ser>
        <c:marker val="1"/>
        <c:axId val="242554752"/>
        <c:axId val="242556288"/>
      </c:lineChart>
      <c:catAx>
        <c:axId val="242554752"/>
        <c:scaling>
          <c:orientation val="minMax"/>
        </c:scaling>
        <c:axPos val="b"/>
        <c:numFmt formatCode="General" sourceLinked="1"/>
        <c:tickLblPos val="nextTo"/>
        <c:txPr>
          <a:bodyPr/>
          <a:lstStyle/>
          <a:p>
            <a:pPr>
              <a:defRPr b="1"/>
            </a:pPr>
            <a:endParaRPr lang="ru-RU"/>
          </a:p>
        </c:txPr>
        <c:crossAx val="242556288"/>
        <c:crosses val="autoZero"/>
        <c:auto val="1"/>
        <c:lblAlgn val="ctr"/>
        <c:lblOffset val="100"/>
      </c:catAx>
      <c:valAx>
        <c:axId val="242556288"/>
        <c:scaling>
          <c:orientation val="minMax"/>
        </c:scaling>
        <c:axPos val="l"/>
        <c:majorGridlines/>
        <c:numFmt formatCode="0" sourceLinked="0"/>
        <c:tickLblPos val="nextTo"/>
        <c:crossAx val="242554752"/>
        <c:crosses val="autoZero"/>
        <c:crossBetween val="between"/>
      </c:valAx>
    </c:plotArea>
    <c:legend>
      <c:legendPos val="r"/>
      <c:legendEntry>
        <c:idx val="4"/>
        <c:delete val="1"/>
      </c:legendEntry>
      <c:layout>
        <c:manualLayout>
          <c:xMode val="edge"/>
          <c:yMode val="edge"/>
          <c:x val="9.2363350575501699E-2"/>
          <c:y val="0.91909145511896162"/>
          <c:w val="0.81744719155299839"/>
          <c:h val="7.7428904108069171E-2"/>
        </c:manualLayout>
      </c:layout>
    </c:legend>
    <c:plotVisOnly val="1"/>
    <c:dispBlanksAs val="gap"/>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948808754231765E-2"/>
          <c:y val="5.0926779710011964E-2"/>
          <c:w val="0.8662752622447969"/>
          <c:h val="0.77322961580915917"/>
        </c:manualLayout>
      </c:layout>
      <c:barChart>
        <c:barDir val="col"/>
        <c:grouping val="stacked"/>
        <c:ser>
          <c:idx val="1"/>
          <c:order val="0"/>
          <c:tx>
            <c:strRef>
              <c:f>'установленная мощности'!$B$36</c:f>
              <c:strCache>
                <c:ptCount val="1"/>
                <c:pt idx="0">
                  <c:v>         АЭС</c:v>
                </c:pt>
              </c:strCache>
            </c:strRef>
          </c:tx>
          <c:spPr>
            <a:solidFill>
              <a:srgbClr val="FFC000"/>
            </a:solidFill>
            <a:ln>
              <a:solidFill>
                <a:srgbClr val="FFC000"/>
              </a:solidFill>
            </a:ln>
          </c:spPr>
          <c:dLbls>
            <c:dLbl>
              <c:idx val="0"/>
              <c:layout>
                <c:manualLayout>
                  <c:x val="-5.5090428902390739E-3"/>
                  <c:y val="-1.1050139845064606E-2"/>
                </c:manualLayout>
              </c:layout>
              <c:showVal val="1"/>
            </c:dLbl>
            <c:txPr>
              <a:bodyPr/>
              <a:lstStyle/>
              <a:p>
                <a:pPr>
                  <a:defRPr b="1"/>
                </a:pPr>
                <a:endParaRPr lang="ru-RU"/>
              </a:p>
            </c:txPr>
            <c:showVal val="1"/>
          </c:dLbls>
          <c:cat>
            <c:numRef>
              <c:f>'установленная мощности'!$C$34:$J$34</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мощности'!$C$36:$J$36</c:f>
              <c:numCache>
                <c:formatCode>0.0</c:formatCode>
                <c:ptCount val="8"/>
                <c:pt idx="0">
                  <c:v>25.3</c:v>
                </c:pt>
                <c:pt idx="1">
                  <c:v>24.3</c:v>
                </c:pt>
                <c:pt idx="2">
                  <c:v>25.4</c:v>
                </c:pt>
                <c:pt idx="3">
                  <c:v>26.8</c:v>
                </c:pt>
                <c:pt idx="4">
                  <c:v>28</c:v>
                </c:pt>
                <c:pt idx="5">
                  <c:v>28.8</c:v>
                </c:pt>
                <c:pt idx="6">
                  <c:v>28.5</c:v>
                </c:pt>
                <c:pt idx="7">
                  <c:v>28.3</c:v>
                </c:pt>
              </c:numCache>
            </c:numRef>
          </c:val>
        </c:ser>
        <c:ser>
          <c:idx val="2"/>
          <c:order val="1"/>
          <c:tx>
            <c:strRef>
              <c:f>'установленная мощности'!$B$37</c:f>
              <c:strCache>
                <c:ptCount val="1"/>
                <c:pt idx="0">
                  <c:v>         ГЭС + ГАЭС</c:v>
                </c:pt>
              </c:strCache>
            </c:strRef>
          </c:tx>
          <c:spPr>
            <a:solidFill>
              <a:schemeClr val="accent1"/>
            </a:solidFill>
            <a:ln>
              <a:solidFill>
                <a:schemeClr val="accent1"/>
              </a:solidFill>
            </a:ln>
          </c:spPr>
          <c:dLbls>
            <c:txPr>
              <a:bodyPr/>
              <a:lstStyle/>
              <a:p>
                <a:pPr>
                  <a:defRPr b="1"/>
                </a:pPr>
                <a:endParaRPr lang="ru-RU"/>
              </a:p>
            </c:txPr>
            <c:showVal val="1"/>
          </c:dLbls>
          <c:cat>
            <c:numRef>
              <c:f>'установленная мощности'!$C$34:$J$34</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мощности'!$C$37:$J$37</c:f>
              <c:numCache>
                <c:formatCode>0.0</c:formatCode>
                <c:ptCount val="8"/>
                <c:pt idx="0">
                  <c:v>46</c:v>
                </c:pt>
                <c:pt idx="1">
                  <c:v>48.5</c:v>
                </c:pt>
                <c:pt idx="2">
                  <c:v>48.900000000000006</c:v>
                </c:pt>
                <c:pt idx="3">
                  <c:v>49.1</c:v>
                </c:pt>
                <c:pt idx="4">
                  <c:v>49.400000000000006</c:v>
                </c:pt>
                <c:pt idx="5">
                  <c:v>49.800000000000004</c:v>
                </c:pt>
                <c:pt idx="6">
                  <c:v>49.800000000000004</c:v>
                </c:pt>
                <c:pt idx="7">
                  <c:v>49.800000000000004</c:v>
                </c:pt>
              </c:numCache>
            </c:numRef>
          </c:val>
        </c:ser>
        <c:ser>
          <c:idx val="4"/>
          <c:order val="2"/>
          <c:tx>
            <c:strRef>
              <c:f>'установленная мощности'!$B$38</c:f>
              <c:strCache>
                <c:ptCount val="1"/>
                <c:pt idx="0">
                  <c:v>         ТЭС</c:v>
                </c:pt>
              </c:strCache>
            </c:strRef>
          </c:tx>
          <c:spPr>
            <a:solidFill>
              <a:schemeClr val="accent6">
                <a:lumMod val="60000"/>
                <a:lumOff val="40000"/>
              </a:schemeClr>
            </a:solidFill>
            <a:ln>
              <a:solidFill>
                <a:schemeClr val="accent6">
                  <a:lumMod val="40000"/>
                  <a:lumOff val="60000"/>
                </a:schemeClr>
              </a:solidFill>
            </a:ln>
          </c:spPr>
          <c:dLbls>
            <c:txPr>
              <a:bodyPr/>
              <a:lstStyle/>
              <a:p>
                <a:pPr>
                  <a:defRPr b="1"/>
                </a:pPr>
                <a:endParaRPr lang="ru-RU"/>
              </a:p>
            </c:txPr>
            <c:showVal val="1"/>
          </c:dLbls>
          <c:cat>
            <c:numRef>
              <c:f>'установленная мощности'!$C$34:$J$34</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мощности'!$C$38:$J$38</c:f>
              <c:numCache>
                <c:formatCode>0.0</c:formatCode>
                <c:ptCount val="8"/>
                <c:pt idx="0">
                  <c:v>151.80000000000001</c:v>
                </c:pt>
                <c:pt idx="1">
                  <c:v>155</c:v>
                </c:pt>
                <c:pt idx="2">
                  <c:v>158.4</c:v>
                </c:pt>
                <c:pt idx="3">
                  <c:v>161.80000000000001</c:v>
                </c:pt>
                <c:pt idx="4">
                  <c:v>161.30000000000001</c:v>
                </c:pt>
                <c:pt idx="5">
                  <c:v>161.1</c:v>
                </c:pt>
                <c:pt idx="6">
                  <c:v>160</c:v>
                </c:pt>
                <c:pt idx="7">
                  <c:v>159.69999999999999</c:v>
                </c:pt>
              </c:numCache>
            </c:numRef>
          </c:val>
        </c:ser>
        <c:ser>
          <c:idx val="5"/>
          <c:order val="3"/>
          <c:tx>
            <c:strRef>
              <c:f>'установленная мощности'!$B$39</c:f>
              <c:strCache>
                <c:ptCount val="1"/>
                <c:pt idx="0">
                  <c:v>         ВИЭ</c:v>
                </c:pt>
              </c:strCache>
            </c:strRef>
          </c:tx>
          <c:spPr>
            <a:solidFill>
              <a:schemeClr val="accent4"/>
            </a:solidFill>
            <a:ln>
              <a:solidFill>
                <a:schemeClr val="accent4"/>
              </a:solidFill>
            </a:ln>
          </c:spPr>
          <c:dLbls>
            <c:dLbl>
              <c:idx val="0"/>
              <c:layout>
                <c:manualLayout>
                  <c:x val="2.7531123718583638E-3"/>
                  <c:y val="-1.0666860779268783E-2"/>
                </c:manualLayout>
              </c:layout>
              <c:dLblPos val="ctr"/>
              <c:showVal val="1"/>
            </c:dLbl>
            <c:spPr>
              <a:solidFill>
                <a:srgbClr val="8064A2"/>
              </a:solidFill>
            </c:spPr>
            <c:txPr>
              <a:bodyPr/>
              <a:lstStyle/>
              <a:p>
                <a:pPr>
                  <a:defRPr b="1">
                    <a:solidFill>
                      <a:schemeClr val="bg1"/>
                    </a:solidFill>
                  </a:defRPr>
                </a:pPr>
                <a:endParaRPr lang="ru-RU"/>
              </a:p>
            </c:txPr>
            <c:dLblPos val="ctr"/>
            <c:showVal val="1"/>
          </c:dLbls>
          <c:cat>
            <c:numRef>
              <c:f>'установленная мощности'!$C$34:$J$34</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мощности'!$C$39:$J$39</c:f>
              <c:numCache>
                <c:formatCode>0.00</c:formatCode>
                <c:ptCount val="8"/>
                <c:pt idx="0">
                  <c:v>1.0000000000000005E-2</c:v>
                </c:pt>
                <c:pt idx="1">
                  <c:v>1.0000000000000005E-2</c:v>
                </c:pt>
                <c:pt idx="2">
                  <c:v>1.0000000000000005E-2</c:v>
                </c:pt>
                <c:pt idx="3">
                  <c:v>1.0000000000000005E-2</c:v>
                </c:pt>
                <c:pt idx="4">
                  <c:v>2.0000000000000011E-2</c:v>
                </c:pt>
                <c:pt idx="5">
                  <c:v>2.0000000000000011E-2</c:v>
                </c:pt>
                <c:pt idx="6">
                  <c:v>2.0000000000000011E-2</c:v>
                </c:pt>
                <c:pt idx="7">
                  <c:v>2.0000000000000011E-2</c:v>
                </c:pt>
              </c:numCache>
            </c:numRef>
          </c:val>
        </c:ser>
        <c:overlap val="100"/>
        <c:axId val="262443776"/>
        <c:axId val="262445312"/>
      </c:barChart>
      <c:lineChart>
        <c:grouping val="standard"/>
        <c:ser>
          <c:idx val="0"/>
          <c:order val="4"/>
          <c:spPr>
            <a:ln>
              <a:noFill/>
            </a:ln>
          </c:spPr>
          <c:marker>
            <c:symbol val="none"/>
          </c:marker>
          <c:dLbls>
            <c:dLbl>
              <c:idx val="0"/>
              <c:layout>
                <c:manualLayout>
                  <c:x val="-2.5056447013785982E-2"/>
                  <c:y val="-7.105944069142045E-2"/>
                </c:manualLayout>
              </c:layout>
              <c:dLblPos val="r"/>
              <c:showVal val="1"/>
            </c:dLbl>
            <c:dLbl>
              <c:idx val="1"/>
              <c:layout>
                <c:manualLayout>
                  <c:x val="-3.8873100672490453E-2"/>
                  <c:y val="-6.3850758713778169E-2"/>
                </c:manualLayout>
              </c:layout>
              <c:dLblPos val="r"/>
              <c:showVal val="1"/>
            </c:dLbl>
            <c:dLbl>
              <c:idx val="2"/>
              <c:layout>
                <c:manualLayout>
                  <c:x val="-4.7163092867712912E-2"/>
                  <c:y val="-6.3850758713778141E-2"/>
                </c:manualLayout>
              </c:layout>
              <c:dLblPos val="r"/>
              <c:showVal val="1"/>
            </c:dLbl>
            <c:dLbl>
              <c:idx val="3"/>
              <c:layout>
                <c:manualLayout>
                  <c:x val="-3.8873100672490453E-2"/>
                  <c:y val="-5.6642076736135853E-2"/>
                </c:manualLayout>
              </c:layout>
              <c:dLblPos val="r"/>
              <c:showVal val="1"/>
            </c:dLbl>
            <c:dLbl>
              <c:idx val="4"/>
              <c:layout>
                <c:manualLayout>
                  <c:x val="-4.1636431404231476E-2"/>
                  <c:y val="-5.3037735747314713E-2"/>
                </c:manualLayout>
              </c:layout>
              <c:dLblPos val="r"/>
              <c:showVal val="1"/>
            </c:dLbl>
            <c:dLbl>
              <c:idx val="5"/>
              <c:layout>
                <c:manualLayout>
                  <c:x val="-3.8873100672490453E-2"/>
                  <c:y val="-5.6642076736135853E-2"/>
                </c:manualLayout>
              </c:layout>
              <c:dLblPos val="r"/>
              <c:showVal val="1"/>
            </c:dLbl>
            <c:dLbl>
              <c:idx val="6"/>
              <c:layout>
                <c:manualLayout>
                  <c:x val="-3.8873100672490543E-2"/>
                  <c:y val="-5.3037735747314713E-2"/>
                </c:manualLayout>
              </c:layout>
              <c:dLblPos val="r"/>
              <c:showVal val="1"/>
            </c:dLbl>
            <c:txPr>
              <a:bodyPr/>
              <a:lstStyle/>
              <a:p>
                <a:pPr>
                  <a:defRPr sz="1100" b="1"/>
                </a:pPr>
                <a:endParaRPr lang="ru-RU"/>
              </a:p>
            </c:txPr>
            <c:dLblPos val="t"/>
            <c:showVal val="1"/>
          </c:dLbls>
          <c:val>
            <c:numRef>
              <c:f>'установленная мощности'!$C$35:$J$35</c:f>
              <c:numCache>
                <c:formatCode>0.0</c:formatCode>
                <c:ptCount val="8"/>
                <c:pt idx="0">
                  <c:v>223.10999999999999</c:v>
                </c:pt>
                <c:pt idx="1">
                  <c:v>227.81</c:v>
                </c:pt>
                <c:pt idx="2">
                  <c:v>232.70999999999998</c:v>
                </c:pt>
                <c:pt idx="3">
                  <c:v>237.8</c:v>
                </c:pt>
                <c:pt idx="4">
                  <c:v>238.72000000000003</c:v>
                </c:pt>
                <c:pt idx="5">
                  <c:v>239.72</c:v>
                </c:pt>
                <c:pt idx="6">
                  <c:v>238.6</c:v>
                </c:pt>
                <c:pt idx="7">
                  <c:v>237.82000000000045</c:v>
                </c:pt>
              </c:numCache>
            </c:numRef>
          </c:val>
        </c:ser>
        <c:marker val="1"/>
        <c:axId val="262443776"/>
        <c:axId val="262445312"/>
      </c:lineChart>
      <c:catAx>
        <c:axId val="262443776"/>
        <c:scaling>
          <c:orientation val="minMax"/>
        </c:scaling>
        <c:axPos val="b"/>
        <c:numFmt formatCode="General" sourceLinked="1"/>
        <c:tickLblPos val="nextTo"/>
        <c:txPr>
          <a:bodyPr/>
          <a:lstStyle/>
          <a:p>
            <a:pPr>
              <a:defRPr b="1"/>
            </a:pPr>
            <a:endParaRPr lang="ru-RU"/>
          </a:p>
        </c:txPr>
        <c:crossAx val="262445312"/>
        <c:crosses val="autoZero"/>
        <c:auto val="1"/>
        <c:lblAlgn val="ctr"/>
        <c:lblOffset val="100"/>
      </c:catAx>
      <c:valAx>
        <c:axId val="262445312"/>
        <c:scaling>
          <c:orientation val="minMax"/>
        </c:scaling>
        <c:axPos val="l"/>
        <c:majorGridlines/>
        <c:numFmt formatCode="0" sourceLinked="0"/>
        <c:tickLblPos val="nextTo"/>
        <c:crossAx val="262443776"/>
        <c:crosses val="autoZero"/>
        <c:crossBetween val="between"/>
      </c:valAx>
    </c:plotArea>
    <c:legend>
      <c:legendPos val="r"/>
      <c:legendEntry>
        <c:idx val="4"/>
        <c:delete val="1"/>
      </c:legendEntry>
      <c:layout>
        <c:manualLayout>
          <c:xMode val="edge"/>
          <c:yMode val="edge"/>
          <c:x val="9.2363350575501699E-2"/>
          <c:y val="0.91909145511896162"/>
          <c:w val="0.81744719155299839"/>
          <c:h val="7.7428904108069171E-2"/>
        </c:manualLayout>
      </c:layout>
    </c:legend>
    <c:plotVisOnly val="1"/>
    <c:dispBlanksAs val="gap"/>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948808754231765E-2"/>
          <c:y val="5.0926779710011964E-2"/>
          <c:w val="0.86627526224479734"/>
          <c:h val="0.77322961580915961"/>
        </c:manualLayout>
      </c:layout>
      <c:barChart>
        <c:barDir val="col"/>
        <c:grouping val="stacked"/>
        <c:ser>
          <c:idx val="1"/>
          <c:order val="0"/>
          <c:tx>
            <c:strRef>
              <c:f>'установленная мощности'!$B$49</c:f>
              <c:strCache>
                <c:ptCount val="1"/>
                <c:pt idx="0">
                  <c:v>         АЭС (Б.И.)</c:v>
                </c:pt>
              </c:strCache>
            </c:strRef>
          </c:tx>
          <c:spPr>
            <a:solidFill>
              <a:srgbClr val="FFC000"/>
            </a:solidFill>
            <a:ln>
              <a:solidFill>
                <a:srgbClr val="FFC000"/>
              </a:solidFill>
            </a:ln>
          </c:spPr>
          <c:dLbls>
            <c:dLbl>
              <c:idx val="0"/>
              <c:layout>
                <c:manualLayout>
                  <c:x val="-5.5090428902390782E-3"/>
                  <c:y val="-1.1050139845064613E-2"/>
                </c:manualLayout>
              </c:layout>
              <c:showVal val="1"/>
            </c:dLbl>
            <c:txPr>
              <a:bodyPr/>
              <a:lstStyle/>
              <a:p>
                <a:pPr>
                  <a:defRPr b="1"/>
                </a:pPr>
                <a:endParaRPr lang="ru-RU"/>
              </a:p>
            </c:txPr>
            <c:showVal val="1"/>
          </c:dLbls>
          <c:cat>
            <c:numRef>
              <c:f>'установленная мощности'!$C$35:$J$35</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мощности'!$C$49:$J$49</c:f>
              <c:numCache>
                <c:formatCode>0.0</c:formatCode>
                <c:ptCount val="8"/>
                <c:pt idx="0">
                  <c:v>25.3</c:v>
                </c:pt>
                <c:pt idx="1">
                  <c:v>24.3</c:v>
                </c:pt>
                <c:pt idx="2">
                  <c:v>23.099999999999987</c:v>
                </c:pt>
                <c:pt idx="3">
                  <c:v>23.25</c:v>
                </c:pt>
                <c:pt idx="4">
                  <c:v>24.479999999999986</c:v>
                </c:pt>
                <c:pt idx="5">
                  <c:v>24.2</c:v>
                </c:pt>
                <c:pt idx="6">
                  <c:v>23.95</c:v>
                </c:pt>
                <c:pt idx="7">
                  <c:v>23.77</c:v>
                </c:pt>
              </c:numCache>
            </c:numRef>
          </c:val>
        </c:ser>
        <c:ser>
          <c:idx val="2"/>
          <c:order val="1"/>
          <c:tx>
            <c:strRef>
              <c:f>'установленная мощности'!$B$50</c:f>
              <c:strCache>
                <c:ptCount val="1"/>
                <c:pt idx="0">
                  <c:v>         ГЭС + ГАЭС</c:v>
                </c:pt>
              </c:strCache>
            </c:strRef>
          </c:tx>
          <c:spPr>
            <a:solidFill>
              <a:schemeClr val="accent1"/>
            </a:solidFill>
            <a:ln>
              <a:solidFill>
                <a:schemeClr val="accent1"/>
              </a:solidFill>
            </a:ln>
          </c:spPr>
          <c:dLbls>
            <c:txPr>
              <a:bodyPr/>
              <a:lstStyle/>
              <a:p>
                <a:pPr>
                  <a:defRPr b="1"/>
                </a:pPr>
                <a:endParaRPr lang="ru-RU"/>
              </a:p>
            </c:txPr>
            <c:showVal val="1"/>
          </c:dLbls>
          <c:cat>
            <c:numRef>
              <c:f>'установленная мощности'!$C$47:$J$47</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мощности'!$C$50:$J$50</c:f>
              <c:numCache>
                <c:formatCode>0.0</c:formatCode>
                <c:ptCount val="8"/>
                <c:pt idx="0">
                  <c:v>46</c:v>
                </c:pt>
                <c:pt idx="1">
                  <c:v>48.5</c:v>
                </c:pt>
                <c:pt idx="2">
                  <c:v>48.900000000000006</c:v>
                </c:pt>
                <c:pt idx="3">
                  <c:v>49.1</c:v>
                </c:pt>
                <c:pt idx="4">
                  <c:v>49.400000000000006</c:v>
                </c:pt>
                <c:pt idx="5">
                  <c:v>49.800000000000004</c:v>
                </c:pt>
                <c:pt idx="6">
                  <c:v>49.800000000000004</c:v>
                </c:pt>
                <c:pt idx="7">
                  <c:v>49.800000000000004</c:v>
                </c:pt>
              </c:numCache>
            </c:numRef>
          </c:val>
        </c:ser>
        <c:ser>
          <c:idx val="4"/>
          <c:order val="2"/>
          <c:tx>
            <c:strRef>
              <c:f>'установленная мощности'!$B$51</c:f>
              <c:strCache>
                <c:ptCount val="1"/>
                <c:pt idx="0">
                  <c:v>         ТЭС</c:v>
                </c:pt>
              </c:strCache>
            </c:strRef>
          </c:tx>
          <c:spPr>
            <a:solidFill>
              <a:schemeClr val="accent6">
                <a:lumMod val="60000"/>
                <a:lumOff val="40000"/>
              </a:schemeClr>
            </a:solidFill>
            <a:ln>
              <a:solidFill>
                <a:schemeClr val="accent6">
                  <a:lumMod val="40000"/>
                  <a:lumOff val="60000"/>
                </a:schemeClr>
              </a:solidFill>
            </a:ln>
          </c:spPr>
          <c:dLbls>
            <c:txPr>
              <a:bodyPr/>
              <a:lstStyle/>
              <a:p>
                <a:pPr>
                  <a:defRPr b="1"/>
                </a:pPr>
                <a:endParaRPr lang="ru-RU"/>
              </a:p>
            </c:txPr>
            <c:showVal val="1"/>
          </c:dLbls>
          <c:cat>
            <c:numRef>
              <c:f>'установленная мощности'!$C$47:$J$47</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мощности'!$C$51:$J$51</c:f>
              <c:numCache>
                <c:formatCode>0.0</c:formatCode>
                <c:ptCount val="8"/>
                <c:pt idx="0">
                  <c:v>151.80000000000001</c:v>
                </c:pt>
                <c:pt idx="1">
                  <c:v>155</c:v>
                </c:pt>
                <c:pt idx="2">
                  <c:v>158.4</c:v>
                </c:pt>
                <c:pt idx="3">
                  <c:v>161.80000000000001</c:v>
                </c:pt>
                <c:pt idx="4">
                  <c:v>161.30000000000001</c:v>
                </c:pt>
                <c:pt idx="5">
                  <c:v>161.1</c:v>
                </c:pt>
                <c:pt idx="6">
                  <c:v>160</c:v>
                </c:pt>
                <c:pt idx="7">
                  <c:v>159.69999999999999</c:v>
                </c:pt>
              </c:numCache>
            </c:numRef>
          </c:val>
        </c:ser>
        <c:ser>
          <c:idx val="5"/>
          <c:order val="3"/>
          <c:tx>
            <c:strRef>
              <c:f>'установленная мощности'!$B$52</c:f>
              <c:strCache>
                <c:ptCount val="1"/>
                <c:pt idx="0">
                  <c:v>         ВИЭ</c:v>
                </c:pt>
              </c:strCache>
            </c:strRef>
          </c:tx>
          <c:spPr>
            <a:solidFill>
              <a:schemeClr val="accent4"/>
            </a:solidFill>
            <a:ln>
              <a:solidFill>
                <a:schemeClr val="accent4"/>
              </a:solidFill>
            </a:ln>
          </c:spPr>
          <c:dLbls>
            <c:dLbl>
              <c:idx val="0"/>
              <c:layout>
                <c:manualLayout>
                  <c:x val="2.2500450092159752E-3"/>
                  <c:y val="4.9905743138876132E-3"/>
                </c:manualLayout>
              </c:layout>
              <c:dLblPos val="ctr"/>
              <c:showVal val="1"/>
            </c:dLbl>
            <c:spPr>
              <a:solidFill>
                <a:srgbClr val="8064A2"/>
              </a:solidFill>
            </c:spPr>
            <c:txPr>
              <a:bodyPr/>
              <a:lstStyle/>
              <a:p>
                <a:pPr>
                  <a:defRPr b="1">
                    <a:solidFill>
                      <a:schemeClr val="bg1"/>
                    </a:solidFill>
                  </a:defRPr>
                </a:pPr>
                <a:endParaRPr lang="ru-RU"/>
              </a:p>
            </c:txPr>
            <c:dLblPos val="ctr"/>
            <c:showVal val="1"/>
          </c:dLbls>
          <c:cat>
            <c:numRef>
              <c:f>'установленная мощности'!$C$47:$J$47</c:f>
              <c:numCache>
                <c:formatCode>General</c:formatCode>
                <c:ptCount val="8"/>
                <c:pt idx="0">
                  <c:v>2012</c:v>
                </c:pt>
                <c:pt idx="1">
                  <c:v>2013</c:v>
                </c:pt>
                <c:pt idx="2">
                  <c:v>2014</c:v>
                </c:pt>
                <c:pt idx="3">
                  <c:v>2015</c:v>
                </c:pt>
                <c:pt idx="4">
                  <c:v>2016</c:v>
                </c:pt>
                <c:pt idx="5">
                  <c:v>2017</c:v>
                </c:pt>
                <c:pt idx="6">
                  <c:v>2018</c:v>
                </c:pt>
                <c:pt idx="7">
                  <c:v>2019</c:v>
                </c:pt>
              </c:numCache>
            </c:numRef>
          </c:cat>
          <c:val>
            <c:numRef>
              <c:f>'установленная мощности'!$C$52:$J$52</c:f>
              <c:numCache>
                <c:formatCode>0.00</c:formatCode>
                <c:ptCount val="8"/>
                <c:pt idx="0">
                  <c:v>1.0000000000000005E-2</c:v>
                </c:pt>
                <c:pt idx="1">
                  <c:v>1.0000000000000005E-2</c:v>
                </c:pt>
                <c:pt idx="2">
                  <c:v>1.0000000000000005E-2</c:v>
                </c:pt>
                <c:pt idx="3">
                  <c:v>1.0000000000000005E-2</c:v>
                </c:pt>
                <c:pt idx="4">
                  <c:v>2.0000000000000011E-2</c:v>
                </c:pt>
                <c:pt idx="5">
                  <c:v>2.0000000000000011E-2</c:v>
                </c:pt>
                <c:pt idx="6">
                  <c:v>2.0000000000000011E-2</c:v>
                </c:pt>
                <c:pt idx="7">
                  <c:v>2.0000000000000011E-2</c:v>
                </c:pt>
              </c:numCache>
            </c:numRef>
          </c:val>
        </c:ser>
        <c:overlap val="100"/>
        <c:axId val="252761216"/>
        <c:axId val="252762752"/>
      </c:barChart>
      <c:lineChart>
        <c:grouping val="standard"/>
        <c:ser>
          <c:idx val="0"/>
          <c:order val="4"/>
          <c:spPr>
            <a:ln>
              <a:noFill/>
            </a:ln>
          </c:spPr>
          <c:marker>
            <c:symbol val="none"/>
          </c:marker>
          <c:dLbls>
            <c:dLbl>
              <c:idx val="0"/>
              <c:layout>
                <c:manualLayout>
                  <c:x val="-2.5056447013785982E-2"/>
                  <c:y val="-7.105944069142045E-2"/>
                </c:manualLayout>
              </c:layout>
              <c:dLblPos val="r"/>
              <c:showVal val="1"/>
            </c:dLbl>
            <c:dLbl>
              <c:idx val="1"/>
              <c:layout>
                <c:manualLayout>
                  <c:x val="-3.8873100672490474E-2"/>
                  <c:y val="-6.3850758713778169E-2"/>
                </c:manualLayout>
              </c:layout>
              <c:dLblPos val="r"/>
              <c:showVal val="1"/>
            </c:dLbl>
            <c:dLbl>
              <c:idx val="2"/>
              <c:layout>
                <c:manualLayout>
                  <c:x val="-4.7163092867712912E-2"/>
                  <c:y val="-6.3850758713778141E-2"/>
                </c:manualLayout>
              </c:layout>
              <c:dLblPos val="r"/>
              <c:showVal val="1"/>
            </c:dLbl>
            <c:dLbl>
              <c:idx val="3"/>
              <c:layout>
                <c:manualLayout>
                  <c:x val="-3.8873100672490474E-2"/>
                  <c:y val="-5.6642076736135853E-2"/>
                </c:manualLayout>
              </c:layout>
              <c:dLblPos val="r"/>
              <c:showVal val="1"/>
            </c:dLbl>
            <c:dLbl>
              <c:idx val="4"/>
              <c:layout>
                <c:manualLayout>
                  <c:x val="-4.1636431404231511E-2"/>
                  <c:y val="-5.3037735747314713E-2"/>
                </c:manualLayout>
              </c:layout>
              <c:dLblPos val="r"/>
              <c:showVal val="1"/>
            </c:dLbl>
            <c:dLbl>
              <c:idx val="5"/>
              <c:layout>
                <c:manualLayout>
                  <c:x val="-3.8873100672490474E-2"/>
                  <c:y val="-5.6642076736135853E-2"/>
                </c:manualLayout>
              </c:layout>
              <c:dLblPos val="r"/>
              <c:showVal val="1"/>
            </c:dLbl>
            <c:dLbl>
              <c:idx val="6"/>
              <c:layout>
                <c:manualLayout>
                  <c:x val="-3.8873100672490571E-2"/>
                  <c:y val="-5.3037735747314713E-2"/>
                </c:manualLayout>
              </c:layout>
              <c:dLblPos val="r"/>
              <c:showVal val="1"/>
            </c:dLbl>
            <c:txPr>
              <a:bodyPr/>
              <a:lstStyle/>
              <a:p>
                <a:pPr>
                  <a:defRPr sz="1100" b="1"/>
                </a:pPr>
                <a:endParaRPr lang="ru-RU"/>
              </a:p>
            </c:txPr>
            <c:dLblPos val="t"/>
            <c:showVal val="1"/>
          </c:dLbls>
          <c:val>
            <c:numRef>
              <c:f>'установленная мощности'!$C$48:$J$48</c:f>
              <c:numCache>
                <c:formatCode>0.0</c:formatCode>
                <c:ptCount val="8"/>
                <c:pt idx="0">
                  <c:v>223.10999999999999</c:v>
                </c:pt>
                <c:pt idx="1">
                  <c:v>227.81</c:v>
                </c:pt>
                <c:pt idx="2">
                  <c:v>230.41</c:v>
                </c:pt>
                <c:pt idx="3">
                  <c:v>234.16</c:v>
                </c:pt>
                <c:pt idx="4">
                  <c:v>235.20000000000002</c:v>
                </c:pt>
                <c:pt idx="5">
                  <c:v>235.12</c:v>
                </c:pt>
                <c:pt idx="6">
                  <c:v>233.76999999999998</c:v>
                </c:pt>
                <c:pt idx="7">
                  <c:v>233.29</c:v>
                </c:pt>
              </c:numCache>
            </c:numRef>
          </c:val>
        </c:ser>
        <c:ser>
          <c:idx val="3"/>
          <c:order val="5"/>
          <c:spPr>
            <a:ln w="57150">
              <a:solidFill>
                <a:srgbClr val="FF0000"/>
              </a:solidFill>
            </a:ln>
          </c:spPr>
          <c:marker>
            <c:symbol val="none"/>
          </c:marker>
          <c:dLbls>
            <c:dLbl>
              <c:idx val="7"/>
              <c:layout>
                <c:manualLayout>
                  <c:x val="-1.6694830357934929E-2"/>
                  <c:y val="5.6418298423155551E-2"/>
                </c:manualLayout>
              </c:layout>
              <c:spPr/>
              <c:txPr>
                <a:bodyPr/>
                <a:lstStyle/>
                <a:p>
                  <a:pPr>
                    <a:defRPr sz="1800" b="1">
                      <a:solidFill>
                        <a:srgbClr val="FF0000"/>
                      </a:solidFill>
                    </a:defRPr>
                  </a:pPr>
                  <a:endParaRPr lang="ru-RU"/>
                </a:p>
              </c:txPr>
              <c:showVal val="1"/>
            </c:dLbl>
            <c:delete val="1"/>
            <c:txPr>
              <a:bodyPr/>
              <a:lstStyle/>
              <a:p>
                <a:pPr>
                  <a:defRPr sz="1800">
                    <a:solidFill>
                      <a:srgbClr val="FF0000"/>
                    </a:solidFill>
                  </a:defRPr>
                </a:pPr>
                <a:endParaRPr lang="ru-RU"/>
              </a:p>
            </c:txPr>
          </c:dLbls>
          <c:val>
            <c:numRef>
              <c:f>'установленная мощности'!$C$53:$J$53</c:f>
              <c:numCache>
                <c:formatCode>General</c:formatCode>
                <c:ptCount val="8"/>
                <c:pt idx="0">
                  <c:v>223</c:v>
                </c:pt>
                <c:pt idx="1">
                  <c:v>223.25714285714287</c:v>
                </c:pt>
                <c:pt idx="2">
                  <c:v>223.51428571428531</c:v>
                </c:pt>
                <c:pt idx="3">
                  <c:v>223.7714285714286</c:v>
                </c:pt>
                <c:pt idx="4">
                  <c:v>224.02857142857138</c:v>
                </c:pt>
                <c:pt idx="5">
                  <c:v>224.28571428571433</c:v>
                </c:pt>
                <c:pt idx="6">
                  <c:v>224.54285714285712</c:v>
                </c:pt>
                <c:pt idx="7">
                  <c:v>224.8</c:v>
                </c:pt>
              </c:numCache>
            </c:numRef>
          </c:val>
        </c:ser>
        <c:marker val="1"/>
        <c:axId val="252761216"/>
        <c:axId val="252762752"/>
      </c:lineChart>
      <c:catAx>
        <c:axId val="252761216"/>
        <c:scaling>
          <c:orientation val="minMax"/>
        </c:scaling>
        <c:axPos val="b"/>
        <c:numFmt formatCode="General" sourceLinked="1"/>
        <c:tickLblPos val="nextTo"/>
        <c:txPr>
          <a:bodyPr/>
          <a:lstStyle/>
          <a:p>
            <a:pPr>
              <a:defRPr b="1"/>
            </a:pPr>
            <a:endParaRPr lang="ru-RU"/>
          </a:p>
        </c:txPr>
        <c:crossAx val="252762752"/>
        <c:crosses val="autoZero"/>
        <c:auto val="1"/>
        <c:lblAlgn val="ctr"/>
        <c:lblOffset val="100"/>
      </c:catAx>
      <c:valAx>
        <c:axId val="252762752"/>
        <c:scaling>
          <c:orientation val="minMax"/>
        </c:scaling>
        <c:axPos val="l"/>
        <c:majorGridlines/>
        <c:numFmt formatCode="0" sourceLinked="0"/>
        <c:tickLblPos val="nextTo"/>
        <c:crossAx val="252761216"/>
        <c:crosses val="autoZero"/>
        <c:crossBetween val="between"/>
      </c:valAx>
    </c:plotArea>
    <c:legend>
      <c:legendPos val="r"/>
      <c:legendEntry>
        <c:idx val="4"/>
        <c:delete val="1"/>
      </c:legendEntry>
      <c:legendEntry>
        <c:idx val="5"/>
        <c:delete val="1"/>
      </c:legendEntry>
      <c:layout>
        <c:manualLayout>
          <c:xMode val="edge"/>
          <c:yMode val="edge"/>
          <c:x val="9.2363350575501699E-2"/>
          <c:y val="0.9126754323147892"/>
          <c:w val="0.81536491975470049"/>
          <c:h val="8.7324567685216764E-2"/>
        </c:manualLayout>
      </c:layout>
    </c:legend>
    <c:plotVisOnly val="1"/>
    <c:dispBlanksAs val="gap"/>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714285714285715E-2"/>
          <c:y val="5.9952038369304572E-2"/>
          <c:w val="0.9"/>
          <c:h val="0.67386091127098635"/>
        </c:manualLayout>
      </c:layout>
      <c:barChart>
        <c:barDir val="col"/>
        <c:grouping val="clustered"/>
        <c:ser>
          <c:idx val="2"/>
          <c:order val="0"/>
          <c:tx>
            <c:strRef>
              <c:f>Sheet1!$A$2</c:f>
              <c:strCache>
                <c:ptCount val="1"/>
                <c:pt idx="0">
                  <c:v>Спрос на мощность</c:v>
                </c:pt>
              </c:strCache>
            </c:strRef>
          </c:tx>
          <c:spPr>
            <a:solidFill>
              <a:srgbClr val="FF99CC"/>
            </a:solidFill>
            <a:ln w="17400">
              <a:solidFill>
                <a:schemeClr val="tx1"/>
              </a:solidFill>
              <a:prstDash val="solid"/>
            </a:ln>
          </c:spPr>
          <c:dLbls>
            <c:numFmt formatCode="0" sourceLinked="0"/>
            <c:spPr>
              <a:noFill/>
              <a:ln w="34799">
                <a:noFill/>
              </a:ln>
            </c:spPr>
            <c:txPr>
              <a:bodyPr/>
              <a:lstStyle/>
              <a:p>
                <a:pPr>
                  <a:defRPr sz="1918" b="1" i="0" u="none" strike="noStrike" baseline="0">
                    <a:solidFill>
                      <a:schemeClr val="tx1"/>
                    </a:solidFill>
                    <a:latin typeface="Arial"/>
                    <a:ea typeface="Arial"/>
                    <a:cs typeface="Arial"/>
                  </a:defRPr>
                </a:pPr>
                <a:endParaRPr lang="ru-RU"/>
              </a:p>
            </c:txPr>
            <c:showVal val="1"/>
          </c:dLbls>
          <c:cat>
            <c:strRef>
              <c:f>Sheet1!$B$1:$D$1</c:f>
              <c:strCache>
                <c:ptCount val="3"/>
                <c:pt idx="0">
                  <c:v>2018г. Прогноз Минэнерго 2012г.</c:v>
                </c:pt>
                <c:pt idx="1">
                  <c:v>2019 г. Прогноз Минэнерго 2013 г.</c:v>
                </c:pt>
                <c:pt idx="2">
                  <c:v>2019 г. Прогноз СПЭ 2013</c:v>
                </c:pt>
              </c:strCache>
            </c:strRef>
          </c:cat>
          <c:val>
            <c:numRef>
              <c:f>Sheet1!$B$2:$D$2</c:f>
              <c:numCache>
                <c:formatCode>General</c:formatCode>
                <c:ptCount val="3"/>
                <c:pt idx="0">
                  <c:v>214</c:v>
                </c:pt>
                <c:pt idx="1">
                  <c:v>216</c:v>
                </c:pt>
                <c:pt idx="2">
                  <c:v>203</c:v>
                </c:pt>
              </c:numCache>
            </c:numRef>
          </c:val>
        </c:ser>
        <c:ser>
          <c:idx val="0"/>
          <c:order val="1"/>
          <c:tx>
            <c:strRef>
              <c:f>Sheet1!$A$3</c:f>
              <c:strCache>
                <c:ptCount val="1"/>
                <c:pt idx="0">
                  <c:v>Располагаемая мощность</c:v>
                </c:pt>
              </c:strCache>
            </c:strRef>
          </c:tx>
          <c:spPr>
            <a:solidFill>
              <a:srgbClr val="99CCFF"/>
            </a:solidFill>
            <a:ln w="17400">
              <a:solidFill>
                <a:schemeClr val="tx1"/>
              </a:solidFill>
              <a:prstDash val="solid"/>
            </a:ln>
          </c:spPr>
          <c:dLbls>
            <c:numFmt formatCode="0" sourceLinked="0"/>
            <c:spPr>
              <a:noFill/>
              <a:ln w="34799">
                <a:noFill/>
              </a:ln>
            </c:spPr>
            <c:txPr>
              <a:bodyPr/>
              <a:lstStyle/>
              <a:p>
                <a:pPr>
                  <a:defRPr sz="1918" b="1" i="0" u="none" strike="noStrike" baseline="0">
                    <a:solidFill>
                      <a:schemeClr val="tx1"/>
                    </a:solidFill>
                    <a:latin typeface="Arial"/>
                    <a:ea typeface="Arial"/>
                    <a:cs typeface="Arial"/>
                  </a:defRPr>
                </a:pPr>
                <a:endParaRPr lang="ru-RU"/>
              </a:p>
            </c:txPr>
            <c:showVal val="1"/>
          </c:dLbls>
          <c:cat>
            <c:strRef>
              <c:f>Sheet1!$B$1:$D$1</c:f>
              <c:strCache>
                <c:ptCount val="3"/>
                <c:pt idx="0">
                  <c:v>2018г. Прогноз Минэнерго 2012г.</c:v>
                </c:pt>
                <c:pt idx="1">
                  <c:v>2019 г. Прогноз Минэнерго 2013 г.</c:v>
                </c:pt>
                <c:pt idx="2">
                  <c:v>2019 г. Прогноз СПЭ 2013</c:v>
                </c:pt>
              </c:strCache>
            </c:strRef>
          </c:cat>
          <c:val>
            <c:numRef>
              <c:f>Sheet1!$B$3:$D$3</c:f>
              <c:numCache>
                <c:formatCode>General</c:formatCode>
                <c:ptCount val="3"/>
                <c:pt idx="0">
                  <c:v>229.6</c:v>
                </c:pt>
                <c:pt idx="1">
                  <c:v>221.2</c:v>
                </c:pt>
                <c:pt idx="2">
                  <c:v>216.7</c:v>
                </c:pt>
              </c:numCache>
            </c:numRef>
          </c:val>
        </c:ser>
        <c:ser>
          <c:idx val="3"/>
          <c:order val="2"/>
          <c:tx>
            <c:strRef>
              <c:f>Sheet1!$A$4</c:f>
              <c:strCache>
                <c:ptCount val="1"/>
                <c:pt idx="0">
                  <c:v>Установленная мощность</c:v>
                </c:pt>
              </c:strCache>
            </c:strRef>
          </c:tx>
          <c:spPr>
            <a:solidFill>
              <a:srgbClr val="3366FF"/>
            </a:solidFill>
            <a:ln w="17400">
              <a:solidFill>
                <a:schemeClr val="tx1"/>
              </a:solidFill>
              <a:prstDash val="solid"/>
            </a:ln>
          </c:spPr>
          <c:dLbls>
            <c:numFmt formatCode="0" sourceLinked="0"/>
            <c:spPr>
              <a:noFill/>
              <a:ln w="34799">
                <a:noFill/>
              </a:ln>
            </c:spPr>
            <c:txPr>
              <a:bodyPr/>
              <a:lstStyle/>
              <a:p>
                <a:pPr>
                  <a:defRPr sz="1918" b="1" i="0" u="none" strike="noStrike" baseline="0">
                    <a:solidFill>
                      <a:schemeClr val="tx1"/>
                    </a:solidFill>
                    <a:latin typeface="Arial"/>
                    <a:ea typeface="Arial"/>
                    <a:cs typeface="Arial"/>
                  </a:defRPr>
                </a:pPr>
                <a:endParaRPr lang="ru-RU"/>
              </a:p>
            </c:txPr>
            <c:showVal val="1"/>
          </c:dLbls>
          <c:cat>
            <c:strRef>
              <c:f>Sheet1!$B$1:$D$1</c:f>
              <c:strCache>
                <c:ptCount val="3"/>
                <c:pt idx="0">
                  <c:v>2018г. Прогноз Минэнерго 2012г.</c:v>
                </c:pt>
                <c:pt idx="1">
                  <c:v>2019 г. Прогноз Минэнерго 2013 г.</c:v>
                </c:pt>
                <c:pt idx="2">
                  <c:v>2019 г. Прогноз СПЭ 2013</c:v>
                </c:pt>
              </c:strCache>
            </c:strRef>
          </c:cat>
          <c:val>
            <c:numRef>
              <c:f>Sheet1!$B$4:$D$4</c:f>
              <c:numCache>
                <c:formatCode>General</c:formatCode>
                <c:ptCount val="3"/>
                <c:pt idx="0">
                  <c:v>248</c:v>
                </c:pt>
                <c:pt idx="1">
                  <c:v>237.8</c:v>
                </c:pt>
                <c:pt idx="2">
                  <c:v>225</c:v>
                </c:pt>
              </c:numCache>
            </c:numRef>
          </c:val>
        </c:ser>
        <c:axId val="263680768"/>
        <c:axId val="263682304"/>
      </c:barChart>
      <c:catAx>
        <c:axId val="263680768"/>
        <c:scaling>
          <c:orientation val="minMax"/>
        </c:scaling>
        <c:axPos val="b"/>
        <c:numFmt formatCode="General" sourceLinked="1"/>
        <c:tickLblPos val="nextTo"/>
        <c:spPr>
          <a:ln w="4350">
            <a:solidFill>
              <a:schemeClr val="tx1"/>
            </a:solidFill>
            <a:prstDash val="solid"/>
          </a:ln>
        </c:spPr>
        <c:txPr>
          <a:bodyPr rot="0" vert="horz"/>
          <a:lstStyle/>
          <a:p>
            <a:pPr>
              <a:defRPr sz="1644" b="1" i="0" u="none" strike="noStrike" baseline="0">
                <a:solidFill>
                  <a:schemeClr val="tx1"/>
                </a:solidFill>
                <a:latin typeface="Arial"/>
                <a:ea typeface="Arial"/>
                <a:cs typeface="Arial"/>
              </a:defRPr>
            </a:pPr>
            <a:endParaRPr lang="ru-RU"/>
          </a:p>
        </c:txPr>
        <c:crossAx val="263682304"/>
        <c:crosses val="autoZero"/>
        <c:auto val="1"/>
        <c:lblAlgn val="ctr"/>
        <c:lblOffset val="100"/>
        <c:tickLblSkip val="1"/>
        <c:tickMarkSkip val="1"/>
      </c:catAx>
      <c:valAx>
        <c:axId val="263682304"/>
        <c:scaling>
          <c:orientation val="minMax"/>
          <c:min val="150"/>
        </c:scaling>
        <c:axPos val="l"/>
        <c:majorGridlines>
          <c:spPr>
            <a:ln w="4350">
              <a:solidFill>
                <a:schemeClr val="tx1"/>
              </a:solidFill>
              <a:prstDash val="solid"/>
            </a:ln>
          </c:spPr>
        </c:majorGridlines>
        <c:numFmt formatCode="General" sourceLinked="1"/>
        <c:tickLblPos val="nextTo"/>
        <c:spPr>
          <a:ln w="4350">
            <a:solidFill>
              <a:schemeClr val="tx1"/>
            </a:solidFill>
            <a:prstDash val="solid"/>
          </a:ln>
        </c:spPr>
        <c:txPr>
          <a:bodyPr rot="0" vert="horz"/>
          <a:lstStyle/>
          <a:p>
            <a:pPr>
              <a:defRPr sz="1644" b="1" i="0" u="none" strike="noStrike" baseline="0">
                <a:solidFill>
                  <a:schemeClr val="tx1"/>
                </a:solidFill>
                <a:latin typeface="Arial"/>
                <a:ea typeface="Arial"/>
                <a:cs typeface="Arial"/>
              </a:defRPr>
            </a:pPr>
            <a:endParaRPr lang="ru-RU"/>
          </a:p>
        </c:txPr>
        <c:crossAx val="263680768"/>
        <c:crosses val="autoZero"/>
        <c:crossBetween val="between"/>
      </c:valAx>
      <c:spPr>
        <a:noFill/>
        <a:ln w="17400">
          <a:solidFill>
            <a:schemeClr val="tx1"/>
          </a:solidFill>
          <a:prstDash val="solid"/>
        </a:ln>
      </c:spPr>
    </c:plotArea>
    <c:legend>
      <c:legendPos val="b"/>
      <c:layout>
        <c:manualLayout>
          <c:xMode val="edge"/>
          <c:yMode val="edge"/>
          <c:x val="5.3968206804338371E-2"/>
          <c:y val="0.9016785461059077"/>
          <c:w val="0.93174598458211655"/>
          <c:h val="9.1127116219477444E-2"/>
        </c:manualLayout>
      </c:layout>
      <c:spPr>
        <a:noFill/>
        <a:ln w="4350">
          <a:solidFill>
            <a:schemeClr val="tx1"/>
          </a:solidFill>
          <a:prstDash val="solid"/>
        </a:ln>
      </c:spPr>
      <c:txPr>
        <a:bodyPr/>
        <a:lstStyle/>
        <a:p>
          <a:pPr>
            <a:defRPr sz="1260" b="1" i="0" u="none" strike="noStrike" baseline="0">
              <a:solidFill>
                <a:schemeClr val="tx1"/>
              </a:solidFill>
              <a:latin typeface="Arial"/>
              <a:ea typeface="Arial"/>
              <a:cs typeface="Arial"/>
            </a:defRPr>
          </a:pPr>
          <a:endParaRPr lang="ru-RU"/>
        </a:p>
      </c:txPr>
    </c:legend>
    <c:plotVisOnly val="1"/>
    <c:dispBlanksAs val="gap"/>
  </c:chart>
  <c:spPr>
    <a:noFill/>
    <a:ln>
      <a:noFill/>
    </a:ln>
  </c:spPr>
  <c:txPr>
    <a:bodyPr/>
    <a:lstStyle/>
    <a:p>
      <a:pPr>
        <a:defRPr sz="2466" b="1" i="0" u="none" strike="noStrike" baseline="0">
          <a:solidFill>
            <a:schemeClr val="tx1"/>
          </a:solidFill>
          <a:latin typeface="Arial"/>
          <a:ea typeface="Arial"/>
          <a:cs typeface="Arial"/>
        </a:defRPr>
      </a:pPr>
      <a:endParaRPr lang="ru-RU"/>
    </a:p>
  </c:tx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Лист1!$A$2</c:f>
              <c:strCache>
                <c:ptCount val="1"/>
                <c:pt idx="0">
                  <c:v>Факт Энергосетьпроект</c:v>
                </c:pt>
              </c:strCache>
            </c:strRef>
          </c:tx>
          <c:spPr>
            <a:solidFill>
              <a:schemeClr val="accent4">
                <a:lumMod val="60000"/>
                <a:lumOff val="40000"/>
              </a:schemeClr>
            </a:solidFill>
          </c:spPr>
          <c:dLbls>
            <c:showVal val="1"/>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Лист1!$B$2:$J$2</c:f>
              <c:numCache>
                <c:formatCode>General</c:formatCode>
                <c:ptCount val="9"/>
                <c:pt idx="0">
                  <c:v>2.5</c:v>
                </c:pt>
              </c:numCache>
            </c:numRef>
          </c:val>
        </c:ser>
        <c:ser>
          <c:idx val="1"/>
          <c:order val="1"/>
          <c:tx>
            <c:strRef>
              <c:f>Лист1!$A$3</c:f>
              <c:strCache>
                <c:ptCount val="1"/>
                <c:pt idx="0">
                  <c:v>Факт ФСК</c:v>
                </c:pt>
              </c:strCache>
            </c:strRef>
          </c:tx>
          <c:spPr>
            <a:solidFill>
              <a:schemeClr val="accent1">
                <a:lumMod val="60000"/>
                <a:lumOff val="40000"/>
              </a:schemeClr>
            </a:solidFill>
          </c:spPr>
          <c:dLbls>
            <c:showVal val="1"/>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Лист1!$B$3:$J$3</c:f>
              <c:numCache>
                <c:formatCode>General</c:formatCode>
                <c:ptCount val="9"/>
                <c:pt idx="0">
                  <c:v>3.05</c:v>
                </c:pt>
                <c:pt idx="1">
                  <c:v>4.5</c:v>
                </c:pt>
              </c:numCache>
            </c:numRef>
          </c:val>
        </c:ser>
        <c:ser>
          <c:idx val="2"/>
          <c:order val="2"/>
          <c:tx>
            <c:strRef>
              <c:f>Лист1!$A$4</c:f>
              <c:strCache>
                <c:ptCount val="1"/>
                <c:pt idx="0">
                  <c:v>Вводы Минэнерго, 2011г.</c:v>
                </c:pt>
              </c:strCache>
            </c:strRef>
          </c:tx>
          <c:spPr>
            <a:solidFill>
              <a:srgbClr val="36F901"/>
            </a:solidFill>
          </c:spPr>
          <c:dLbls>
            <c:dLbl>
              <c:idx val="0"/>
              <c:layout>
                <c:manualLayout>
                  <c:x val="5.3547515901222961E-3"/>
                  <c:y val="6.1728395061728392E-3"/>
                </c:manualLayout>
              </c:layout>
              <c:showVal val="1"/>
            </c:dLbl>
            <c:showVal val="1"/>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Лист1!$B$4:$J$4</c:f>
              <c:numCache>
                <c:formatCode>General</c:formatCode>
                <c:ptCount val="9"/>
                <c:pt idx="0">
                  <c:v>4.4000000000000004</c:v>
                </c:pt>
                <c:pt idx="1">
                  <c:v>7.7</c:v>
                </c:pt>
                <c:pt idx="2">
                  <c:v>8.5</c:v>
                </c:pt>
                <c:pt idx="3">
                  <c:v>7.5</c:v>
                </c:pt>
                <c:pt idx="4">
                  <c:v>4.5</c:v>
                </c:pt>
                <c:pt idx="5">
                  <c:v>8.4</c:v>
                </c:pt>
                <c:pt idx="6">
                  <c:v>4.0999999999999996</c:v>
                </c:pt>
              </c:numCache>
            </c:numRef>
          </c:val>
        </c:ser>
        <c:ser>
          <c:idx val="3"/>
          <c:order val="3"/>
          <c:tx>
            <c:strRef>
              <c:f>Лист1!$A$5</c:f>
              <c:strCache>
                <c:ptCount val="1"/>
                <c:pt idx="0">
                  <c:v>Вводы Минэнерго, 2012г. </c:v>
                </c:pt>
              </c:strCache>
            </c:strRef>
          </c:tx>
          <c:spPr>
            <a:solidFill>
              <a:srgbClr val="FF0000"/>
            </a:solidFill>
          </c:spPr>
          <c:dLbls>
            <c:dLbl>
              <c:idx val="1"/>
              <c:layout>
                <c:manualLayout>
                  <c:x val="7.1396687868297741E-3"/>
                  <c:y val="1.851851851851858E-2"/>
                </c:manualLayout>
              </c:layout>
              <c:showVal val="1"/>
            </c:dLbl>
            <c:dLbl>
              <c:idx val="2"/>
              <c:layout>
                <c:manualLayout>
                  <c:x val="3.2723103919547964E-17"/>
                  <c:y val="3.0861767279090268E-3"/>
                </c:manualLayout>
              </c:layout>
              <c:showVal val="1"/>
            </c:dLbl>
            <c:dLbl>
              <c:idx val="3"/>
              <c:layout>
                <c:manualLayout>
                  <c:x val="1.2494420376952061E-2"/>
                  <c:y val="6.1728395061728392E-3"/>
                </c:manualLayout>
              </c:layout>
              <c:showVal val="1"/>
            </c:dLbl>
            <c:showVal val="1"/>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Лист1!$B$5:$J$5</c:f>
              <c:numCache>
                <c:formatCode>General</c:formatCode>
                <c:ptCount val="9"/>
                <c:pt idx="1">
                  <c:v>6.75</c:v>
                </c:pt>
                <c:pt idx="2">
                  <c:v>3.88</c:v>
                </c:pt>
                <c:pt idx="3">
                  <c:v>6.67</c:v>
                </c:pt>
                <c:pt idx="4">
                  <c:v>11.16</c:v>
                </c:pt>
                <c:pt idx="5">
                  <c:v>6.25</c:v>
                </c:pt>
                <c:pt idx="6">
                  <c:v>6.38</c:v>
                </c:pt>
                <c:pt idx="7">
                  <c:v>2.9</c:v>
                </c:pt>
              </c:numCache>
            </c:numRef>
          </c:val>
        </c:ser>
        <c:ser>
          <c:idx val="4"/>
          <c:order val="4"/>
          <c:tx>
            <c:strRef>
              <c:f>Лист1!$A$7</c:f>
              <c:strCache>
                <c:ptCount val="1"/>
                <c:pt idx="0">
                  <c:v>Вводы, прогноз Минэнерго 2013</c:v>
                </c:pt>
              </c:strCache>
            </c:strRef>
          </c:tx>
          <c:spPr>
            <a:solidFill>
              <a:srgbClr val="00B0F0"/>
            </a:solidFill>
          </c:spPr>
          <c:dLbls>
            <c:dLbl>
              <c:idx val="3"/>
              <c:layout>
                <c:manualLayout>
                  <c:x val="1.784917196707432E-2"/>
                  <c:y val="3.3950617283950615E-2"/>
                </c:manualLayout>
              </c:layout>
              <c:showVal val="1"/>
            </c:dLbl>
            <c:dLbl>
              <c:idx val="6"/>
              <c:layout>
                <c:manualLayout>
                  <c:x val="7.1396687868297741E-3"/>
                  <c:y val="1.2345679012345723E-2"/>
                </c:manualLayout>
              </c:layout>
              <c:showVal val="1"/>
            </c:dLbl>
            <c:showVal val="1"/>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Лист1!$B$7:$J$7</c:f>
              <c:numCache>
                <c:formatCode>General</c:formatCode>
                <c:ptCount val="9"/>
                <c:pt idx="2">
                  <c:v>5.7</c:v>
                </c:pt>
                <c:pt idx="3">
                  <c:v>6.6</c:v>
                </c:pt>
                <c:pt idx="4">
                  <c:v>7.1</c:v>
                </c:pt>
                <c:pt idx="5">
                  <c:v>4.3</c:v>
                </c:pt>
                <c:pt idx="6">
                  <c:v>6.2</c:v>
                </c:pt>
                <c:pt idx="7">
                  <c:v>5.6</c:v>
                </c:pt>
                <c:pt idx="8">
                  <c:v>5.2</c:v>
                </c:pt>
              </c:numCache>
            </c:numRef>
          </c:val>
        </c:ser>
        <c:ser>
          <c:idx val="5"/>
          <c:order val="5"/>
          <c:tx>
            <c:strRef>
              <c:f>Лист1!$A$6</c:f>
              <c:strCache>
                <c:ptCount val="1"/>
                <c:pt idx="0">
                  <c:v>Вводы, прогноз СПЭ, 2013г.</c:v>
                </c:pt>
              </c:strCache>
            </c:strRef>
          </c:tx>
          <c:spPr>
            <a:solidFill>
              <a:srgbClr val="663300"/>
            </a:solidFill>
          </c:spPr>
          <c:dLbls>
            <c:dLbl>
              <c:idx val="2"/>
              <c:layout>
                <c:manualLayout>
                  <c:x val="1.0709503180244592E-2"/>
                  <c:y val="1.2345679012345723E-2"/>
                </c:manualLayout>
              </c:layout>
              <c:showVal val="1"/>
            </c:dLbl>
            <c:dLbl>
              <c:idx val="5"/>
              <c:layout>
                <c:manualLayout>
                  <c:x val="1.6064254770366888E-2"/>
                  <c:y val="1.851851851851858E-2"/>
                </c:manualLayout>
              </c:layout>
              <c:showVal val="1"/>
            </c:dLbl>
            <c:dLbl>
              <c:idx val="6"/>
              <c:layout>
                <c:manualLayout>
                  <c:x val="1.6064254770366822E-2"/>
                  <c:y val="1.5432098765432148E-2"/>
                </c:manualLayout>
              </c:layout>
              <c:showVal val="1"/>
            </c:dLbl>
            <c:dLbl>
              <c:idx val="7"/>
              <c:layout>
                <c:manualLayout>
                  <c:x val="1.2494420376952043E-2"/>
                  <c:y val="6.1728395061728392E-3"/>
                </c:manualLayout>
              </c:layout>
              <c:showVal val="1"/>
            </c:dLbl>
            <c:dLbl>
              <c:idx val="8"/>
              <c:layout>
                <c:manualLayout>
                  <c:x val="8.9245859835371723E-3"/>
                  <c:y val="3.0864197530864326E-3"/>
                </c:manualLayout>
              </c:layout>
              <c:showVal val="1"/>
            </c:dLbl>
            <c:showVal val="1"/>
          </c:dLbls>
          <c:cat>
            <c:numRef>
              <c:f>Лист1!$B$1:$J$1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Лист1!$B$6:$J$6</c:f>
              <c:numCache>
                <c:formatCode>General</c:formatCode>
                <c:ptCount val="9"/>
                <c:pt idx="0">
                  <c:v>2.8</c:v>
                </c:pt>
                <c:pt idx="1">
                  <c:v>4.2699999999999996</c:v>
                </c:pt>
                <c:pt idx="2" formatCode="_-* #,##0.00_р_._-;\-* #,##0.00_р_._-;_-* &quot;-&quot;??_р_._-;_-@_-">
                  <c:v>3.9899999999999998</c:v>
                </c:pt>
                <c:pt idx="3">
                  <c:v>4.6199999999999966</c:v>
                </c:pt>
                <c:pt idx="4">
                  <c:v>4.9700000000000024</c:v>
                </c:pt>
                <c:pt idx="5">
                  <c:v>3.01</c:v>
                </c:pt>
                <c:pt idx="6">
                  <c:v>4.34</c:v>
                </c:pt>
                <c:pt idx="7">
                  <c:v>3.92</c:v>
                </c:pt>
                <c:pt idx="8">
                  <c:v>3.64</c:v>
                </c:pt>
              </c:numCache>
            </c:numRef>
          </c:val>
        </c:ser>
        <c:axId val="263855488"/>
        <c:axId val="263885952"/>
      </c:barChart>
      <c:catAx>
        <c:axId val="263855488"/>
        <c:scaling>
          <c:orientation val="minMax"/>
        </c:scaling>
        <c:axPos val="b"/>
        <c:numFmt formatCode="General" sourceLinked="1"/>
        <c:tickLblPos val="nextTo"/>
        <c:crossAx val="263885952"/>
        <c:crosses val="autoZero"/>
        <c:auto val="1"/>
        <c:lblAlgn val="ctr"/>
        <c:lblOffset val="100"/>
      </c:catAx>
      <c:valAx>
        <c:axId val="263885952"/>
        <c:scaling>
          <c:orientation val="minMax"/>
        </c:scaling>
        <c:axPos val="l"/>
        <c:majorGridlines/>
        <c:numFmt formatCode="General" sourceLinked="1"/>
        <c:tickLblPos val="nextTo"/>
        <c:crossAx val="263855488"/>
        <c:crosses val="autoZero"/>
        <c:crossBetween val="between"/>
      </c:valAx>
    </c:plotArea>
    <c:legend>
      <c:legendPos val="b"/>
    </c:legend>
    <c:plotVisOnly val="1"/>
  </c:chart>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Лист1!$A$33</c:f>
              <c:strCache>
                <c:ptCount val="1"/>
                <c:pt idx="0">
                  <c:v>Факт Энергосетьпроект</c:v>
                </c:pt>
              </c:strCache>
            </c:strRef>
          </c:tx>
          <c:spPr>
            <a:solidFill>
              <a:schemeClr val="accent4">
                <a:lumMod val="60000"/>
                <a:lumOff val="40000"/>
              </a:schemeClr>
            </a:solidFill>
          </c:spPr>
          <c:dLbls>
            <c:showVal val="1"/>
          </c:dLbls>
          <c:cat>
            <c:numRef>
              <c:f>Лист1!$B$32:$J$32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Лист1!$B$33:$J$33</c:f>
              <c:numCache>
                <c:formatCode>General</c:formatCode>
                <c:ptCount val="9"/>
                <c:pt idx="0">
                  <c:v>16.2</c:v>
                </c:pt>
              </c:numCache>
            </c:numRef>
          </c:val>
        </c:ser>
        <c:ser>
          <c:idx val="1"/>
          <c:order val="1"/>
          <c:tx>
            <c:strRef>
              <c:f>Лист1!$A$34</c:f>
              <c:strCache>
                <c:ptCount val="1"/>
                <c:pt idx="0">
                  <c:v>Факт ФСК</c:v>
                </c:pt>
              </c:strCache>
            </c:strRef>
          </c:tx>
          <c:spPr>
            <a:solidFill>
              <a:schemeClr val="accent1">
                <a:lumMod val="60000"/>
                <a:lumOff val="40000"/>
              </a:schemeClr>
            </a:solidFill>
          </c:spPr>
          <c:dLbls>
            <c:showVal val="1"/>
          </c:dLbls>
          <c:cat>
            <c:numRef>
              <c:f>Лист1!$B$32:$J$32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Лист1!$B$34:$J$34</c:f>
              <c:numCache>
                <c:formatCode>General</c:formatCode>
                <c:ptCount val="9"/>
                <c:pt idx="0">
                  <c:v>18.100000000000001</c:v>
                </c:pt>
                <c:pt idx="1">
                  <c:v>18.5</c:v>
                </c:pt>
              </c:numCache>
            </c:numRef>
          </c:val>
        </c:ser>
        <c:ser>
          <c:idx val="2"/>
          <c:order val="2"/>
          <c:tx>
            <c:strRef>
              <c:f>Лист1!$A$35</c:f>
              <c:strCache>
                <c:ptCount val="1"/>
                <c:pt idx="0">
                  <c:v>Вводы Минэнерго, 2011г.</c:v>
                </c:pt>
              </c:strCache>
            </c:strRef>
          </c:tx>
          <c:spPr>
            <a:solidFill>
              <a:srgbClr val="36F901"/>
            </a:solidFill>
          </c:spPr>
          <c:dLbls>
            <c:showVal val="1"/>
          </c:dLbls>
          <c:cat>
            <c:numRef>
              <c:f>Лист1!$B$32:$J$32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Лист1!$B$35:$J$35</c:f>
              <c:numCache>
                <c:formatCode>General</c:formatCode>
                <c:ptCount val="9"/>
                <c:pt idx="0">
                  <c:v>24.9</c:v>
                </c:pt>
                <c:pt idx="1">
                  <c:v>26.4</c:v>
                </c:pt>
                <c:pt idx="2" formatCode="0.0">
                  <c:v>20.630000000000031</c:v>
                </c:pt>
                <c:pt idx="3">
                  <c:v>23.4</c:v>
                </c:pt>
                <c:pt idx="4">
                  <c:v>24.4</c:v>
                </c:pt>
                <c:pt idx="5">
                  <c:v>20.7</c:v>
                </c:pt>
                <c:pt idx="6" formatCode="0.0">
                  <c:v>11.729999999999999</c:v>
                </c:pt>
              </c:numCache>
            </c:numRef>
          </c:val>
        </c:ser>
        <c:ser>
          <c:idx val="3"/>
          <c:order val="3"/>
          <c:tx>
            <c:strRef>
              <c:f>Лист1!$A$36</c:f>
              <c:strCache>
                <c:ptCount val="1"/>
                <c:pt idx="0">
                  <c:v>Вводы Минэнерго, 2012г. </c:v>
                </c:pt>
              </c:strCache>
            </c:strRef>
          </c:tx>
          <c:spPr>
            <a:solidFill>
              <a:srgbClr val="FF0000"/>
            </a:solidFill>
          </c:spPr>
          <c:dLbls>
            <c:showVal val="1"/>
          </c:dLbls>
          <c:cat>
            <c:numRef>
              <c:f>Лист1!$B$32:$J$32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Лист1!$B$36:$J$36</c:f>
              <c:numCache>
                <c:formatCode>0.0</c:formatCode>
                <c:ptCount val="9"/>
                <c:pt idx="1">
                  <c:v>22.74</c:v>
                </c:pt>
                <c:pt idx="2">
                  <c:v>24.5</c:v>
                </c:pt>
                <c:pt idx="3">
                  <c:v>26.86</c:v>
                </c:pt>
                <c:pt idx="4">
                  <c:v>35.86</c:v>
                </c:pt>
                <c:pt idx="5">
                  <c:v>27.72</c:v>
                </c:pt>
                <c:pt idx="6">
                  <c:v>18.489999999999931</c:v>
                </c:pt>
                <c:pt idx="7">
                  <c:v>12.027999999999999</c:v>
                </c:pt>
              </c:numCache>
            </c:numRef>
          </c:val>
        </c:ser>
        <c:ser>
          <c:idx val="4"/>
          <c:order val="4"/>
          <c:tx>
            <c:strRef>
              <c:f>Лист1!$A$38</c:f>
              <c:strCache>
                <c:ptCount val="1"/>
                <c:pt idx="0">
                  <c:v>Вводы Минэнерго 2013 г.</c:v>
                </c:pt>
              </c:strCache>
            </c:strRef>
          </c:tx>
          <c:spPr>
            <a:solidFill>
              <a:srgbClr val="00B0F0"/>
            </a:solidFill>
          </c:spPr>
          <c:dLbls>
            <c:dLbl>
              <c:idx val="2"/>
              <c:layout>
                <c:manualLayout>
                  <c:x val="1.048492791612058E-2"/>
                  <c:y val="1.4306151645207535E-2"/>
                </c:manualLayout>
              </c:layout>
              <c:showVal val="1"/>
            </c:dLbl>
            <c:showVal val="1"/>
          </c:dLbls>
          <c:cat>
            <c:numRef>
              <c:f>Лист1!$B$32:$J$32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Лист1!$B$38:$J$38</c:f>
              <c:numCache>
                <c:formatCode>General</c:formatCode>
                <c:ptCount val="9"/>
                <c:pt idx="2">
                  <c:v>24.2</c:v>
                </c:pt>
                <c:pt idx="3">
                  <c:v>25.6</c:v>
                </c:pt>
                <c:pt idx="4">
                  <c:v>24.7</c:v>
                </c:pt>
                <c:pt idx="5">
                  <c:v>26</c:v>
                </c:pt>
                <c:pt idx="6">
                  <c:v>15.6</c:v>
                </c:pt>
                <c:pt idx="7">
                  <c:v>7.4</c:v>
                </c:pt>
                <c:pt idx="8">
                  <c:v>4.3</c:v>
                </c:pt>
              </c:numCache>
            </c:numRef>
          </c:val>
        </c:ser>
        <c:ser>
          <c:idx val="5"/>
          <c:order val="5"/>
          <c:tx>
            <c:strRef>
              <c:f>Лист1!$A$37</c:f>
              <c:strCache>
                <c:ptCount val="1"/>
                <c:pt idx="0">
                  <c:v>Вводы, прогноз СПЭ, 2013г.</c:v>
                </c:pt>
              </c:strCache>
            </c:strRef>
          </c:tx>
          <c:spPr>
            <a:solidFill>
              <a:srgbClr val="663300"/>
            </a:solidFill>
          </c:spPr>
          <c:dLbls>
            <c:showVal val="1"/>
          </c:dLbls>
          <c:cat>
            <c:numRef>
              <c:f>Лист1!$B$32:$J$32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Лист1!$B$37:$J$37</c:f>
              <c:numCache>
                <c:formatCode>General</c:formatCode>
                <c:ptCount val="9"/>
                <c:pt idx="0" formatCode="0.0">
                  <c:v>15.76</c:v>
                </c:pt>
                <c:pt idx="1">
                  <c:v>14.4</c:v>
                </c:pt>
                <c:pt idx="2" formatCode="0.0">
                  <c:v>16.939999999999987</c:v>
                </c:pt>
                <c:pt idx="3" formatCode="0.0">
                  <c:v>17.920000000000002</c:v>
                </c:pt>
                <c:pt idx="4" formatCode="0.0">
                  <c:v>17.29</c:v>
                </c:pt>
                <c:pt idx="5" formatCode="0.0">
                  <c:v>18.2</c:v>
                </c:pt>
                <c:pt idx="6" formatCode="0.0">
                  <c:v>10.92</c:v>
                </c:pt>
                <c:pt idx="7" formatCode="0.0">
                  <c:v>5.18</c:v>
                </c:pt>
                <c:pt idx="8" formatCode="0.0">
                  <c:v>3.01</c:v>
                </c:pt>
              </c:numCache>
            </c:numRef>
          </c:val>
        </c:ser>
        <c:axId val="263760512"/>
        <c:axId val="263770496"/>
      </c:barChart>
      <c:catAx>
        <c:axId val="263760512"/>
        <c:scaling>
          <c:orientation val="minMax"/>
        </c:scaling>
        <c:axPos val="b"/>
        <c:numFmt formatCode="General" sourceLinked="1"/>
        <c:tickLblPos val="nextTo"/>
        <c:crossAx val="263770496"/>
        <c:crosses val="autoZero"/>
        <c:auto val="1"/>
        <c:lblAlgn val="ctr"/>
        <c:lblOffset val="100"/>
      </c:catAx>
      <c:valAx>
        <c:axId val="263770496"/>
        <c:scaling>
          <c:orientation val="minMax"/>
        </c:scaling>
        <c:axPos val="l"/>
        <c:majorGridlines/>
        <c:numFmt formatCode="General" sourceLinked="1"/>
        <c:tickLblPos val="nextTo"/>
        <c:crossAx val="263760512"/>
        <c:crosses val="autoZero"/>
        <c:crossBetween val="between"/>
      </c:valAx>
    </c:plotArea>
    <c:legend>
      <c:legendPos val="b"/>
    </c:legend>
    <c:plotVisOnly val="1"/>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485149044449688"/>
          <c:y val="9.0799893328842668E-2"/>
          <c:w val="0.87324077116461762"/>
          <c:h val="0.7912538071778461"/>
        </c:manualLayout>
      </c:layout>
      <c:lineChart>
        <c:grouping val="stacked"/>
        <c:ser>
          <c:idx val="0"/>
          <c:order val="0"/>
          <c:tx>
            <c:v>Процент</c:v>
          </c:tx>
          <c:spPr>
            <a:ln w="38100">
              <a:solidFill>
                <a:srgbClr val="000080"/>
              </a:solidFill>
              <a:prstDash val="solid"/>
            </a:ln>
          </c:spPr>
          <c:marker>
            <c:symbol val="diamond"/>
            <c:size val="9"/>
            <c:spPr>
              <a:solidFill>
                <a:srgbClr val="000080"/>
              </a:solidFill>
              <a:ln>
                <a:solidFill>
                  <a:srgbClr val="000080"/>
                </a:solidFill>
                <a:prstDash val="solid"/>
              </a:ln>
            </c:spPr>
          </c:marker>
          <c:dLbls>
            <c:dLbl>
              <c:idx val="0"/>
              <c:layout>
                <c:manualLayout>
                  <c:x val="-4.6724866784395677E-2"/>
                  <c:y val="-4.5444791453012424E-2"/>
                </c:manualLayout>
              </c:layout>
              <c:dLblPos val="r"/>
              <c:showVal val="1"/>
            </c:dLbl>
            <c:dLbl>
              <c:idx val="1"/>
              <c:layout>
                <c:manualLayout>
                  <c:x val="-4.7842730575122734E-2"/>
                  <c:y val="4.4555388555149185E-2"/>
                </c:manualLayout>
              </c:layout>
              <c:dLblPos val="r"/>
              <c:showVal val="1"/>
            </c:dLbl>
            <c:dLbl>
              <c:idx val="2"/>
              <c:layout>
                <c:manualLayout>
                  <c:x val="-4.8960430067138384E-2"/>
                  <c:y val="-5.000875299800981E-2"/>
                </c:manualLayout>
              </c:layout>
              <c:dLblPos val="r"/>
              <c:showVal val="1"/>
            </c:dLbl>
            <c:dLbl>
              <c:idx val="3"/>
              <c:layout>
                <c:manualLayout>
                  <c:x val="-4.0688608146417463E-2"/>
                  <c:y val="4.4119584100713191E-2"/>
                </c:manualLayout>
              </c:layout>
              <c:dLblPos val="r"/>
              <c:showVal val="1"/>
            </c:dLbl>
            <c:dLbl>
              <c:idx val="4"/>
              <c:layout>
                <c:manualLayout>
                  <c:x val="-9.5462688216604488E-2"/>
                  <c:y val="-4.9060030597779532E-2"/>
                </c:manualLayout>
              </c:layout>
              <c:dLblPos val="r"/>
              <c:showVal val="1"/>
            </c:dLbl>
            <c:dLbl>
              <c:idx val="5"/>
              <c:layout>
                <c:manualLayout>
                  <c:x val="-4.9183961903458515E-2"/>
                  <c:y val="-4.0495828059990774E-2"/>
                </c:manualLayout>
              </c:layout>
              <c:dLblPos val="r"/>
              <c:showVal val="1"/>
            </c:dLbl>
            <c:dLbl>
              <c:idx val="6"/>
              <c:layout>
                <c:manualLayout>
                  <c:x val="-4.7586683243542274E-2"/>
                  <c:y val="5.3815879966875799E-2"/>
                </c:manualLayout>
              </c:layout>
              <c:dLblPos val="r"/>
              <c:showVal val="1"/>
            </c:dLbl>
            <c:dLbl>
              <c:idx val="7"/>
              <c:layout>
                <c:manualLayout>
                  <c:x val="-2.0865936358894152E-3"/>
                  <c:y val="-4.786324786324813E-2"/>
                </c:manualLayout>
              </c:layout>
              <c:dLblPos val="r"/>
              <c:showVal val="1"/>
            </c:dLbl>
            <c:spPr>
              <a:noFill/>
              <a:ln w="25400">
                <a:noFill/>
              </a:ln>
            </c:spPr>
            <c:txPr>
              <a:bodyPr/>
              <a:lstStyle/>
              <a:p>
                <a:pPr>
                  <a:defRPr sz="1025" b="1" i="0" u="none" strike="noStrike" baseline="0">
                    <a:solidFill>
                      <a:srgbClr val="000000"/>
                    </a:solidFill>
                    <a:latin typeface="Arial Cyr"/>
                    <a:ea typeface="Arial Cyr"/>
                    <a:cs typeface="Arial Cyr"/>
                  </a:defRPr>
                </a:pPr>
                <a:endParaRPr lang="ru-RU"/>
              </a:p>
            </c:txPr>
            <c:showVal val="1"/>
          </c:dLbls>
          <c:cat>
            <c:numRef>
              <c:f>Лист3!$D$4:$D$11</c:f>
              <c:numCache>
                <c:formatCode>_(* #,##0_);_(* \(#,##0\);_(* "-"??_);_(@_)</c:formatCode>
                <c:ptCount val="8"/>
                <c:pt idx="0">
                  <c:v>2005</c:v>
                </c:pt>
                <c:pt idx="1">
                  <c:v>2006</c:v>
                </c:pt>
                <c:pt idx="2">
                  <c:v>2007</c:v>
                </c:pt>
                <c:pt idx="3">
                  <c:v>2008</c:v>
                </c:pt>
                <c:pt idx="4">
                  <c:v>2009</c:v>
                </c:pt>
                <c:pt idx="5">
                  <c:v>2010</c:v>
                </c:pt>
                <c:pt idx="6">
                  <c:v>2011</c:v>
                </c:pt>
                <c:pt idx="7">
                  <c:v>2012</c:v>
                </c:pt>
              </c:numCache>
            </c:numRef>
          </c:cat>
          <c:val>
            <c:numRef>
              <c:f>Лист3!$I$4:$I$11</c:f>
              <c:numCache>
                <c:formatCode>0.00%</c:formatCode>
                <c:ptCount val="8"/>
                <c:pt idx="0">
                  <c:v>0.1315373928971329</c:v>
                </c:pt>
                <c:pt idx="1">
                  <c:v>0.12898628887079136</c:v>
                </c:pt>
                <c:pt idx="2">
                  <c:v>0.12914347307988069</c:v>
                </c:pt>
                <c:pt idx="3">
                  <c:v>0.12822466409634969</c:v>
                </c:pt>
                <c:pt idx="4">
                  <c:v>0.13824327745258491</c:v>
                </c:pt>
                <c:pt idx="5">
                  <c:v>0.13879500194059324</c:v>
                </c:pt>
                <c:pt idx="6">
                  <c:v>0.13982106994829718</c:v>
                </c:pt>
                <c:pt idx="7">
                  <c:v>0.14355532173085703</c:v>
                </c:pt>
              </c:numCache>
            </c:numRef>
          </c:val>
        </c:ser>
        <c:dLbls>
          <c:showVal val="1"/>
        </c:dLbls>
        <c:marker val="1"/>
        <c:axId val="247084928"/>
        <c:axId val="247046144"/>
      </c:lineChart>
      <c:catAx>
        <c:axId val="247084928"/>
        <c:scaling>
          <c:orientation val="minMax"/>
        </c:scaling>
        <c:axPos val="b"/>
        <c:numFmt formatCode="_(* #,##0_);_(* \(#,##0\);_(* &quot;-&quot;??_);_(@_)" sourceLinked="1"/>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247046144"/>
        <c:crosses val="autoZero"/>
        <c:auto val="1"/>
        <c:lblAlgn val="ctr"/>
        <c:lblOffset val="100"/>
        <c:tickLblSkip val="1"/>
        <c:tickMarkSkip val="1"/>
      </c:catAx>
      <c:valAx>
        <c:axId val="247046144"/>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025" b="0" i="0" u="none" strike="noStrike" baseline="0">
                <a:solidFill>
                  <a:srgbClr val="000000"/>
                </a:solidFill>
                <a:latin typeface="Arial Cyr"/>
                <a:ea typeface="Arial Cyr"/>
                <a:cs typeface="Arial Cyr"/>
              </a:defRPr>
            </a:pPr>
            <a:endParaRPr lang="ru-RU"/>
          </a:p>
        </c:txPr>
        <c:crossAx val="247084928"/>
        <c:crossesAt val="-2003"/>
        <c:crossBetween val="between"/>
      </c:valAx>
      <c:spPr>
        <a:solidFill>
          <a:srgbClr val="FFFFFF"/>
        </a:solidFill>
        <a:ln w="12700">
          <a:solidFill>
            <a:srgbClr val="FFFFFF"/>
          </a:solidFill>
          <a:prstDash val="solid"/>
        </a:ln>
      </c:spPr>
    </c:plotArea>
    <c:plotVisOnly val="1"/>
    <c:dispBlanksAs val="zero"/>
  </c:chart>
  <c:spPr>
    <a:solidFill>
      <a:srgbClr val="FFFFFF"/>
    </a:solidFill>
    <a:ln w="3175">
      <a:solidFill>
        <a:srgbClr val="000000"/>
      </a:solidFill>
      <a:prstDash val="solid"/>
    </a:ln>
  </c:spPr>
  <c:txPr>
    <a:bodyPr/>
    <a:lstStyle/>
    <a:p>
      <a:pPr>
        <a:defRPr sz="1025" b="0" i="0" u="none" strike="noStrike" baseline="0">
          <a:solidFill>
            <a:srgbClr val="000000"/>
          </a:solidFill>
          <a:latin typeface="Arial Cyr"/>
          <a:ea typeface="Arial Cyr"/>
          <a:cs typeface="Arial Cyr"/>
        </a:defRPr>
      </a:pPr>
      <a:endParaRPr lang="ru-RU"/>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7861538104558384E-2"/>
          <c:y val="4.9211917372603914E-2"/>
          <c:w val="0.61746025670443461"/>
          <c:h val="0.86986210560537935"/>
        </c:manualLayout>
      </c:layout>
      <c:lineChart>
        <c:grouping val="standard"/>
        <c:ser>
          <c:idx val="0"/>
          <c:order val="0"/>
          <c:tx>
            <c:v>Москва</c:v>
          </c:tx>
          <c:spPr>
            <a:ln w="38100">
              <a:solidFill>
                <a:srgbClr val="FF0000"/>
              </a:solidFill>
              <a:prstDash val="solid"/>
            </a:ln>
          </c:spPr>
          <c:marker>
            <c:symbol val="circle"/>
            <c:size val="7"/>
            <c:spPr>
              <a:solidFill>
                <a:srgbClr val="FF0000"/>
              </a:solidFill>
              <a:ln>
                <a:solidFill>
                  <a:srgbClr val="FF0000"/>
                </a:solidFill>
                <a:prstDash val="solid"/>
              </a:ln>
            </c:spPr>
          </c:marker>
          <c:dLbls>
            <c:dLbl>
              <c:idx val="0"/>
              <c:layout>
                <c:manualLayout>
                  <c:x val="-3.5559525958172591E-2"/>
                  <c:y val="-2.0652029274783781E-2"/>
                </c:manualLayout>
              </c:layout>
              <c:spPr>
                <a:noFill/>
                <a:ln w="25400">
                  <a:noFill/>
                </a:ln>
              </c:spPr>
              <c:txPr>
                <a:bodyPr/>
                <a:lstStyle/>
                <a:p>
                  <a:pPr>
                    <a:defRPr sz="975" b="0" i="0" u="none" strike="noStrike" baseline="0">
                      <a:solidFill>
                        <a:srgbClr val="FF0000"/>
                      </a:solidFill>
                      <a:latin typeface="Arial Cyr"/>
                      <a:ea typeface="Arial Cyr"/>
                      <a:cs typeface="Arial Cyr"/>
                    </a:defRPr>
                  </a:pPr>
                  <a:endParaRPr lang="ru-RU"/>
                </a:p>
              </c:txPr>
              <c:dLblPos val="r"/>
              <c:showVal val="1"/>
            </c:dLbl>
            <c:dLbl>
              <c:idx val="14"/>
              <c:layout>
                <c:manualLayout>
                  <c:x val="-6.375362149003154E-2"/>
                  <c:y val="-6.4978194368023573E-2"/>
                </c:manualLayout>
              </c:layout>
              <c:spPr>
                <a:noFill/>
                <a:ln w="25400">
                  <a:noFill/>
                </a:ln>
              </c:spPr>
              <c:txPr>
                <a:bodyPr/>
                <a:lstStyle/>
                <a:p>
                  <a:pPr>
                    <a:defRPr sz="975" b="0" i="0" u="none" strike="noStrike" baseline="0">
                      <a:solidFill>
                        <a:srgbClr val="FF0000"/>
                      </a:solidFill>
                      <a:latin typeface="Arial Cyr"/>
                      <a:ea typeface="Arial Cyr"/>
                      <a:cs typeface="Arial Cyr"/>
                    </a:defRPr>
                  </a:pPr>
                  <a:endParaRPr lang="ru-RU"/>
                </a:p>
              </c:txPr>
              <c:dLblPos val="r"/>
              <c:showVal val="1"/>
            </c:dLbl>
            <c:dLbl>
              <c:idx val="19"/>
              <c:layout>
                <c:manualLayout>
                  <c:x val="-8.8795779367795258E-2"/>
                  <c:y val="-2.9025593812728876E-2"/>
                </c:manualLayout>
              </c:layout>
              <c:spPr>
                <a:noFill/>
                <a:ln w="25400">
                  <a:noFill/>
                </a:ln>
              </c:spPr>
              <c:txPr>
                <a:bodyPr/>
                <a:lstStyle/>
                <a:p>
                  <a:pPr>
                    <a:defRPr sz="975" b="0" i="0" u="none" strike="noStrike" baseline="0">
                      <a:solidFill>
                        <a:srgbClr val="FF0000"/>
                      </a:solidFill>
                      <a:latin typeface="Arial Cyr"/>
                      <a:ea typeface="Arial Cyr"/>
                      <a:cs typeface="Arial Cyr"/>
                    </a:defRPr>
                  </a:pPr>
                  <a:endParaRPr lang="ru-RU"/>
                </a:p>
              </c:txPr>
              <c:dLblPos val="r"/>
              <c:showVal val="1"/>
            </c:dLbl>
            <c:delete val="1"/>
          </c:dLbls>
          <c:cat>
            <c:numRef>
              <c:f>'МОсковский регион'!$C$331:$Y$331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'МОсковский регион'!$C$332:$X$332</c:f>
              <c:numCache>
                <c:formatCode>General</c:formatCode>
                <c:ptCount val="22"/>
                <c:pt idx="0">
                  <c:v>38.300000000000004</c:v>
                </c:pt>
                <c:pt idx="1">
                  <c:v>37.800000000000004</c:v>
                </c:pt>
                <c:pt idx="2">
                  <c:v>35.20000000000001</c:v>
                </c:pt>
                <c:pt idx="3">
                  <c:v>34.20000000000001</c:v>
                </c:pt>
                <c:pt idx="4">
                  <c:v>32.800000000000004</c:v>
                </c:pt>
                <c:pt idx="5">
                  <c:v>33.800000000000004</c:v>
                </c:pt>
                <c:pt idx="6">
                  <c:v>33.100000000000009</c:v>
                </c:pt>
                <c:pt idx="7" formatCode="_-* #,##0.00_р_._-;\-* #,##0.00_р_._-;_-* &quot;-&quot;??_р_._-;_-@_-">
                  <c:v>33.9</c:v>
                </c:pt>
                <c:pt idx="8" formatCode="_-* #,##0.00_р_._-;\-* #,##0.00_р_._-;_-* &quot;-&quot;??_р_._-;_-@_-">
                  <c:v>35.1</c:v>
                </c:pt>
                <c:pt idx="9" formatCode="_-* #,##0.00_р_._-;\-* #,##0.00_р_._-;_-* &quot;-&quot;??_р_._-;_-@_-">
                  <c:v>36.300000000000004</c:v>
                </c:pt>
                <c:pt idx="10" formatCode="_-* #,##0.00_р_._-;\-* #,##0.00_р_._-;_-* &quot;-&quot;??_р_._-;_-@_-">
                  <c:v>37.897200000000005</c:v>
                </c:pt>
                <c:pt idx="11" formatCode="_-* #,##0.00_р_._-;\-* #,##0.00_р_._-;_-* &quot;-&quot;??_р_._-;_-@_-">
                  <c:v>39.774000000000001</c:v>
                </c:pt>
                <c:pt idx="12" formatCode="_-* #,##0.00_р_._-;\-* #,##0.00_р_._-;_-* &quot;-&quot;??_р_._-;_-@_-">
                  <c:v>41.115100000000012</c:v>
                </c:pt>
                <c:pt idx="13" formatCode="_-* #,##0.00_р_._-;\-* #,##0.00_р_._-;_-* &quot;-&quot;??_р_._-;_-@_-">
                  <c:v>42.115200000000009</c:v>
                </c:pt>
                <c:pt idx="14" formatCode="_-* #,##0.00_р_._-;\-* #,##0.00_р_._-;_-* &quot;-&quot;??_р_._-;_-@_-">
                  <c:v>43.708700000000107</c:v>
                </c:pt>
                <c:pt idx="15" formatCode="_-* #,##0.00_р_._-;\-* #,##0.00_р_._-;_-* &quot;-&quot;??_р_._-;_-@_-">
                  <c:v>45.99</c:v>
                </c:pt>
                <c:pt idx="16" formatCode="_-* #,##0.00_р_._-;\-* #,##0.00_р_._-;_-* &quot;-&quot;??_р_._-;_-@_-">
                  <c:v>48.28</c:v>
                </c:pt>
                <c:pt idx="17" formatCode="_-* #,##0.00_р_._-;\-* #,##0.00_р_._-;_-* &quot;-&quot;??_р_._-;_-@_-">
                  <c:v>49.293600000000012</c:v>
                </c:pt>
                <c:pt idx="18" formatCode="_-* #,##0.00_р_._-;\-* #,##0.00_р_._-;_-* &quot;-&quot;??_р_._-;_-@_-">
                  <c:v>51.298500000000161</c:v>
                </c:pt>
                <c:pt idx="19" formatCode="_-* #,##0.00_р_._-;\-* #,##0.00_р_._-;_-* &quot;-&quot;??_р_._-;_-@_-">
                  <c:v>49.782000000000011</c:v>
                </c:pt>
                <c:pt idx="20" formatCode="_-* #,##0.00_р_._-;\-* #,##0.00_р_._-;_-* &quot;-&quot;??_р_._-;_-@_-">
                  <c:v>51.954299999999996</c:v>
                </c:pt>
                <c:pt idx="21" formatCode="_-* #,##0.00_р_._-;\-* #,##0.00_р_._-;_-* &quot;-&quot;??_р_._-;_-@_-">
                  <c:v>53</c:v>
                </c:pt>
              </c:numCache>
            </c:numRef>
          </c:val>
        </c:ser>
        <c:ser>
          <c:idx val="3"/>
          <c:order val="1"/>
          <c:tx>
            <c:v>Московская область</c:v>
          </c:tx>
          <c:spPr>
            <a:ln w="38100">
              <a:solidFill>
                <a:srgbClr val="800000"/>
              </a:solidFill>
              <a:prstDash val="solid"/>
            </a:ln>
          </c:spPr>
          <c:marker>
            <c:symbol val="circle"/>
            <c:size val="7"/>
            <c:spPr>
              <a:solidFill>
                <a:srgbClr val="800000"/>
              </a:solidFill>
              <a:ln>
                <a:solidFill>
                  <a:srgbClr val="800000"/>
                </a:solidFill>
                <a:prstDash val="solid"/>
              </a:ln>
            </c:spPr>
          </c:marker>
          <c:dLbls>
            <c:dLbl>
              <c:idx val="0"/>
              <c:layout>
                <c:manualLayout>
                  <c:x val="-2.7757693006596675E-2"/>
                  <c:y val="2.6896233779161005E-2"/>
                </c:manualLayout>
              </c:layout>
              <c:spPr>
                <a:noFill/>
                <a:ln w="25400">
                  <a:noFill/>
                </a:ln>
              </c:spPr>
              <c:txPr>
                <a:bodyPr/>
                <a:lstStyle/>
                <a:p>
                  <a:pPr>
                    <a:defRPr sz="975" b="0" i="0" u="none" strike="noStrike" baseline="0">
                      <a:solidFill>
                        <a:srgbClr val="800000"/>
                      </a:solidFill>
                      <a:latin typeface="Arial Cyr"/>
                      <a:ea typeface="Arial Cyr"/>
                      <a:cs typeface="Arial Cyr"/>
                    </a:defRPr>
                  </a:pPr>
                  <a:endParaRPr lang="ru-RU"/>
                </a:p>
              </c:txPr>
              <c:dLblPos val="r"/>
              <c:showVal val="1"/>
            </c:dLbl>
            <c:dLbl>
              <c:idx val="5"/>
              <c:layout>
                <c:manualLayout>
                  <c:x val="-6.0807462176513484E-2"/>
                  <c:y val="2.8246004266506683E-2"/>
                </c:manualLayout>
              </c:layout>
              <c:spPr>
                <a:noFill/>
                <a:ln w="25400">
                  <a:noFill/>
                </a:ln>
              </c:spPr>
              <c:txPr>
                <a:bodyPr/>
                <a:lstStyle/>
                <a:p>
                  <a:pPr>
                    <a:defRPr sz="975" b="0" i="0" u="none" strike="noStrike" baseline="0">
                      <a:solidFill>
                        <a:srgbClr val="800000"/>
                      </a:solidFill>
                      <a:latin typeface="Arial Cyr"/>
                      <a:ea typeface="Arial Cyr"/>
                      <a:cs typeface="Arial Cyr"/>
                    </a:defRPr>
                  </a:pPr>
                  <a:endParaRPr lang="ru-RU"/>
                </a:p>
              </c:txPr>
              <c:dLblPos val="r"/>
              <c:showVal val="1"/>
            </c:dLbl>
            <c:dLbl>
              <c:idx val="14"/>
              <c:layout>
                <c:manualLayout>
                  <c:x val="-6.1438801442423592E-2"/>
                  <c:y val="2.8250400161743114E-2"/>
                </c:manualLayout>
              </c:layout>
              <c:spPr>
                <a:noFill/>
                <a:ln w="25400">
                  <a:noFill/>
                </a:ln>
              </c:spPr>
              <c:txPr>
                <a:bodyPr/>
                <a:lstStyle/>
                <a:p>
                  <a:pPr>
                    <a:defRPr sz="975" b="0" i="0" u="none" strike="noStrike" baseline="0">
                      <a:solidFill>
                        <a:srgbClr val="800000"/>
                      </a:solidFill>
                      <a:latin typeface="Arial Cyr"/>
                      <a:ea typeface="Arial Cyr"/>
                      <a:cs typeface="Arial Cyr"/>
                    </a:defRPr>
                  </a:pPr>
                  <a:endParaRPr lang="ru-RU"/>
                </a:p>
              </c:txPr>
              <c:dLblPos val="r"/>
              <c:showVal val="1"/>
            </c:dLbl>
            <c:dLbl>
              <c:idx val="19"/>
              <c:layout>
                <c:manualLayout>
                  <c:x val="-6.5647578891719488E-2"/>
                  <c:y val="2.545587263684821E-2"/>
                </c:manualLayout>
              </c:layout>
              <c:spPr>
                <a:noFill/>
                <a:ln w="25400">
                  <a:noFill/>
                </a:ln>
              </c:spPr>
              <c:txPr>
                <a:bodyPr/>
                <a:lstStyle/>
                <a:p>
                  <a:pPr>
                    <a:defRPr sz="975" b="0" i="0" u="none" strike="noStrike" baseline="0">
                      <a:solidFill>
                        <a:srgbClr val="800000"/>
                      </a:solidFill>
                      <a:latin typeface="Arial Cyr"/>
                      <a:ea typeface="Arial Cyr"/>
                      <a:cs typeface="Arial Cyr"/>
                    </a:defRPr>
                  </a:pPr>
                  <a:endParaRPr lang="ru-RU"/>
                </a:p>
              </c:txPr>
              <c:dLblPos val="r"/>
              <c:showVal val="1"/>
            </c:dLbl>
            <c:delete val="1"/>
          </c:dLbls>
          <c:cat>
            <c:numRef>
              <c:f>'МОсковский регион'!$C$331:$Y$331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'МОсковский регион'!$C$333:$X$333</c:f>
              <c:numCache>
                <c:formatCode>General</c:formatCode>
                <c:ptCount val="22"/>
                <c:pt idx="0">
                  <c:v>35.800000000000004</c:v>
                </c:pt>
                <c:pt idx="1">
                  <c:v>35.800000000000004</c:v>
                </c:pt>
                <c:pt idx="2">
                  <c:v>33.6</c:v>
                </c:pt>
                <c:pt idx="3">
                  <c:v>32.4</c:v>
                </c:pt>
                <c:pt idx="4">
                  <c:v>29.8</c:v>
                </c:pt>
                <c:pt idx="5">
                  <c:v>27.7</c:v>
                </c:pt>
                <c:pt idx="6">
                  <c:v>28.3</c:v>
                </c:pt>
                <c:pt idx="7" formatCode="_-* #,##0.00_р_._-;\-* #,##0.00_р_._-;_-* &quot;-&quot;??_р_._-;_-@_-">
                  <c:v>28.5</c:v>
                </c:pt>
                <c:pt idx="8" formatCode="_-* #,##0.00_р_._-;\-* #,##0.00_р_._-;_-* &quot;-&quot;??_р_._-;_-@_-">
                  <c:v>28.6</c:v>
                </c:pt>
                <c:pt idx="9" formatCode="_-* #,##0.00_р_._-;\-* #,##0.00_р_._-;_-* &quot;-&quot;??_р_._-;_-@_-">
                  <c:v>28.7</c:v>
                </c:pt>
                <c:pt idx="10" formatCode="_-* #,##0.00_р_._-;\-* #,##0.00_р_._-;_-* &quot;-&quot;??_р_._-;_-@_-">
                  <c:v>30.197200000000031</c:v>
                </c:pt>
                <c:pt idx="11" formatCode="_-* #,##0.00_р_._-;\-* #,##0.00_р_._-;_-* &quot;-&quot;??_р_._-;_-@_-">
                  <c:v>32.926900000000003</c:v>
                </c:pt>
                <c:pt idx="12" formatCode="_-* #,##0.00_р_._-;\-* #,##0.00_р_._-;_-* &quot;-&quot;??_р_._-;_-@_-">
                  <c:v>34.232800000000012</c:v>
                </c:pt>
                <c:pt idx="13" formatCode="_-* #,##0.00_р_._-;\-* #,##0.00_р_._-;_-* &quot;-&quot;??_р_._-;_-@_-">
                  <c:v>37.277200000000001</c:v>
                </c:pt>
                <c:pt idx="14" formatCode="_-* #,##0.00_р_._-;\-* #,##0.00_р_._-;_-* &quot;-&quot;??_р_._-;_-@_-">
                  <c:v>38.878800000000005</c:v>
                </c:pt>
                <c:pt idx="15" formatCode="_-* #,##0.00_р_._-;\-* #,##0.00_р_._-;_-* &quot;-&quot;??_р_._-;_-@_-">
                  <c:v>40.815400000000004</c:v>
                </c:pt>
                <c:pt idx="16" formatCode="_-* #,##0.00_р_._-;\-* #,##0.00_р_._-;_-* &quot;-&quot;??_р_._-;_-@_-">
                  <c:v>43.469000000000001</c:v>
                </c:pt>
                <c:pt idx="17" formatCode="_-* #,##0.00_р_._-;\-* #,##0.00_р_._-;_-* &quot;-&quot;??_р_._-;_-@_-">
                  <c:v>44.134800000000006</c:v>
                </c:pt>
                <c:pt idx="18" formatCode="_-* #,##0.00_р_._-;\-* #,##0.00_р_._-;_-* &quot;-&quot;??_р_._-;_-@_-">
                  <c:v>45.055500000000002</c:v>
                </c:pt>
                <c:pt idx="19" formatCode="_-* #,##0.00_р_._-;\-* #,##0.00_р_._-;_-* &quot;-&quot;??_р_._-;_-@_-">
                  <c:v>43.363800000000005</c:v>
                </c:pt>
                <c:pt idx="20" formatCode="_-* #,##0.00_р_._-;\-* #,##0.00_р_._-;_-* &quot;-&quot;??_р_._-;_-@_-">
                  <c:v>47.1004</c:v>
                </c:pt>
                <c:pt idx="21" formatCode="_-* #,##0.00_р_._-;\-* #,##0.00_р_._-;_-* &quot;-&quot;??_р_._-;_-@_-">
                  <c:v>43.5837</c:v>
                </c:pt>
              </c:numCache>
            </c:numRef>
          </c:val>
        </c:ser>
        <c:ser>
          <c:idx val="1"/>
          <c:order val="2"/>
          <c:tx>
            <c:strRef>
              <c:f>'МОсковский регион'!$B$340</c:f>
              <c:strCache>
                <c:ptCount val="1"/>
                <c:pt idx="0">
                  <c:v>Московский регион по СО ЕЭС</c:v>
                </c:pt>
              </c:strCache>
            </c:strRef>
          </c:tx>
          <c:spPr>
            <a:ln>
              <a:solidFill>
                <a:schemeClr val="accent4">
                  <a:lumMod val="50000"/>
                </a:schemeClr>
              </a:solidFill>
            </a:ln>
          </c:spPr>
          <c:marker>
            <c:symbol val="square"/>
            <c:size val="7"/>
            <c:spPr>
              <a:solidFill>
                <a:schemeClr val="accent4">
                  <a:lumMod val="50000"/>
                </a:schemeClr>
              </a:solidFill>
            </c:spPr>
          </c:marker>
          <c:dLbls>
            <c:dLbl>
              <c:idx val="0"/>
              <c:spPr/>
              <c:txPr>
                <a:bodyPr/>
                <a:lstStyle/>
                <a:p>
                  <a:pPr>
                    <a:defRPr sz="1200">
                      <a:solidFill>
                        <a:schemeClr val="accent4">
                          <a:lumMod val="50000"/>
                        </a:schemeClr>
                      </a:solidFill>
                    </a:defRPr>
                  </a:pPr>
                  <a:endParaRPr lang="ru-RU"/>
                </a:p>
              </c:txPr>
              <c:dLblPos val="t"/>
              <c:showVal val="1"/>
            </c:dLbl>
            <c:dLbl>
              <c:idx val="5"/>
              <c:spPr/>
              <c:txPr>
                <a:bodyPr/>
                <a:lstStyle/>
                <a:p>
                  <a:pPr>
                    <a:defRPr sz="1200">
                      <a:solidFill>
                        <a:schemeClr val="accent4">
                          <a:lumMod val="50000"/>
                        </a:schemeClr>
                      </a:solidFill>
                    </a:defRPr>
                  </a:pPr>
                  <a:endParaRPr lang="ru-RU"/>
                </a:p>
              </c:txPr>
              <c:dLblPos val="t"/>
              <c:showVal val="1"/>
            </c:dLbl>
            <c:dLbl>
              <c:idx val="11"/>
              <c:spPr/>
              <c:txPr>
                <a:bodyPr/>
                <a:lstStyle/>
                <a:p>
                  <a:pPr>
                    <a:defRPr sz="1200">
                      <a:solidFill>
                        <a:schemeClr val="accent4">
                          <a:lumMod val="50000"/>
                        </a:schemeClr>
                      </a:solidFill>
                    </a:defRPr>
                  </a:pPr>
                  <a:endParaRPr lang="ru-RU"/>
                </a:p>
              </c:txPr>
              <c:dLblPos val="t"/>
              <c:showVal val="1"/>
            </c:dLbl>
            <c:dLbl>
              <c:idx val="17"/>
              <c:spPr/>
              <c:txPr>
                <a:bodyPr/>
                <a:lstStyle/>
                <a:p>
                  <a:pPr>
                    <a:defRPr sz="1200">
                      <a:solidFill>
                        <a:schemeClr val="accent4">
                          <a:lumMod val="50000"/>
                        </a:schemeClr>
                      </a:solidFill>
                    </a:defRPr>
                  </a:pPr>
                  <a:endParaRPr lang="ru-RU"/>
                </a:p>
              </c:txPr>
              <c:dLblPos val="t"/>
              <c:showVal val="1"/>
            </c:dLbl>
            <c:dLbl>
              <c:idx val="21"/>
              <c:spPr/>
              <c:txPr>
                <a:bodyPr/>
                <a:lstStyle/>
                <a:p>
                  <a:pPr>
                    <a:defRPr sz="1200">
                      <a:solidFill>
                        <a:schemeClr val="accent4">
                          <a:lumMod val="50000"/>
                        </a:schemeClr>
                      </a:solidFill>
                    </a:defRPr>
                  </a:pPr>
                  <a:endParaRPr lang="ru-RU"/>
                </a:p>
              </c:txPr>
              <c:dLblPos val="t"/>
              <c:showVal val="1"/>
            </c:dLbl>
            <c:delete val="1"/>
          </c:dLbls>
          <c:cat>
            <c:numRef>
              <c:f>'МОсковский регион'!$D$331:$Y$331</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'МОсковский регион'!$C$340:$Y$340</c:f>
              <c:numCache>
                <c:formatCode>General</c:formatCode>
                <c:ptCount val="23"/>
                <c:pt idx="0">
                  <c:v>74.099999999999994</c:v>
                </c:pt>
                <c:pt idx="1">
                  <c:v>73.599999999999994</c:v>
                </c:pt>
                <c:pt idx="2">
                  <c:v>68.8</c:v>
                </c:pt>
                <c:pt idx="3">
                  <c:v>66.599999999999994</c:v>
                </c:pt>
                <c:pt idx="4">
                  <c:v>62.8</c:v>
                </c:pt>
                <c:pt idx="5">
                  <c:v>61.7</c:v>
                </c:pt>
                <c:pt idx="6">
                  <c:v>61.5</c:v>
                </c:pt>
                <c:pt idx="7">
                  <c:v>62.6</c:v>
                </c:pt>
                <c:pt idx="8">
                  <c:v>63.7</c:v>
                </c:pt>
                <c:pt idx="9">
                  <c:v>65.2</c:v>
                </c:pt>
                <c:pt idx="10">
                  <c:v>68.7</c:v>
                </c:pt>
                <c:pt idx="11">
                  <c:v>72.8</c:v>
                </c:pt>
                <c:pt idx="12">
                  <c:v>75.599999999999994</c:v>
                </c:pt>
                <c:pt idx="13">
                  <c:v>79.5</c:v>
                </c:pt>
                <c:pt idx="14">
                  <c:v>82.8</c:v>
                </c:pt>
                <c:pt idx="15">
                  <c:v>85.5</c:v>
                </c:pt>
                <c:pt idx="16">
                  <c:v>89.9</c:v>
                </c:pt>
                <c:pt idx="17">
                  <c:v>93</c:v>
                </c:pt>
                <c:pt idx="18">
                  <c:v>95.9</c:v>
                </c:pt>
                <c:pt idx="19">
                  <c:v>94</c:v>
                </c:pt>
                <c:pt idx="20">
                  <c:v>97.7</c:v>
                </c:pt>
                <c:pt idx="21">
                  <c:v>98.2</c:v>
                </c:pt>
                <c:pt idx="22">
                  <c:v>100.9</c:v>
                </c:pt>
              </c:numCache>
            </c:numRef>
          </c:val>
        </c:ser>
        <c:ser>
          <c:idx val="2"/>
          <c:order val="3"/>
          <c:tx>
            <c:strRef>
              <c:f>'МОсковский регион'!$B$334</c:f>
              <c:strCache>
                <c:ptCount val="1"/>
                <c:pt idx="0">
                  <c:v>Московский регион по Росстату</c:v>
                </c:pt>
              </c:strCache>
            </c:strRef>
          </c:tx>
          <c:dLbls>
            <c:dLbl>
              <c:idx val="1"/>
              <c:delete val="1"/>
            </c:dLbl>
            <c:dLbl>
              <c:idx val="5"/>
              <c:delete val="1"/>
            </c:dLbl>
            <c:dLbl>
              <c:idx val="9"/>
              <c:delete val="1"/>
            </c:dLbl>
            <c:dLbl>
              <c:idx val="11"/>
              <c:delete val="1"/>
            </c:dLbl>
            <c:dLbl>
              <c:idx val="15"/>
              <c:layout>
                <c:manualLayout>
                  <c:x val="-6.3800635591220969E-2"/>
                  <c:y val="-1.7160048538661123E-2"/>
                </c:manualLayout>
              </c:layout>
              <c:dLblPos val="r"/>
              <c:showVal val="1"/>
            </c:dLbl>
            <c:txPr>
              <a:bodyPr/>
              <a:lstStyle/>
              <a:p>
                <a:pPr>
                  <a:defRPr sz="1100">
                    <a:solidFill>
                      <a:schemeClr val="accent3">
                        <a:lumMod val="50000"/>
                      </a:schemeClr>
                    </a:solidFill>
                  </a:defRPr>
                </a:pPr>
                <a:endParaRPr lang="ru-RU"/>
              </a:p>
            </c:txPr>
            <c:dLblPos val="b"/>
            <c:showVal val="1"/>
          </c:dLbls>
          <c:cat>
            <c:numRef>
              <c:f>'МОсковский регион'!$D$331:$Y$331</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'МОсковский регион'!$C$334:$X$334</c:f>
              <c:numCache>
                <c:formatCode>General</c:formatCode>
                <c:ptCount val="22"/>
                <c:pt idx="0">
                  <c:v>74.099999999999994</c:v>
                </c:pt>
                <c:pt idx="1">
                  <c:v>73.599999999999994</c:v>
                </c:pt>
                <c:pt idx="2">
                  <c:v>68.8</c:v>
                </c:pt>
                <c:pt idx="3">
                  <c:v>66.599999999999994</c:v>
                </c:pt>
                <c:pt idx="4">
                  <c:v>62.6</c:v>
                </c:pt>
                <c:pt idx="5">
                  <c:v>61.5</c:v>
                </c:pt>
                <c:pt idx="6">
                  <c:v>61.4</c:v>
                </c:pt>
                <c:pt idx="7" formatCode="_-* #,##0.00_р_._-;\-* #,##0.00_р_._-;_-* &quot;-&quot;??_р_._-;_-@_-">
                  <c:v>62.4</c:v>
                </c:pt>
                <c:pt idx="8" formatCode="_-* #,##0.00_р_._-;\-* #,##0.00_р_._-;_-* &quot;-&quot;??_р_._-;_-@_-">
                  <c:v>63.7</c:v>
                </c:pt>
                <c:pt idx="9" formatCode="_-* #,##0.00_р_._-;\-* #,##0.00_р_._-;_-* &quot;-&quot;??_р_._-;_-@_-">
                  <c:v>65</c:v>
                </c:pt>
                <c:pt idx="10" formatCode="_-* #,##0.00_р_._-;\-* #,##0.00_р_._-;_-* &quot;-&quot;??_р_._-;_-@_-">
                  <c:v>68.094400000000007</c:v>
                </c:pt>
                <c:pt idx="11" formatCode="_-* #,##0.00_р_._-;\-* #,##0.00_р_._-;_-* &quot;-&quot;??_р_._-;_-@_-">
                  <c:v>72.700900000000004</c:v>
                </c:pt>
                <c:pt idx="12" formatCode="_-* #,##0.00_р_._-;\-* #,##0.00_р_._-;_-* &quot;-&quot;??_р_._-;_-@_-">
                  <c:v>75.347900000000024</c:v>
                </c:pt>
                <c:pt idx="13" formatCode="_-* #,##0.00_р_._-;\-* #,##0.00_р_._-;_-* &quot;-&quot;??_р_._-;_-@_-">
                  <c:v>79.392399999999981</c:v>
                </c:pt>
                <c:pt idx="14" formatCode="_-* #,##0.00_р_._-;\-* #,##0.00_р_._-;_-* &quot;-&quot;??_р_._-;_-@_-">
                  <c:v>82.587500000000006</c:v>
                </c:pt>
                <c:pt idx="15" formatCode="_-* #,##0.00_р_._-;\-* #,##0.00_р_._-;_-* &quot;-&quot;??_р_._-;_-@_-">
                  <c:v>86.805399999999949</c:v>
                </c:pt>
                <c:pt idx="16" formatCode="_-* #,##0.00_р_._-;\-* #,##0.00_р_._-;_-* &quot;-&quot;??_р_._-;_-@_-">
                  <c:v>91.748999999999995</c:v>
                </c:pt>
                <c:pt idx="17" formatCode="_-* #,##0.00_р_._-;\-* #,##0.00_р_._-;_-* &quot;-&quot;??_р_._-;_-@_-">
                  <c:v>93.428400000000011</c:v>
                </c:pt>
                <c:pt idx="18" formatCode="_-* #,##0.00_р_._-;\-* #,##0.00_р_._-;_-* &quot;-&quot;??_р_._-;_-@_-">
                  <c:v>96.353999999999999</c:v>
                </c:pt>
                <c:pt idx="19" formatCode="_-* #,##0.00_р_._-;\-* #,##0.00_р_._-;_-* &quot;-&quot;??_р_._-;_-@_-">
                  <c:v>93.145800000000008</c:v>
                </c:pt>
                <c:pt idx="20" formatCode="_-* #,##0.00_р_._-;\-* #,##0.00_р_._-;_-* &quot;-&quot;??_р_._-;_-@_-">
                  <c:v>99.054699999999997</c:v>
                </c:pt>
                <c:pt idx="21" formatCode="_-* #,##0.00_р_._-;\-* #,##0.00_р_._-;_-* &quot;-&quot;??_р_._-;_-@_-">
                  <c:v>96.583699999999993</c:v>
                </c:pt>
              </c:numCache>
            </c:numRef>
          </c:val>
        </c:ser>
        <c:ser>
          <c:idx val="4"/>
          <c:order val="4"/>
          <c:tx>
            <c:strRef>
              <c:f>'МОсковский регион'!$B$341:$B$342</c:f>
              <c:strCache>
                <c:ptCount val="1"/>
                <c:pt idx="0">
                  <c:v>МО исправл. МО приросты</c:v>
                </c:pt>
              </c:strCache>
            </c:strRef>
          </c:tx>
          <c:dLbls>
            <c:dLbl>
              <c:idx val="21"/>
              <c:spPr/>
              <c:txPr>
                <a:bodyPr/>
                <a:lstStyle/>
                <a:p>
                  <a:pPr>
                    <a:defRPr sz="1200">
                      <a:solidFill>
                        <a:srgbClr val="00B0F0"/>
                      </a:solidFill>
                    </a:defRPr>
                  </a:pPr>
                  <a:endParaRPr lang="ru-RU"/>
                </a:p>
              </c:txPr>
              <c:dLblPos val="t"/>
              <c:showVal val="1"/>
            </c:dLbl>
            <c:delete val="1"/>
          </c:dLbls>
          <c:cat>
            <c:numRef>
              <c:f>'МОсковский регион'!$C$331:$Y$331</c:f>
              <c:numCache>
                <c:formatCode>General</c:formatCode>
                <c:ptCount val="23"/>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numCache>
            </c:numRef>
          </c:cat>
          <c:val>
            <c:numRef>
              <c:f>'МОсковский регион'!$C$341:$Y$341</c:f>
              <c:numCache>
                <c:formatCode>General</c:formatCode>
                <c:ptCount val="23"/>
                <c:pt idx="0">
                  <c:v>35.800000000000004</c:v>
                </c:pt>
                <c:pt idx="1">
                  <c:v>35.800000000000004</c:v>
                </c:pt>
                <c:pt idx="2">
                  <c:v>33.6</c:v>
                </c:pt>
                <c:pt idx="3">
                  <c:v>32.4</c:v>
                </c:pt>
                <c:pt idx="4">
                  <c:v>30</c:v>
                </c:pt>
                <c:pt idx="5">
                  <c:v>27.900000000000006</c:v>
                </c:pt>
                <c:pt idx="6">
                  <c:v>28.400000000000006</c:v>
                </c:pt>
                <c:pt idx="7">
                  <c:v>28.700000000000003</c:v>
                </c:pt>
                <c:pt idx="8">
                  <c:v>28.6</c:v>
                </c:pt>
                <c:pt idx="9">
                  <c:v>28.900000000000006</c:v>
                </c:pt>
                <c:pt idx="10">
                  <c:v>30.802800000000005</c:v>
                </c:pt>
                <c:pt idx="11">
                  <c:v>33.02600000000001</c:v>
                </c:pt>
                <c:pt idx="12">
                  <c:v>34.484899999999996</c:v>
                </c:pt>
                <c:pt idx="13">
                  <c:v>37.384799999999998</c:v>
                </c:pt>
                <c:pt idx="14">
                  <c:v>39.091300000000011</c:v>
                </c:pt>
                <c:pt idx="15" formatCode="_-* #,##0.00_р_._-;\-* #,##0.00_р_._-;_-* &quot;-&quot;??_р_._-;_-@_-">
                  <c:v>40.1</c:v>
                </c:pt>
                <c:pt idx="16">
                  <c:v>41.620000000000012</c:v>
                </c:pt>
                <c:pt idx="17">
                  <c:v>43.706400000000002</c:v>
                </c:pt>
                <c:pt idx="18">
                  <c:v>44.601500000000009</c:v>
                </c:pt>
                <c:pt idx="19">
                  <c:v>44.218000000000011</c:v>
                </c:pt>
                <c:pt idx="20">
                  <c:v>45.745700000000063</c:v>
                </c:pt>
                <c:pt idx="21">
                  <c:v>45.2</c:v>
                </c:pt>
                <c:pt idx="22" formatCode="_-* #,##0.00_р_._-;\-* #,##0.00_р_._-;_-* &quot;-&quot;??_р_._-;_-@_-">
                  <c:v>47.870000000000005</c:v>
                </c:pt>
              </c:numCache>
            </c:numRef>
          </c:val>
        </c:ser>
        <c:marker val="1"/>
        <c:axId val="264272512"/>
        <c:axId val="264291072"/>
      </c:lineChart>
      <c:catAx>
        <c:axId val="264272512"/>
        <c:scaling>
          <c:orientation val="minMax"/>
        </c:scaling>
        <c:axPos val="b"/>
        <c:title>
          <c:tx>
            <c:rich>
              <a:bodyPr/>
              <a:lstStyle/>
              <a:p>
                <a:pPr>
                  <a:defRPr sz="900" b="1" i="0" u="none" strike="noStrike" baseline="0">
                    <a:solidFill>
                      <a:srgbClr val="000000"/>
                    </a:solidFill>
                    <a:latin typeface="Arial Cyr"/>
                    <a:ea typeface="Arial Cyr"/>
                    <a:cs typeface="Arial Cyr"/>
                  </a:defRPr>
                </a:pPr>
                <a:r>
                  <a:rPr lang="ru-RU"/>
                  <a:t>млрд. кВт.ч</a:t>
                </a:r>
              </a:p>
            </c:rich>
          </c:tx>
          <c:layout>
            <c:manualLayout>
              <c:xMode val="edge"/>
              <c:yMode val="edge"/>
              <c:x val="0.10416702010609342"/>
              <c:y val="2.0576133019343815E-2"/>
            </c:manualLayout>
          </c:layout>
          <c:spPr>
            <a:noFill/>
            <a:ln w="25400">
              <a:noFill/>
            </a:ln>
          </c:spPr>
        </c:title>
        <c:numFmt formatCode="General" sourceLinked="1"/>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264291072"/>
        <c:crosses val="autoZero"/>
        <c:auto val="1"/>
        <c:lblAlgn val="ctr"/>
        <c:lblOffset val="100"/>
        <c:tickLblSkip val="2"/>
        <c:tickMarkSkip val="1"/>
      </c:catAx>
      <c:valAx>
        <c:axId val="264291072"/>
        <c:scaling>
          <c:orientation val="minMax"/>
        </c:scaling>
        <c:axPos val="l"/>
        <c:majorGridlines>
          <c:spPr>
            <a:ln w="3175">
              <a:solidFill>
                <a:srgbClr val="000000"/>
              </a:solidFill>
              <a:prstDash val="solid"/>
            </a:ln>
          </c:spPr>
        </c:majorGridlines>
        <c:numFmt formatCode="0" sourceLinked="0"/>
        <c:tickLblPos val="nextTo"/>
        <c:spPr>
          <a:ln w="3175">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264272512"/>
        <c:crosses val="autoZero"/>
        <c:crossBetween val="between"/>
      </c:valAx>
      <c:spPr>
        <a:noFill/>
        <a:ln w="12700">
          <a:solidFill>
            <a:srgbClr val="808080"/>
          </a:solidFill>
          <a:prstDash val="solid"/>
        </a:ln>
      </c:spPr>
    </c:plotArea>
    <c:legend>
      <c:legendPos val="r"/>
      <c:layout>
        <c:manualLayout>
          <c:xMode val="edge"/>
          <c:yMode val="edge"/>
          <c:x val="0.7233781548369721"/>
          <c:y val="4.8786521445298769E-2"/>
          <c:w val="0.18216827920561238"/>
          <c:h val="0.691657649366758"/>
        </c:manualLayout>
      </c:layout>
      <c:spPr>
        <a:solidFill>
          <a:srgbClr val="FFFFFF"/>
        </a:solidFill>
        <a:ln w="3175">
          <a:solidFill>
            <a:srgbClr val="000000"/>
          </a:solidFill>
          <a:prstDash val="solid"/>
        </a:ln>
      </c:spPr>
      <c:txPr>
        <a:bodyPr/>
        <a:lstStyle/>
        <a:p>
          <a:pPr>
            <a:defRPr sz="1000" b="0" i="0" u="none" strike="noStrike" baseline="0">
              <a:solidFill>
                <a:srgbClr val="000000"/>
              </a:solidFill>
              <a:latin typeface="Arial Cyr"/>
              <a:ea typeface="Arial Cyr"/>
              <a:cs typeface="Arial Cyr"/>
            </a:defRPr>
          </a:pPr>
          <a:endParaRPr lang="ru-RU"/>
        </a:p>
      </c:txPr>
    </c:legend>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Cyr"/>
          <a:ea typeface="Arial Cyr"/>
          <a:cs typeface="Arial Cyr"/>
        </a:defRPr>
      </a:pPr>
      <a:endParaRPr lang="ru-RU"/>
    </a:p>
  </c:tx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3002187226596672E-2"/>
          <c:y val="5.1489936964064897E-2"/>
          <c:w val="0.83841596790436157"/>
          <c:h val="0.76282106115204062"/>
        </c:manualLayout>
      </c:layout>
      <c:lineChart>
        <c:grouping val="standard"/>
        <c:ser>
          <c:idx val="0"/>
          <c:order val="0"/>
          <c:tx>
            <c:strRef>
              <c:f>Лист1!$A$66</c:f>
              <c:strCache>
                <c:ptCount val="1"/>
                <c:pt idx="0">
                  <c:v>ВРП к 1996</c:v>
                </c:pt>
              </c:strCache>
            </c:strRef>
          </c:tx>
          <c:spPr>
            <a:ln w="22225">
              <a:solidFill>
                <a:srgbClr val="FF0000"/>
              </a:solidFill>
            </a:ln>
          </c:spPr>
          <c:marker>
            <c:symbol val="diamond"/>
            <c:size val="4"/>
            <c:spPr>
              <a:solidFill>
                <a:srgbClr val="FF0000"/>
              </a:solidFill>
              <a:ln>
                <a:solidFill>
                  <a:srgbClr val="FF0000"/>
                </a:solidFill>
              </a:ln>
            </c:spPr>
          </c:marker>
          <c:dLbls>
            <c:dLbl>
              <c:idx val="8"/>
              <c:showVal val="1"/>
            </c:dLbl>
            <c:dLbl>
              <c:idx val="10"/>
              <c:showVal val="1"/>
            </c:dLbl>
            <c:dLbl>
              <c:idx val="12"/>
              <c:layout>
                <c:manualLayout>
                  <c:x val="-1.3910621953765519E-2"/>
                  <c:y val="-3.2463762188517827E-2"/>
                </c:manualLayout>
              </c:layout>
              <c:showVal val="1"/>
            </c:dLbl>
            <c:dLbl>
              <c:idx val="13"/>
              <c:layout>
                <c:manualLayout>
                  <c:x val="-3.0603368298284129E-2"/>
                  <c:y val="-4.1739122813808482E-2"/>
                </c:manualLayout>
              </c:layout>
              <c:showVal val="1"/>
            </c:dLbl>
            <c:dLbl>
              <c:idx val="16"/>
              <c:layout>
                <c:manualLayout>
                  <c:x val="-8.3463731722592856E-3"/>
                  <c:y val="-2.7826081875872332E-2"/>
                </c:manualLayout>
              </c:layout>
              <c:showVal val="1"/>
            </c:dLbl>
            <c:delete val="1"/>
            <c:txPr>
              <a:bodyPr/>
              <a:lstStyle/>
              <a:p>
                <a:pPr>
                  <a:defRPr b="1">
                    <a:solidFill>
                      <a:srgbClr val="FF0000"/>
                    </a:solidFill>
                  </a:defRPr>
                </a:pPr>
                <a:endParaRPr lang="ru-RU"/>
              </a:p>
            </c:txPr>
          </c:dLbls>
          <c:cat>
            <c:numRef>
              <c:f>Лист1!$B$65:$R$65</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Лист1!$B$66:$R$66</c:f>
              <c:numCache>
                <c:formatCode>0.00</c:formatCode>
                <c:ptCount val="17"/>
                <c:pt idx="0">
                  <c:v>1</c:v>
                </c:pt>
                <c:pt idx="1">
                  <c:v>1.1100000000000001</c:v>
                </c:pt>
                <c:pt idx="2">
                  <c:v>1.04</c:v>
                </c:pt>
                <c:pt idx="3">
                  <c:v>1.1000000000000001</c:v>
                </c:pt>
                <c:pt idx="4">
                  <c:v>1.31</c:v>
                </c:pt>
                <c:pt idx="5">
                  <c:v>1.35</c:v>
                </c:pt>
                <c:pt idx="6">
                  <c:v>1.49</c:v>
                </c:pt>
                <c:pt idx="7">
                  <c:v>1.62</c:v>
                </c:pt>
                <c:pt idx="8">
                  <c:v>1.74</c:v>
                </c:pt>
                <c:pt idx="9">
                  <c:v>1.9500000000000006</c:v>
                </c:pt>
                <c:pt idx="10">
                  <c:v>2.16</c:v>
                </c:pt>
                <c:pt idx="11">
                  <c:v>2.34</c:v>
                </c:pt>
                <c:pt idx="12">
                  <c:v>2.52</c:v>
                </c:pt>
                <c:pt idx="13">
                  <c:v>2.2000000000000002</c:v>
                </c:pt>
                <c:pt idx="14">
                  <c:v>2.23</c:v>
                </c:pt>
                <c:pt idx="15">
                  <c:v>2.29</c:v>
                </c:pt>
                <c:pt idx="16">
                  <c:v>2.3299999999999987</c:v>
                </c:pt>
              </c:numCache>
            </c:numRef>
          </c:val>
        </c:ser>
        <c:ser>
          <c:idx val="1"/>
          <c:order val="1"/>
          <c:tx>
            <c:strRef>
              <c:f>Лист1!$A$67</c:f>
              <c:strCache>
                <c:ptCount val="1"/>
                <c:pt idx="0">
                  <c:v>ИОК к 1996</c:v>
                </c:pt>
              </c:strCache>
            </c:strRef>
          </c:tx>
          <c:spPr>
            <a:ln w="22225">
              <a:solidFill>
                <a:schemeClr val="tx1"/>
              </a:solidFill>
            </a:ln>
          </c:spPr>
          <c:marker>
            <c:symbol val="square"/>
            <c:size val="4"/>
            <c:spPr>
              <a:solidFill>
                <a:schemeClr val="tx1"/>
              </a:solidFill>
              <a:ln>
                <a:solidFill>
                  <a:prstClr val="black"/>
                </a:solidFill>
              </a:ln>
            </c:spPr>
          </c:marker>
          <c:dLbls>
            <c:dLbl>
              <c:idx val="3"/>
              <c:layout>
                <c:manualLayout>
                  <c:x val="-5.8424612205814977E-2"/>
                  <c:y val="-4.1739122813808482E-2"/>
                </c:manualLayout>
              </c:layout>
              <c:showVal val="1"/>
            </c:dLbl>
            <c:dLbl>
              <c:idx val="4"/>
              <c:layout>
                <c:manualLayout>
                  <c:x val="-3.6167617079790292E-2"/>
                  <c:y val="-3.2463762188517827E-2"/>
                </c:manualLayout>
              </c:layout>
              <c:showVal val="1"/>
            </c:dLbl>
            <c:dLbl>
              <c:idx val="9"/>
              <c:layout>
                <c:manualLayout>
                  <c:x val="-7.2335234159580805E-2"/>
                  <c:y val="-1.8550721250581596E-2"/>
                </c:manualLayout>
              </c:layout>
              <c:showVal val="1"/>
            </c:dLbl>
            <c:dLbl>
              <c:idx val="12"/>
              <c:layout>
                <c:manualLayout>
                  <c:x val="-4.4513990252049856E-2"/>
                  <c:y val="-4.1739122813808482E-2"/>
                </c:manualLayout>
              </c:layout>
              <c:showVal val="1"/>
            </c:dLbl>
            <c:dLbl>
              <c:idx val="14"/>
              <c:layout>
                <c:manualLayout>
                  <c:x val="-4.1731865861296416E-2"/>
                  <c:y val="5.1014483439099333E-2"/>
                </c:manualLayout>
              </c:layout>
              <c:showVal val="1"/>
            </c:dLbl>
            <c:delete val="1"/>
            <c:txPr>
              <a:bodyPr/>
              <a:lstStyle/>
              <a:p>
                <a:pPr>
                  <a:defRPr b="1"/>
                </a:pPr>
                <a:endParaRPr lang="ru-RU"/>
              </a:p>
            </c:txPr>
          </c:dLbls>
          <c:cat>
            <c:numRef>
              <c:f>Лист1!$B$65:$R$65</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Лист1!$B$67:$R$67</c:f>
              <c:numCache>
                <c:formatCode>General</c:formatCode>
                <c:ptCount val="17"/>
                <c:pt idx="0">
                  <c:v>1</c:v>
                </c:pt>
                <c:pt idx="1">
                  <c:v>1.0629999999999993</c:v>
                </c:pt>
                <c:pt idx="2">
                  <c:v>1.31</c:v>
                </c:pt>
                <c:pt idx="3">
                  <c:v>1.36</c:v>
                </c:pt>
                <c:pt idx="4">
                  <c:v>1.56</c:v>
                </c:pt>
                <c:pt idx="5">
                  <c:v>1.45</c:v>
                </c:pt>
                <c:pt idx="6">
                  <c:v>1.57</c:v>
                </c:pt>
                <c:pt idx="7">
                  <c:v>1.6900000000000006</c:v>
                </c:pt>
                <c:pt idx="8">
                  <c:v>1.9200000000000006</c:v>
                </c:pt>
                <c:pt idx="9">
                  <c:v>2.12</c:v>
                </c:pt>
                <c:pt idx="10">
                  <c:v>2.4499999999999997</c:v>
                </c:pt>
                <c:pt idx="11">
                  <c:v>2.72</c:v>
                </c:pt>
                <c:pt idx="12">
                  <c:v>2.7800000000000002</c:v>
                </c:pt>
                <c:pt idx="13">
                  <c:v>2.13</c:v>
                </c:pt>
                <c:pt idx="14">
                  <c:v>2.04</c:v>
                </c:pt>
                <c:pt idx="15">
                  <c:v>2.14</c:v>
                </c:pt>
                <c:pt idx="16">
                  <c:v>2.3199999999999985</c:v>
                </c:pt>
              </c:numCache>
            </c:numRef>
          </c:val>
        </c:ser>
        <c:ser>
          <c:idx val="2"/>
          <c:order val="2"/>
          <c:tx>
            <c:strRef>
              <c:f>Лист1!$A$68</c:f>
              <c:strCache>
                <c:ptCount val="1"/>
                <c:pt idx="0">
                  <c:v>Электропотребление к 1996</c:v>
                </c:pt>
              </c:strCache>
            </c:strRef>
          </c:tx>
          <c:spPr>
            <a:ln w="22225">
              <a:solidFill>
                <a:srgbClr val="0070C0"/>
              </a:solidFill>
            </a:ln>
          </c:spPr>
          <c:marker>
            <c:symbol val="triangle"/>
            <c:size val="4"/>
            <c:spPr>
              <a:solidFill>
                <a:srgbClr val="0070C0"/>
              </a:solidFill>
              <a:ln>
                <a:solidFill>
                  <a:srgbClr val="0070C0"/>
                </a:solidFill>
              </a:ln>
            </c:spPr>
          </c:marker>
          <c:dLbls>
            <c:dLbl>
              <c:idx val="0"/>
              <c:layout>
                <c:manualLayout>
                  <c:x val="-5.0078239033555703E-2"/>
                  <c:y val="5.1014483439099333E-2"/>
                </c:manualLayout>
              </c:layout>
              <c:showVal val="1"/>
            </c:dLbl>
            <c:dLbl>
              <c:idx val="5"/>
              <c:layout>
                <c:manualLayout>
                  <c:x val="-3.8949741470543461E-2"/>
                  <c:y val="4.1739122813808482E-2"/>
                </c:manualLayout>
              </c:layout>
              <c:showVal val="1"/>
            </c:dLbl>
            <c:dLbl>
              <c:idx val="9"/>
              <c:layout>
                <c:manualLayout>
                  <c:x val="-6.1206736596568084E-2"/>
                  <c:y val="4.1739230092706914E-2"/>
                </c:manualLayout>
              </c:layout>
              <c:showVal val="1"/>
            </c:dLbl>
            <c:dLbl>
              <c:idx val="11"/>
              <c:layout>
                <c:manualLayout>
                  <c:x val="-4.729611464280279E-2"/>
                  <c:y val="5.4380284119205577E-2"/>
                </c:manualLayout>
              </c:layout>
              <c:showVal val="1"/>
            </c:dLbl>
            <c:dLbl>
              <c:idx val="12"/>
              <c:layout>
                <c:manualLayout>
                  <c:x val="-4.1731865861296416E-2"/>
                  <c:y val="-4.1739122813808482E-2"/>
                </c:manualLayout>
              </c:layout>
              <c:showVal val="1"/>
            </c:dLbl>
            <c:dLbl>
              <c:idx val="13"/>
              <c:layout>
                <c:manualLayout>
                  <c:x val="-3.8949741470543461E-2"/>
                  <c:y val="4.1739122813808482E-2"/>
                </c:manualLayout>
              </c:layout>
              <c:showVal val="1"/>
            </c:dLbl>
            <c:dLbl>
              <c:idx val="16"/>
              <c:layout>
                <c:manualLayout>
                  <c:x val="-3.6167617079790292E-2"/>
                  <c:y val="-2.7826081875872311E-2"/>
                </c:manualLayout>
              </c:layout>
              <c:showVal val="1"/>
            </c:dLbl>
            <c:delete val="1"/>
            <c:txPr>
              <a:bodyPr/>
              <a:lstStyle/>
              <a:p>
                <a:pPr>
                  <a:defRPr b="1">
                    <a:solidFill>
                      <a:srgbClr val="0070C0"/>
                    </a:solidFill>
                  </a:defRPr>
                </a:pPr>
                <a:endParaRPr lang="ru-RU"/>
              </a:p>
            </c:txPr>
          </c:dLbls>
          <c:cat>
            <c:numRef>
              <c:f>Лист1!$B$65:$R$65</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Лист1!$B$68:$R$68</c:f>
              <c:numCache>
                <c:formatCode>0.00</c:formatCode>
                <c:ptCount val="17"/>
                <c:pt idx="0">
                  <c:v>1</c:v>
                </c:pt>
                <c:pt idx="1">
                  <c:v>1.0241691842900302</c:v>
                </c:pt>
                <c:pt idx="2">
                  <c:v>1.0604229607250761</c:v>
                </c:pt>
                <c:pt idx="3">
                  <c:v>1.09667673716012</c:v>
                </c:pt>
                <c:pt idx="4">
                  <c:v>1.1450151057401818</c:v>
                </c:pt>
                <c:pt idx="5">
                  <c:v>1.2015105740181269</c:v>
                </c:pt>
                <c:pt idx="6">
                  <c:v>1.242296072507552</c:v>
                </c:pt>
                <c:pt idx="7">
                  <c:v>1.2725075528700904</c:v>
                </c:pt>
                <c:pt idx="8">
                  <c:v>1.3205438066465265</c:v>
                </c:pt>
                <c:pt idx="9">
                  <c:v>1.3894259818731121</c:v>
                </c:pt>
                <c:pt idx="10">
                  <c:v>1.4586102719033238</c:v>
                </c:pt>
                <c:pt idx="11">
                  <c:v>1.4891238670694851</c:v>
                </c:pt>
                <c:pt idx="12">
                  <c:v>1.5498489425981872</c:v>
                </c:pt>
                <c:pt idx="13">
                  <c:v>1.5039274924471286</c:v>
                </c:pt>
                <c:pt idx="14">
                  <c:v>1.5694864048338375</c:v>
                </c:pt>
                <c:pt idx="15">
                  <c:v>1.6012084592145015</c:v>
                </c:pt>
                <c:pt idx="16">
                  <c:v>1.6021148036253781</c:v>
                </c:pt>
              </c:numCache>
            </c:numRef>
          </c:val>
        </c:ser>
        <c:marker val="1"/>
        <c:axId val="264309376"/>
        <c:axId val="264360320"/>
      </c:lineChart>
      <c:catAx>
        <c:axId val="264309376"/>
        <c:scaling>
          <c:orientation val="minMax"/>
        </c:scaling>
        <c:axPos val="b"/>
        <c:numFmt formatCode="General" sourceLinked="1"/>
        <c:tickLblPos val="nextTo"/>
        <c:crossAx val="264360320"/>
        <c:crosses val="autoZero"/>
        <c:auto val="1"/>
        <c:lblAlgn val="ctr"/>
        <c:lblOffset val="100"/>
        <c:tickLblSkip val="4"/>
      </c:catAx>
      <c:valAx>
        <c:axId val="264360320"/>
        <c:scaling>
          <c:orientation val="minMax"/>
        </c:scaling>
        <c:axPos val="l"/>
        <c:majorGridlines/>
        <c:numFmt formatCode="0.00" sourceLinked="1"/>
        <c:tickLblPos val="nextTo"/>
        <c:crossAx val="264309376"/>
        <c:crosses val="autoZero"/>
        <c:crossBetween val="between"/>
      </c:valAx>
    </c:plotArea>
    <c:legend>
      <c:legendPos val="b"/>
    </c:legend>
    <c:plotVisOnly val="1"/>
  </c:chart>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657649865509732E-2"/>
          <c:y val="0.14067884371596406"/>
          <c:w val="0.75708344700640062"/>
          <c:h val="0.81781188065777721"/>
        </c:manualLayout>
      </c:layout>
      <c:lineChart>
        <c:grouping val="standard"/>
        <c:ser>
          <c:idx val="0"/>
          <c:order val="0"/>
          <c:tx>
            <c:strRef>
              <c:f>Лист1!$A$2</c:f>
              <c:strCache>
                <c:ptCount val="1"/>
                <c:pt idx="0">
                  <c:v>Элек.потр.</c:v>
                </c:pt>
              </c:strCache>
            </c:strRef>
          </c:tx>
          <c:dLbls>
            <c:txPr>
              <a:bodyPr/>
              <a:lstStyle/>
              <a:p>
                <a:pPr>
                  <a:defRPr>
                    <a:solidFill>
                      <a:schemeClr val="accent1"/>
                    </a:solidFill>
                  </a:defRPr>
                </a:pPr>
                <a:endParaRPr lang="ru-RU"/>
              </a:p>
            </c:txPr>
            <c:dLblPos val="b"/>
            <c:showVal val="1"/>
          </c:dLbls>
          <c:cat>
            <c:numRef>
              <c:f>Лист1!$B$1:$W$1</c:f>
              <c:numCache>
                <c:formatCode>General</c:formatCode>
                <c:ptCount val="22"/>
                <c:pt idx="0">
                  <c:v>1991</c:v>
                </c:pt>
                <c:pt idx="2">
                  <c:v>1993</c:v>
                </c:pt>
                <c:pt idx="4">
                  <c:v>1995</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Лист1!$B$2:$W$2</c:f>
              <c:numCache>
                <c:formatCode>0.00%</c:formatCode>
                <c:ptCount val="22"/>
                <c:pt idx="0">
                  <c:v>-1.2999999999999998E-2</c:v>
                </c:pt>
                <c:pt idx="1">
                  <c:v>-6.9000000000000034E-2</c:v>
                </c:pt>
                <c:pt idx="2">
                  <c:v>-2.8000000000000001E-2</c:v>
                </c:pt>
                <c:pt idx="3">
                  <c:v>-4.1000000000000002E-2</c:v>
                </c:pt>
                <c:pt idx="4">
                  <c:v>3.0000000000000002E-2</c:v>
                </c:pt>
                <c:pt idx="5">
                  <c:v>-2.1000000000000012E-2</c:v>
                </c:pt>
                <c:pt idx="6">
                  <c:v>2.4E-2</c:v>
                </c:pt>
                <c:pt idx="7">
                  <c:v>3.500000000000001E-2</c:v>
                </c:pt>
                <c:pt idx="8">
                  <c:v>3.4000000000000002E-2</c:v>
                </c:pt>
                <c:pt idx="9">
                  <c:v>4.3999999999999997E-2</c:v>
                </c:pt>
                <c:pt idx="10">
                  <c:v>0.05</c:v>
                </c:pt>
                <c:pt idx="11">
                  <c:v>3.4000000000000002E-2</c:v>
                </c:pt>
                <c:pt idx="12">
                  <c:v>2.4E-2</c:v>
                </c:pt>
                <c:pt idx="13">
                  <c:v>3.7999999999999999E-2</c:v>
                </c:pt>
                <c:pt idx="14">
                  <c:v>5.1999999999999998E-2</c:v>
                </c:pt>
                <c:pt idx="15">
                  <c:v>0.05</c:v>
                </c:pt>
                <c:pt idx="16">
                  <c:v>2.1000000000000012E-2</c:v>
                </c:pt>
                <c:pt idx="17">
                  <c:v>4.1000000000000002E-2</c:v>
                </c:pt>
                <c:pt idx="18">
                  <c:v>-3.0000000000000002E-2</c:v>
                </c:pt>
                <c:pt idx="19">
                  <c:v>4.3999999999999997E-2</c:v>
                </c:pt>
              </c:numCache>
            </c:numRef>
          </c:val>
        </c:ser>
        <c:ser>
          <c:idx val="1"/>
          <c:order val="1"/>
          <c:tx>
            <c:strRef>
              <c:f>Лист1!$A$3</c:f>
              <c:strCache>
                <c:ptCount val="1"/>
                <c:pt idx="0">
                  <c:v>ВРП МОСКВА</c:v>
                </c:pt>
              </c:strCache>
            </c:strRef>
          </c:tx>
          <c:spPr>
            <a:ln>
              <a:solidFill>
                <a:srgbClr val="FF0000"/>
              </a:solidFill>
            </a:ln>
          </c:spPr>
          <c:marker>
            <c:spPr>
              <a:solidFill>
                <a:srgbClr val="FF0000"/>
              </a:solidFill>
            </c:spPr>
          </c:marker>
          <c:dLbls>
            <c:dLbl>
              <c:idx val="6"/>
              <c:layout>
                <c:manualLayout>
                  <c:x val="-2.3507992759176012E-2"/>
                  <c:y val="-2.3198608487478258E-2"/>
                </c:manualLayout>
              </c:layout>
              <c:dLblPos val="r"/>
              <c:showVal val="1"/>
            </c:dLbl>
            <c:dLbl>
              <c:idx val="17"/>
              <c:delete val="1"/>
            </c:dLbl>
            <c:dLbl>
              <c:idx val="18"/>
              <c:layout>
                <c:manualLayout>
                  <c:x val="-5.5219153943785196E-2"/>
                  <c:y val="1.7623866323640242E-2"/>
                </c:manualLayout>
              </c:layout>
              <c:dLblPos val="r"/>
              <c:showVal val="1"/>
            </c:dLbl>
            <c:txPr>
              <a:bodyPr/>
              <a:lstStyle/>
              <a:p>
                <a:pPr>
                  <a:defRPr sz="1200">
                    <a:solidFill>
                      <a:srgbClr val="FF0000"/>
                    </a:solidFill>
                  </a:defRPr>
                </a:pPr>
                <a:endParaRPr lang="ru-RU"/>
              </a:p>
            </c:txPr>
            <c:dLblPos val="t"/>
            <c:showVal val="1"/>
          </c:dLbls>
          <c:cat>
            <c:numRef>
              <c:f>Лист1!$B$1:$W$1</c:f>
              <c:numCache>
                <c:formatCode>General</c:formatCode>
                <c:ptCount val="22"/>
                <c:pt idx="0">
                  <c:v>1991</c:v>
                </c:pt>
                <c:pt idx="2">
                  <c:v>1993</c:v>
                </c:pt>
                <c:pt idx="4">
                  <c:v>1995</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Лист1!$B$3:$W$3</c:f>
              <c:numCache>
                <c:formatCode>General</c:formatCode>
                <c:ptCount val="22"/>
                <c:pt idx="6" formatCode="0.00%">
                  <c:v>0.111</c:v>
                </c:pt>
                <c:pt idx="7" formatCode="0.00%">
                  <c:v>-6.8000000000000019E-2</c:v>
                </c:pt>
                <c:pt idx="8" formatCode="0.00%">
                  <c:v>6.9000000000000034E-2</c:v>
                </c:pt>
                <c:pt idx="9" formatCode="0.00%">
                  <c:v>0.18900000000000045</c:v>
                </c:pt>
                <c:pt idx="10" formatCode="0.00%">
                  <c:v>3.0000000000000002E-2</c:v>
                </c:pt>
                <c:pt idx="11" formatCode="0.00%">
                  <c:v>0.1</c:v>
                </c:pt>
                <c:pt idx="12" formatCode="0.00%">
                  <c:v>8.8000000000000064E-2</c:v>
                </c:pt>
                <c:pt idx="13" formatCode="0.00%">
                  <c:v>7.1999999999999995E-2</c:v>
                </c:pt>
                <c:pt idx="14" formatCode="0.00%">
                  <c:v>0.125</c:v>
                </c:pt>
                <c:pt idx="15" formatCode="0.00%">
                  <c:v>0.10700000000000012</c:v>
                </c:pt>
                <c:pt idx="16" formatCode="0.00%">
                  <c:v>8.3000000000000046E-2</c:v>
                </c:pt>
                <c:pt idx="17" formatCode="0.00%">
                  <c:v>7.6999999999999999E-2</c:v>
                </c:pt>
                <c:pt idx="18" formatCode="0.00%">
                  <c:v>-0.128</c:v>
                </c:pt>
                <c:pt idx="19" formatCode="0.00%">
                  <c:v>1.4E-2</c:v>
                </c:pt>
                <c:pt idx="20" formatCode="0.00%">
                  <c:v>2.8000000000000001E-2</c:v>
                </c:pt>
                <c:pt idx="21" formatCode="0.00%">
                  <c:v>2.0000000000000011E-2</c:v>
                </c:pt>
              </c:numCache>
            </c:numRef>
          </c:val>
        </c:ser>
        <c:ser>
          <c:idx val="2"/>
          <c:order val="2"/>
          <c:tx>
            <c:strRef>
              <c:f>Лист1!$A$15</c:f>
              <c:strCache>
                <c:ptCount val="1"/>
                <c:pt idx="0">
                  <c:v>Электропотребление (Мосэнергосбыт)</c:v>
                </c:pt>
              </c:strCache>
            </c:strRef>
          </c:tx>
          <c:spPr>
            <a:ln w="19050">
              <a:solidFill>
                <a:srgbClr val="002060"/>
              </a:solidFill>
            </a:ln>
          </c:spPr>
          <c:marker>
            <c:symbol val="triangle"/>
            <c:size val="4"/>
            <c:spPr>
              <a:solidFill>
                <a:srgbClr val="002060"/>
              </a:solidFill>
              <a:ln>
                <a:solidFill>
                  <a:srgbClr val="002060"/>
                </a:solidFill>
              </a:ln>
            </c:spPr>
          </c:marker>
          <c:val>
            <c:numRef>
              <c:f>Лист1!$C$17:$X$17</c:f>
              <c:numCache>
                <c:formatCode>0.0%</c:formatCode>
                <c:ptCount val="22"/>
                <c:pt idx="0">
                  <c:v>-1.3054830287206281E-2</c:v>
                </c:pt>
                <c:pt idx="1">
                  <c:v>-6.878306878306864E-2</c:v>
                </c:pt>
                <c:pt idx="2">
                  <c:v>-2.8409090909090912E-2</c:v>
                </c:pt>
                <c:pt idx="3">
                  <c:v>-4.0935672514620054E-2</c:v>
                </c:pt>
                <c:pt idx="4">
                  <c:v>3.0487804878048801E-2</c:v>
                </c:pt>
                <c:pt idx="5">
                  <c:v>-2.0710059171597503E-2</c:v>
                </c:pt>
                <c:pt idx="6">
                  <c:v>2.4169184290029996E-2</c:v>
                </c:pt>
                <c:pt idx="7">
                  <c:v>3.5398230088495658E-2</c:v>
                </c:pt>
                <c:pt idx="8">
                  <c:v>3.4188034188034074E-2</c:v>
                </c:pt>
                <c:pt idx="9">
                  <c:v>3.8567493112947784E-2</c:v>
                </c:pt>
                <c:pt idx="10">
                  <c:v>4.5092838196286504E-2</c:v>
                </c:pt>
                <c:pt idx="11">
                  <c:v>3.8071065989847802E-2</c:v>
                </c:pt>
                <c:pt idx="12">
                  <c:v>2.444987775061137E-2</c:v>
                </c:pt>
                <c:pt idx="13">
                  <c:v>4.2959427207637478E-2</c:v>
                </c:pt>
                <c:pt idx="14">
                  <c:v>2.2883295194508012E-2</c:v>
                </c:pt>
                <c:pt idx="15">
                  <c:v>4.69798657718117E-2</c:v>
                </c:pt>
                <c:pt idx="16">
                  <c:v>4.2735042735042736E-2</c:v>
                </c:pt>
                <c:pt idx="17">
                  <c:v>-1.2295081967213005E-2</c:v>
                </c:pt>
                <c:pt idx="18">
                  <c:v>-2.2821576763485583E-2</c:v>
                </c:pt>
                <c:pt idx="19">
                  <c:v>2.9723991507430981E-2</c:v>
                </c:pt>
              </c:numCache>
            </c:numRef>
          </c:val>
        </c:ser>
        <c:ser>
          <c:idx val="3"/>
          <c:order val="3"/>
          <c:tx>
            <c:strRef>
              <c:f>Лист1!$A$18</c:f>
              <c:strCache>
                <c:ptCount val="1"/>
                <c:pt idx="0">
                  <c:v>Среднее Мосэнергосбыт </c:v>
                </c:pt>
              </c:strCache>
            </c:strRef>
          </c:tx>
          <c:spPr>
            <a:ln w="19050">
              <a:solidFill>
                <a:srgbClr val="002060"/>
              </a:solidFill>
              <a:prstDash val="dash"/>
            </a:ln>
          </c:spPr>
          <c:marker>
            <c:symbol val="none"/>
          </c:marker>
          <c:val>
            <c:numRef>
              <c:f>Лист1!$C$18:$X$18</c:f>
              <c:numCache>
                <c:formatCode>General</c:formatCode>
                <c:ptCount val="22"/>
                <c:pt idx="6" formatCode="0.0%">
                  <c:v>3.5954032229568458E-2</c:v>
                </c:pt>
                <c:pt idx="7" formatCode="0.0%">
                  <c:v>3.5954032229568458E-2</c:v>
                </c:pt>
                <c:pt idx="8" formatCode="0.0%">
                  <c:v>3.5954032229568458E-2</c:v>
                </c:pt>
                <c:pt idx="9" formatCode="0.0%">
                  <c:v>3.5954032229568458E-2</c:v>
                </c:pt>
                <c:pt idx="10" formatCode="0.0%">
                  <c:v>3.5954032229568458E-2</c:v>
                </c:pt>
                <c:pt idx="11" formatCode="0.0%">
                  <c:v>3.5954032229568458E-2</c:v>
                </c:pt>
                <c:pt idx="12" formatCode="0.0%">
                  <c:v>3.5954032229568458E-2</c:v>
                </c:pt>
                <c:pt idx="13" formatCode="0.0%">
                  <c:v>3.5954032229568458E-2</c:v>
                </c:pt>
                <c:pt idx="14" formatCode="0.0%">
                  <c:v>3.5954032229568458E-2</c:v>
                </c:pt>
                <c:pt idx="15" formatCode="0.0%">
                  <c:v>3.5954032229568458E-2</c:v>
                </c:pt>
                <c:pt idx="16" formatCode="0.0%">
                  <c:v>3.5954032229568458E-2</c:v>
                </c:pt>
              </c:numCache>
            </c:numRef>
          </c:val>
        </c:ser>
        <c:marker val="1"/>
        <c:axId val="263820416"/>
        <c:axId val="263821952"/>
      </c:lineChart>
      <c:catAx>
        <c:axId val="263820416"/>
        <c:scaling>
          <c:orientation val="minMax"/>
        </c:scaling>
        <c:axPos val="b"/>
        <c:numFmt formatCode="General" sourceLinked="1"/>
        <c:tickLblPos val="nextTo"/>
        <c:crossAx val="263821952"/>
        <c:crosses val="autoZero"/>
        <c:auto val="1"/>
        <c:lblAlgn val="ctr"/>
        <c:lblOffset val="100"/>
      </c:catAx>
      <c:valAx>
        <c:axId val="263821952"/>
        <c:scaling>
          <c:orientation val="minMax"/>
        </c:scaling>
        <c:axPos val="l"/>
        <c:majorGridlines/>
        <c:numFmt formatCode="0.00%" sourceLinked="1"/>
        <c:tickLblPos val="nextTo"/>
        <c:crossAx val="263820416"/>
        <c:crosses val="autoZero"/>
        <c:crossBetween val="between"/>
      </c:valAx>
      <c:spPr>
        <a:ln>
          <a:solidFill>
            <a:srgbClr val="FF0000"/>
          </a:solidFill>
        </a:ln>
      </c:spPr>
    </c:plotArea>
    <c:legend>
      <c:legendPos val="r"/>
      <c:layout>
        <c:manualLayout>
          <c:xMode val="edge"/>
          <c:yMode val="edge"/>
          <c:x val="0.88169510348245783"/>
          <c:y val="0.15740835966932831"/>
          <c:w val="0.11830516383392164"/>
          <c:h val="0.21868980663131393"/>
        </c:manualLayout>
      </c:layout>
    </c:legend>
    <c:plotVisOnly val="1"/>
  </c:chart>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Коэффициент эластичности</a:t>
            </a:r>
          </a:p>
        </c:rich>
      </c:tx>
      <c:layout>
        <c:manualLayout>
          <c:xMode val="edge"/>
          <c:yMode val="edge"/>
          <c:x val="0.16256917813723029"/>
          <c:y val="4.9285505978419367E-2"/>
        </c:manualLayout>
      </c:layout>
    </c:title>
    <c:plotArea>
      <c:layout>
        <c:manualLayout>
          <c:layoutTarget val="inner"/>
          <c:xMode val="edge"/>
          <c:yMode val="edge"/>
          <c:x val="7.3931949705072886E-2"/>
          <c:y val="3.9827521559805026E-2"/>
          <c:w val="0.76404079990759965"/>
          <c:h val="0.92689697077786737"/>
        </c:manualLayout>
      </c:layout>
      <c:scatterChart>
        <c:scatterStyle val="lineMarker"/>
        <c:ser>
          <c:idx val="0"/>
          <c:order val="0"/>
          <c:tx>
            <c:strRef>
              <c:f>Лист1!$G$9</c:f>
              <c:strCache>
                <c:ptCount val="1"/>
                <c:pt idx="0">
                  <c:v>Коэф.эл.</c:v>
                </c:pt>
              </c:strCache>
            </c:strRef>
          </c:tx>
          <c:spPr>
            <a:ln w="28575">
              <a:noFill/>
            </a:ln>
          </c:spPr>
          <c:marker>
            <c:symbol val="circle"/>
            <c:size val="7"/>
          </c:marker>
          <c:dLbls>
            <c:dLbl>
              <c:idx val="6"/>
              <c:delete val="1"/>
            </c:dLbl>
            <c:spPr>
              <a:ln>
                <a:solidFill>
                  <a:schemeClr val="bg1"/>
                </a:solidFill>
              </a:ln>
            </c:spPr>
            <c:txPr>
              <a:bodyPr/>
              <a:lstStyle/>
              <a:p>
                <a:pPr>
                  <a:defRPr>
                    <a:solidFill>
                      <a:schemeClr val="tx2">
                        <a:lumMod val="60000"/>
                        <a:lumOff val="40000"/>
                      </a:schemeClr>
                    </a:solidFill>
                  </a:defRPr>
                </a:pPr>
                <a:endParaRPr lang="ru-RU"/>
              </a:p>
            </c:txPr>
            <c:dLblPos val="t"/>
            <c:showVal val="1"/>
          </c:dLbls>
          <c:xVal>
            <c:numRef>
              <c:f>Лист1!$H$8:$W$8</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xVal>
          <c:yVal>
            <c:numRef>
              <c:f>Лист1!$H$9:$W$9</c:f>
              <c:numCache>
                <c:formatCode>0.00</c:formatCode>
                <c:ptCount val="16"/>
                <c:pt idx="0">
                  <c:v>0.21621621621621673</c:v>
                </c:pt>
                <c:pt idx="1">
                  <c:v>-0.51470588235294124</c:v>
                </c:pt>
                <c:pt idx="2">
                  <c:v>0.49275362318840582</c:v>
                </c:pt>
                <c:pt idx="3">
                  <c:v>0.23280423280423337</c:v>
                </c:pt>
                <c:pt idx="4">
                  <c:v>1.6666666666666667</c:v>
                </c:pt>
                <c:pt idx="5">
                  <c:v>0.34</c:v>
                </c:pt>
                <c:pt idx="6">
                  <c:v>0.27272727272727282</c:v>
                </c:pt>
                <c:pt idx="7">
                  <c:v>0.52777777777777779</c:v>
                </c:pt>
                <c:pt idx="8">
                  <c:v>0.41600000000000031</c:v>
                </c:pt>
                <c:pt idx="9">
                  <c:v>0.46728971962616828</c:v>
                </c:pt>
                <c:pt idx="10">
                  <c:v>0.25301204819277107</c:v>
                </c:pt>
                <c:pt idx="11">
                  <c:v>0.53246753246753253</c:v>
                </c:pt>
                <c:pt idx="12">
                  <c:v>0.234375</c:v>
                </c:pt>
                <c:pt idx="13">
                  <c:v>3.1428571428571432</c:v>
                </c:pt>
                <c:pt idx="14">
                  <c:v>0</c:v>
                </c:pt>
                <c:pt idx="15">
                  <c:v>0</c:v>
                </c:pt>
              </c:numCache>
            </c:numRef>
          </c:yVal>
        </c:ser>
        <c:axId val="264372992"/>
        <c:axId val="264421760"/>
      </c:scatterChart>
      <c:valAx>
        <c:axId val="264372992"/>
        <c:scaling>
          <c:orientation val="minMax"/>
        </c:scaling>
        <c:axPos val="b"/>
        <c:numFmt formatCode="General" sourceLinked="1"/>
        <c:tickLblPos val="nextTo"/>
        <c:crossAx val="264421760"/>
        <c:crosses val="autoZero"/>
        <c:crossBetween val="midCat"/>
      </c:valAx>
      <c:valAx>
        <c:axId val="264421760"/>
        <c:scaling>
          <c:orientation val="minMax"/>
        </c:scaling>
        <c:axPos val="l"/>
        <c:majorGridlines/>
        <c:numFmt formatCode="0.00" sourceLinked="1"/>
        <c:tickLblPos val="nextTo"/>
        <c:crossAx val="264372992"/>
        <c:crosses val="autoZero"/>
        <c:crossBetween val="midCat"/>
      </c:valAx>
    </c:plotArea>
    <c:legend>
      <c:legendPos val="r"/>
    </c:legend>
    <c:plotVisOnly val="1"/>
  </c:chart>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lang val="ru-RU"/>
  <c:chart>
    <c:title/>
    <c:plotArea>
      <c:layout>
        <c:manualLayout>
          <c:layoutTarget val="inner"/>
          <c:xMode val="edge"/>
          <c:yMode val="edge"/>
          <c:x val="5.9857346655681334E-2"/>
          <c:y val="0.17122259901523948"/>
          <c:w val="0.77229424952380366"/>
          <c:h val="0.79458250598021285"/>
        </c:manualLayout>
      </c:layout>
      <c:scatterChart>
        <c:scatterStyle val="lineMarker"/>
        <c:ser>
          <c:idx val="1"/>
          <c:order val="0"/>
          <c:tx>
            <c:strRef>
              <c:f>Лист1!$G$10</c:f>
              <c:strCache>
                <c:ptCount val="1"/>
                <c:pt idx="0">
                  <c:v>Лок.осредн.</c:v>
                </c:pt>
              </c:strCache>
            </c:strRef>
          </c:tx>
          <c:spPr>
            <a:ln w="28575">
              <a:noFill/>
            </a:ln>
          </c:spPr>
          <c:marker>
            <c:symbol val="circle"/>
            <c:size val="7"/>
            <c:spPr>
              <a:solidFill>
                <a:schemeClr val="accent1"/>
              </a:solidFill>
              <a:ln>
                <a:solidFill>
                  <a:schemeClr val="tx2">
                    <a:lumMod val="60000"/>
                    <a:lumOff val="40000"/>
                  </a:schemeClr>
                </a:solidFill>
              </a:ln>
            </c:spPr>
          </c:marker>
          <c:dLbls>
            <c:txPr>
              <a:bodyPr/>
              <a:lstStyle/>
              <a:p>
                <a:pPr>
                  <a:defRPr sz="1200" b="1">
                    <a:solidFill>
                      <a:schemeClr val="tx2">
                        <a:lumMod val="60000"/>
                        <a:lumOff val="40000"/>
                      </a:schemeClr>
                    </a:solidFill>
                  </a:defRPr>
                </a:pPr>
                <a:endParaRPr lang="ru-RU"/>
              </a:p>
            </c:txPr>
            <c:dLblPos val="t"/>
            <c:showVal val="1"/>
          </c:dLbls>
          <c:xVal>
            <c:numRef>
              <c:f>Лист1!$H$8:$S$8</c:f>
              <c:numCache>
                <c:formatCode>General</c:formatCode>
                <c:ptCount val="12"/>
                <c:pt idx="0">
                  <c:v>1997</c:v>
                </c:pt>
                <c:pt idx="1">
                  <c:v>1998</c:v>
                </c:pt>
                <c:pt idx="2">
                  <c:v>1999</c:v>
                </c:pt>
                <c:pt idx="3">
                  <c:v>2000</c:v>
                </c:pt>
                <c:pt idx="4">
                  <c:v>2001</c:v>
                </c:pt>
                <c:pt idx="5">
                  <c:v>2002</c:v>
                </c:pt>
                <c:pt idx="6">
                  <c:v>2003</c:v>
                </c:pt>
                <c:pt idx="7">
                  <c:v>2004</c:v>
                </c:pt>
                <c:pt idx="8">
                  <c:v>2005</c:v>
                </c:pt>
                <c:pt idx="9">
                  <c:v>2006</c:v>
                </c:pt>
                <c:pt idx="10">
                  <c:v>2007</c:v>
                </c:pt>
                <c:pt idx="11">
                  <c:v>2008</c:v>
                </c:pt>
              </c:numCache>
            </c:numRef>
          </c:xVal>
          <c:yVal>
            <c:numRef>
              <c:f>Лист1!$H$10:$S$10</c:f>
              <c:numCache>
                <c:formatCode>General</c:formatCode>
                <c:ptCount val="12"/>
                <c:pt idx="0">
                  <c:v>0.22</c:v>
                </c:pt>
                <c:pt idx="1">
                  <c:v>-0.51</c:v>
                </c:pt>
                <c:pt idx="2">
                  <c:v>0.49000000000000016</c:v>
                </c:pt>
                <c:pt idx="3">
                  <c:v>0.4</c:v>
                </c:pt>
                <c:pt idx="4">
                  <c:v>0.4</c:v>
                </c:pt>
                <c:pt idx="5">
                  <c:v>0.4</c:v>
                </c:pt>
                <c:pt idx="6">
                  <c:v>0.27</c:v>
                </c:pt>
                <c:pt idx="7">
                  <c:v>0.53</c:v>
                </c:pt>
                <c:pt idx="8">
                  <c:v>0.42000000000000015</c:v>
                </c:pt>
                <c:pt idx="9">
                  <c:v>0.47000000000000008</c:v>
                </c:pt>
                <c:pt idx="10">
                  <c:v>0.25</c:v>
                </c:pt>
                <c:pt idx="11">
                  <c:v>0.53</c:v>
                </c:pt>
              </c:numCache>
            </c:numRef>
          </c:yVal>
        </c:ser>
        <c:axId val="264795648"/>
        <c:axId val="264797184"/>
      </c:scatterChart>
      <c:valAx>
        <c:axId val="264795648"/>
        <c:scaling>
          <c:orientation val="minMax"/>
        </c:scaling>
        <c:axPos val="b"/>
        <c:numFmt formatCode="General" sourceLinked="1"/>
        <c:tickLblPos val="nextTo"/>
        <c:crossAx val="264797184"/>
        <c:crosses val="autoZero"/>
        <c:crossBetween val="midCat"/>
      </c:valAx>
      <c:valAx>
        <c:axId val="264797184"/>
        <c:scaling>
          <c:orientation val="minMax"/>
        </c:scaling>
        <c:axPos val="l"/>
        <c:majorGridlines/>
        <c:numFmt formatCode="General" sourceLinked="1"/>
        <c:tickLblPos val="nextTo"/>
        <c:crossAx val="264795648"/>
        <c:crosses val="autoZero"/>
        <c:crossBetween val="midCat"/>
      </c:valAx>
    </c:plotArea>
    <c:legend>
      <c:legendPos val="r"/>
    </c:legend>
    <c:plotVisOnly val="1"/>
  </c:chart>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997550947595734E-2"/>
          <c:y val="5.8255841413139456E-2"/>
          <c:w val="0.86588385826771663"/>
          <c:h val="0.78120572974650659"/>
        </c:manualLayout>
      </c:layout>
      <c:lineChart>
        <c:grouping val="standard"/>
        <c:ser>
          <c:idx val="0"/>
          <c:order val="0"/>
          <c:tx>
            <c:strRef>
              <c:f>Лист1!$A$71</c:f>
              <c:strCache>
                <c:ptCount val="1"/>
                <c:pt idx="0">
                  <c:v>ВРП к 1996</c:v>
                </c:pt>
              </c:strCache>
            </c:strRef>
          </c:tx>
          <c:spPr>
            <a:ln w="22225">
              <a:solidFill>
                <a:srgbClr val="FF0000"/>
              </a:solidFill>
            </a:ln>
          </c:spPr>
          <c:marker>
            <c:symbol val="diamond"/>
            <c:size val="4"/>
            <c:spPr>
              <a:solidFill>
                <a:srgbClr val="FF0000"/>
              </a:solidFill>
              <a:ln>
                <a:solidFill>
                  <a:srgbClr val="FF0000"/>
                </a:solidFill>
              </a:ln>
            </c:spPr>
          </c:marker>
          <c:dLbls>
            <c:dLbl>
              <c:idx val="3"/>
              <c:layout>
                <c:manualLayout>
                  <c:x val="-3.8774845723873942E-2"/>
                  <c:y val="-3.0848329048843211E-2"/>
                </c:manualLayout>
              </c:layout>
              <c:showVal val="1"/>
            </c:dLbl>
            <c:dLbl>
              <c:idx val="8"/>
              <c:showVal val="1"/>
            </c:dLbl>
            <c:dLbl>
              <c:idx val="12"/>
              <c:layout>
                <c:manualLayout>
                  <c:x val="-6.3888888888888884E-2"/>
                  <c:y val="-1.8518518518518559E-2"/>
                </c:manualLayout>
              </c:layout>
              <c:showVal val="1"/>
            </c:dLbl>
            <c:dLbl>
              <c:idx val="13"/>
              <c:layout>
                <c:manualLayout>
                  <c:x val="-3.888888888888889E-2"/>
                  <c:y val="-5.5555555555555455E-2"/>
                </c:manualLayout>
              </c:layout>
              <c:showVal val="1"/>
            </c:dLbl>
            <c:dLbl>
              <c:idx val="16"/>
              <c:showVal val="1"/>
            </c:dLbl>
            <c:delete val="1"/>
            <c:txPr>
              <a:bodyPr/>
              <a:lstStyle/>
              <a:p>
                <a:pPr>
                  <a:defRPr b="1">
                    <a:solidFill>
                      <a:srgbClr val="FF0000"/>
                    </a:solidFill>
                  </a:defRPr>
                </a:pPr>
                <a:endParaRPr lang="ru-RU"/>
              </a:p>
            </c:txPr>
          </c:dLbls>
          <c:cat>
            <c:numRef>
              <c:f>Лист1!$B$70:$R$70</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Лист1!$B$71:$R$71</c:f>
              <c:numCache>
                <c:formatCode>General</c:formatCode>
                <c:ptCount val="17"/>
                <c:pt idx="0">
                  <c:v>1</c:v>
                </c:pt>
                <c:pt idx="1">
                  <c:v>1.0820000000000001</c:v>
                </c:pt>
                <c:pt idx="2">
                  <c:v>1.0569999999999993</c:v>
                </c:pt>
                <c:pt idx="3">
                  <c:v>1.1080000000000001</c:v>
                </c:pt>
                <c:pt idx="4">
                  <c:v>1.1819999999999993</c:v>
                </c:pt>
                <c:pt idx="5">
                  <c:v>1.26</c:v>
                </c:pt>
                <c:pt idx="6">
                  <c:v>1.3260000000000001</c:v>
                </c:pt>
                <c:pt idx="7">
                  <c:v>1.48</c:v>
                </c:pt>
                <c:pt idx="8">
                  <c:v>1.6800000000000006</c:v>
                </c:pt>
                <c:pt idx="9">
                  <c:v>1.81</c:v>
                </c:pt>
                <c:pt idx="10">
                  <c:v>1.9700000000000006</c:v>
                </c:pt>
                <c:pt idx="11">
                  <c:v>2.17</c:v>
                </c:pt>
                <c:pt idx="12">
                  <c:v>2.3499999999999988</c:v>
                </c:pt>
                <c:pt idx="13">
                  <c:v>2.13</c:v>
                </c:pt>
                <c:pt idx="14">
                  <c:v>2.29</c:v>
                </c:pt>
                <c:pt idx="15">
                  <c:v>2.4499999999999997</c:v>
                </c:pt>
                <c:pt idx="16">
                  <c:v>2.54</c:v>
                </c:pt>
              </c:numCache>
            </c:numRef>
          </c:val>
        </c:ser>
        <c:ser>
          <c:idx val="1"/>
          <c:order val="1"/>
          <c:tx>
            <c:strRef>
              <c:f>Лист1!$A$72</c:f>
              <c:strCache>
                <c:ptCount val="1"/>
                <c:pt idx="0">
                  <c:v>ИОК к 1996</c:v>
                </c:pt>
              </c:strCache>
            </c:strRef>
          </c:tx>
          <c:spPr>
            <a:ln w="22225">
              <a:solidFill>
                <a:prstClr val="black"/>
              </a:solidFill>
            </a:ln>
          </c:spPr>
          <c:marker>
            <c:symbol val="square"/>
            <c:size val="4"/>
            <c:spPr>
              <a:solidFill>
                <a:sysClr val="windowText" lastClr="000000"/>
              </a:solidFill>
              <a:ln>
                <a:solidFill>
                  <a:prstClr val="black"/>
                </a:solidFill>
              </a:ln>
            </c:spPr>
          </c:marker>
          <c:dLbls>
            <c:dLbl>
              <c:idx val="3"/>
              <c:layout>
                <c:manualLayout>
                  <c:x val="-6.666666666666668E-2"/>
                  <c:y val="-2.0565552699228787E-2"/>
                </c:manualLayout>
              </c:layout>
              <c:showVal val="1"/>
            </c:dLbl>
            <c:dLbl>
              <c:idx val="4"/>
              <c:layout>
                <c:manualLayout>
                  <c:x val="-5.5555555555555455E-2"/>
                  <c:y val="-4.6296296296296426E-2"/>
                </c:manualLayout>
              </c:layout>
              <c:showVal val="1"/>
            </c:dLbl>
            <c:dLbl>
              <c:idx val="8"/>
              <c:layout>
                <c:manualLayout>
                  <c:x val="-6.9444444444444434E-2"/>
                  <c:y val="-1.8518518518518559E-2"/>
                </c:manualLayout>
              </c:layout>
              <c:showVal val="1"/>
            </c:dLbl>
            <c:dLbl>
              <c:idx val="11"/>
              <c:layout>
                <c:manualLayout>
                  <c:x val="-6.666666666666668E-2"/>
                  <c:y val="-4.1666666666666692E-2"/>
                </c:manualLayout>
              </c:layout>
              <c:showVal val="1"/>
            </c:dLbl>
            <c:dLbl>
              <c:idx val="12"/>
              <c:showVal val="1"/>
            </c:dLbl>
            <c:dLbl>
              <c:idx val="13"/>
              <c:layout>
                <c:manualLayout>
                  <c:x val="-5.5555774278215224E-2"/>
                  <c:y val="4.7676726784473281E-2"/>
                </c:manualLayout>
              </c:layout>
              <c:showVal val="1"/>
            </c:dLbl>
            <c:dLbl>
              <c:idx val="16"/>
              <c:layout>
                <c:manualLayout>
                  <c:x val="-4.1666666666666664E-2"/>
                  <c:y val="-2.9336949847849996E-2"/>
                </c:manualLayout>
              </c:layout>
              <c:showVal val="1"/>
            </c:dLbl>
            <c:delete val="1"/>
            <c:txPr>
              <a:bodyPr/>
              <a:lstStyle/>
              <a:p>
                <a:pPr>
                  <a:defRPr b="1">
                    <a:solidFill>
                      <a:schemeClr val="tx1"/>
                    </a:solidFill>
                  </a:defRPr>
                </a:pPr>
                <a:endParaRPr lang="ru-RU"/>
              </a:p>
            </c:txPr>
          </c:dLbls>
          <c:cat>
            <c:numRef>
              <c:f>Лист1!$B$70:$R$70</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Лист1!$B$72:$R$72</c:f>
              <c:numCache>
                <c:formatCode>General</c:formatCode>
                <c:ptCount val="17"/>
                <c:pt idx="0">
                  <c:v>1</c:v>
                </c:pt>
                <c:pt idx="1">
                  <c:v>0.93200000000000005</c:v>
                </c:pt>
                <c:pt idx="2">
                  <c:v>1.3900000000000001</c:v>
                </c:pt>
                <c:pt idx="3">
                  <c:v>1.58</c:v>
                </c:pt>
                <c:pt idx="4">
                  <c:v>1.76</c:v>
                </c:pt>
                <c:pt idx="5">
                  <c:v>1.45</c:v>
                </c:pt>
                <c:pt idx="6">
                  <c:v>1.73</c:v>
                </c:pt>
                <c:pt idx="7">
                  <c:v>2.19</c:v>
                </c:pt>
                <c:pt idx="8">
                  <c:v>2.7800000000000002</c:v>
                </c:pt>
                <c:pt idx="9">
                  <c:v>2.74</c:v>
                </c:pt>
                <c:pt idx="10">
                  <c:v>3.07</c:v>
                </c:pt>
                <c:pt idx="11">
                  <c:v>4.4800000000000004</c:v>
                </c:pt>
                <c:pt idx="12">
                  <c:v>4.5199999999999996</c:v>
                </c:pt>
                <c:pt idx="13">
                  <c:v>3.3099999999999987</c:v>
                </c:pt>
                <c:pt idx="14">
                  <c:v>3.25</c:v>
                </c:pt>
                <c:pt idx="15">
                  <c:v>2.9899999999999998</c:v>
                </c:pt>
                <c:pt idx="16" formatCode="0.0">
                  <c:v>3</c:v>
                </c:pt>
              </c:numCache>
            </c:numRef>
          </c:val>
        </c:ser>
        <c:ser>
          <c:idx val="2"/>
          <c:order val="2"/>
          <c:tx>
            <c:strRef>
              <c:f>Лист1!$A$73</c:f>
              <c:strCache>
                <c:ptCount val="1"/>
                <c:pt idx="0">
                  <c:v>Электропотребление к 1996</c:v>
                </c:pt>
              </c:strCache>
            </c:strRef>
          </c:tx>
          <c:spPr>
            <a:ln w="22225">
              <a:solidFill>
                <a:srgbClr val="0070C0"/>
              </a:solidFill>
            </a:ln>
          </c:spPr>
          <c:marker>
            <c:symbol val="triangle"/>
            <c:size val="4"/>
            <c:spPr>
              <a:solidFill>
                <a:srgbClr val="0070C0"/>
              </a:solidFill>
              <a:ln>
                <a:solidFill>
                  <a:srgbClr val="0070C0"/>
                </a:solidFill>
              </a:ln>
            </c:spPr>
          </c:marker>
          <c:dLbls>
            <c:dLbl>
              <c:idx val="0"/>
              <c:layout>
                <c:manualLayout>
                  <c:x val="-4.1666666666666664E-2"/>
                  <c:y val="5.0925925925925923E-2"/>
                </c:manualLayout>
              </c:layout>
              <c:showVal val="1"/>
            </c:dLbl>
            <c:dLbl>
              <c:idx val="3"/>
              <c:layout>
                <c:manualLayout>
                  <c:x val="-4.1666666666666664E-2"/>
                  <c:y val="3.0848329048843211E-2"/>
                </c:manualLayout>
              </c:layout>
              <c:showVal val="1"/>
            </c:dLbl>
            <c:dLbl>
              <c:idx val="6"/>
              <c:layout>
                <c:manualLayout>
                  <c:x val="-4.1666666666666664E-2"/>
                  <c:y val="4.6296296296296426E-2"/>
                </c:manualLayout>
              </c:layout>
              <c:showVal val="1"/>
            </c:dLbl>
            <c:dLbl>
              <c:idx val="10"/>
              <c:layout>
                <c:manualLayout>
                  <c:x val="-0.05"/>
                  <c:y val="5.0925925925925902E-2"/>
                </c:manualLayout>
              </c:layout>
              <c:showVal val="1"/>
            </c:dLbl>
            <c:dLbl>
              <c:idx val="12"/>
              <c:layout>
                <c:manualLayout>
                  <c:x val="-4.1666666666666782E-2"/>
                  <c:y val="-3.4275921165381258E-2"/>
                </c:manualLayout>
              </c:layout>
              <c:showVal val="1"/>
            </c:dLbl>
            <c:dLbl>
              <c:idx val="13"/>
              <c:layout>
                <c:manualLayout>
                  <c:x val="-4.1666666666666664E-2"/>
                  <c:y val="5.5555555555555455E-2"/>
                </c:manualLayout>
              </c:layout>
              <c:showVal val="1"/>
            </c:dLbl>
            <c:dLbl>
              <c:idx val="14"/>
              <c:layout>
                <c:manualLayout>
                  <c:x val="-0.05"/>
                  <c:y val="-2.3148148148148147E-2"/>
                </c:manualLayout>
              </c:layout>
              <c:showVal val="1"/>
            </c:dLbl>
            <c:dLbl>
              <c:idx val="16"/>
              <c:layout>
                <c:manualLayout>
                  <c:x val="-4.1666666666666664E-2"/>
                  <c:y val="4.1666666666666664E-2"/>
                </c:manualLayout>
              </c:layout>
              <c:showVal val="1"/>
            </c:dLbl>
            <c:delete val="1"/>
            <c:txPr>
              <a:bodyPr/>
              <a:lstStyle/>
              <a:p>
                <a:pPr>
                  <a:defRPr b="1">
                    <a:solidFill>
                      <a:srgbClr val="0070C0"/>
                    </a:solidFill>
                  </a:defRPr>
                </a:pPr>
                <a:endParaRPr lang="ru-RU"/>
              </a:p>
            </c:txPr>
          </c:dLbls>
          <c:cat>
            <c:numRef>
              <c:f>Лист1!$B$70:$R$70</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Лист1!$B$73:$R$73</c:f>
              <c:numCache>
                <c:formatCode>0.00</c:formatCode>
                <c:ptCount val="17"/>
                <c:pt idx="0">
                  <c:v>1</c:v>
                </c:pt>
                <c:pt idx="1">
                  <c:v>1.0070671378091867</c:v>
                </c:pt>
                <c:pt idx="2">
                  <c:v>1.0106007067137817</c:v>
                </c:pt>
                <c:pt idx="3">
                  <c:v>1.0141342756183738</c:v>
                </c:pt>
                <c:pt idx="4">
                  <c:v>1.0670388692579507</c:v>
                </c:pt>
                <c:pt idx="5">
                  <c:v>1.1634946996466424</c:v>
                </c:pt>
                <c:pt idx="6">
                  <c:v>1.209639575971732</c:v>
                </c:pt>
                <c:pt idx="7">
                  <c:v>1.3172155477031802</c:v>
                </c:pt>
                <c:pt idx="8">
                  <c:v>1.3738091872791511</c:v>
                </c:pt>
                <c:pt idx="9">
                  <c:v>1.4422402826855119</c:v>
                </c:pt>
                <c:pt idx="10">
                  <c:v>1.5360070671378099</c:v>
                </c:pt>
                <c:pt idx="11">
                  <c:v>1.5595335689045937</c:v>
                </c:pt>
                <c:pt idx="12">
                  <c:v>1.5920671378091873</c:v>
                </c:pt>
                <c:pt idx="13">
                  <c:v>1.5322897526501762</c:v>
                </c:pt>
                <c:pt idx="14">
                  <c:v>1.6643250883392227</c:v>
                </c:pt>
                <c:pt idx="15">
                  <c:v>1.5400600706713781</c:v>
                </c:pt>
                <c:pt idx="16">
                  <c:v>1.475618374558304</c:v>
                </c:pt>
              </c:numCache>
            </c:numRef>
          </c:val>
        </c:ser>
        <c:marker val="1"/>
        <c:axId val="264418816"/>
        <c:axId val="264420352"/>
      </c:lineChart>
      <c:catAx>
        <c:axId val="264418816"/>
        <c:scaling>
          <c:orientation val="minMax"/>
        </c:scaling>
        <c:axPos val="b"/>
        <c:numFmt formatCode="General" sourceLinked="1"/>
        <c:tickLblPos val="nextTo"/>
        <c:crossAx val="264420352"/>
        <c:crosses val="autoZero"/>
        <c:auto val="1"/>
        <c:lblAlgn val="ctr"/>
        <c:lblOffset val="100"/>
        <c:tickLblSkip val="4"/>
      </c:catAx>
      <c:valAx>
        <c:axId val="264420352"/>
        <c:scaling>
          <c:orientation val="minMax"/>
        </c:scaling>
        <c:axPos val="l"/>
        <c:majorGridlines/>
        <c:numFmt formatCode="General" sourceLinked="1"/>
        <c:tickLblPos val="nextTo"/>
        <c:crossAx val="264418816"/>
        <c:crosses val="autoZero"/>
        <c:crossBetween val="between"/>
      </c:valAx>
    </c:plotArea>
    <c:legend>
      <c:legendPos val="b"/>
    </c:legend>
    <c:plotVisOnly val="1"/>
    <c:dispBlanksAs val="gap"/>
  </c:chart>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2136351706036745"/>
          <c:y val="5.1400554097404488E-2"/>
          <c:w val="0.61673236397597531"/>
          <c:h val="0.89719889180519163"/>
        </c:manualLayout>
      </c:layout>
      <c:lineChart>
        <c:grouping val="standard"/>
        <c:ser>
          <c:idx val="0"/>
          <c:order val="0"/>
          <c:tx>
            <c:strRef>
              <c:f>Лист1!$A$8</c:f>
              <c:strCache>
                <c:ptCount val="1"/>
                <c:pt idx="0">
                  <c:v>Электропотребление</c:v>
                </c:pt>
              </c:strCache>
            </c:strRef>
          </c:tx>
          <c:spPr>
            <a:ln w="19050"/>
          </c:spPr>
          <c:marker>
            <c:symbol val="diamond"/>
            <c:size val="4"/>
          </c:marker>
          <c:dLbls>
            <c:dLbl>
              <c:idx val="1"/>
              <c:layout>
                <c:manualLayout>
                  <c:x val="-0.05"/>
                  <c:y val="4.1666666666666664E-2"/>
                </c:manualLayout>
              </c:layout>
              <c:showVal val="1"/>
            </c:dLbl>
            <c:dLbl>
              <c:idx val="2"/>
              <c:layout>
                <c:manualLayout>
                  <c:x val="-6.9444444444444434E-2"/>
                  <c:y val="-2.7777777777778002E-2"/>
                </c:manualLayout>
              </c:layout>
              <c:showVal val="1"/>
            </c:dLbl>
            <c:dLbl>
              <c:idx val="3"/>
              <c:layout>
                <c:manualLayout>
                  <c:x val="-4.1666666666666692E-2"/>
                  <c:y val="5.5555555555555455E-2"/>
                </c:manualLayout>
              </c:layout>
              <c:showVal val="1"/>
            </c:dLbl>
            <c:dLbl>
              <c:idx val="5"/>
              <c:layout>
                <c:manualLayout>
                  <c:x val="-5.8333333333333647E-2"/>
                  <c:y val="-4.1666666666666623E-2"/>
                </c:manualLayout>
              </c:layout>
              <c:showVal val="1"/>
            </c:dLbl>
            <c:dLbl>
              <c:idx val="8"/>
              <c:showVal val="1"/>
            </c:dLbl>
            <c:dLbl>
              <c:idx val="12"/>
              <c:showVal val="1"/>
            </c:dLbl>
            <c:dLbl>
              <c:idx val="14"/>
              <c:layout>
                <c:manualLayout>
                  <c:x val="-4.4444444444444502E-2"/>
                  <c:y val="4.1666666666666664E-2"/>
                </c:manualLayout>
              </c:layout>
              <c:showVal val="1"/>
            </c:dLbl>
            <c:dLbl>
              <c:idx val="16"/>
              <c:layout>
                <c:manualLayout>
                  <c:x val="-5.5555555555555455E-2"/>
                  <c:y val="-3.2407407407407642E-2"/>
                </c:manualLayout>
              </c:layout>
              <c:showVal val="1"/>
            </c:dLbl>
            <c:dLbl>
              <c:idx val="18"/>
              <c:layout>
                <c:manualLayout>
                  <c:x val="-5.2777777777777792E-2"/>
                  <c:y val="2.3148148148148147E-2"/>
                </c:manualLayout>
              </c:layout>
              <c:showVal val="1"/>
            </c:dLbl>
            <c:dLbl>
              <c:idx val="19"/>
              <c:layout>
                <c:manualLayout>
                  <c:x val="-3.333333333333334E-2"/>
                  <c:y val="0"/>
                </c:manualLayout>
              </c:layout>
              <c:showVal val="1"/>
            </c:dLbl>
            <c:dLbl>
              <c:idx val="21"/>
              <c:layout>
                <c:manualLayout>
                  <c:x val="-3.6111111111111212E-2"/>
                  <c:y val="-5.0925925925925923E-2"/>
                </c:manualLayout>
              </c:layout>
              <c:showVal val="1"/>
            </c:dLbl>
            <c:delete val="1"/>
            <c:txPr>
              <a:bodyPr/>
              <a:lstStyle/>
              <a:p>
                <a:pPr>
                  <a:defRPr b="1">
                    <a:solidFill>
                      <a:srgbClr val="0070C0"/>
                    </a:solidFill>
                  </a:defRPr>
                </a:pPr>
                <a:endParaRPr lang="ru-RU"/>
              </a:p>
            </c:txPr>
          </c:dLbls>
          <c:cat>
            <c:numRef>
              <c:f>Лист1!$C$8:$X$8</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Лист1!$C$12:$X$12</c:f>
              <c:numCache>
                <c:formatCode>0.0%</c:formatCode>
                <c:ptCount val="22"/>
                <c:pt idx="1">
                  <c:v>-6.1452513966480334E-2</c:v>
                </c:pt>
                <c:pt idx="2">
                  <c:v>-3.5714285714285796E-2</c:v>
                </c:pt>
                <c:pt idx="3">
                  <c:v>-8.0246913580246867E-2</c:v>
                </c:pt>
                <c:pt idx="4">
                  <c:v>-7.0469798657718186E-2</c:v>
                </c:pt>
                <c:pt idx="5">
                  <c:v>2.1660649819494636E-2</c:v>
                </c:pt>
                <c:pt idx="6">
                  <c:v>7.0671378091872522E-3</c:v>
                </c:pt>
                <c:pt idx="7">
                  <c:v>3.5087719298246118E-3</c:v>
                </c:pt>
                <c:pt idx="8">
                  <c:v>3.4965034965034219E-3</c:v>
                </c:pt>
                <c:pt idx="9">
                  <c:v>5.2167247386759694E-2</c:v>
                </c:pt>
                <c:pt idx="10">
                  <c:v>9.0395798285933845E-2</c:v>
                </c:pt>
                <c:pt idx="11">
                  <c:v>3.9660581469862059E-2</c:v>
                </c:pt>
                <c:pt idx="12">
                  <c:v>8.8932252109088228E-2</c:v>
                </c:pt>
                <c:pt idx="13">
                  <c:v>4.2964600345519653E-2</c:v>
                </c:pt>
                <c:pt idx="14">
                  <c:v>4.9811208164861009E-2</c:v>
                </c:pt>
                <c:pt idx="15">
                  <c:v>6.5014675833141369E-2</c:v>
                </c:pt>
                <c:pt idx="16">
                  <c:v>1.5316662449101759E-2</c:v>
                </c:pt>
                <c:pt idx="17">
                  <c:v>2.0861089208515649E-2</c:v>
                </c:pt>
                <c:pt idx="18">
                  <c:v>-3.7547025335419593E-2</c:v>
                </c:pt>
                <c:pt idx="19">
                  <c:v>8.6168647581623278E-2</c:v>
                </c:pt>
                <c:pt idx="20">
                  <c:v>-7.4663909436013295E-2</c:v>
                </c:pt>
                <c:pt idx="21">
                  <c:v>-4.1843625024952043E-2</c:v>
                </c:pt>
              </c:numCache>
            </c:numRef>
          </c:val>
        </c:ser>
        <c:ser>
          <c:idx val="1"/>
          <c:order val="1"/>
          <c:tx>
            <c:strRef>
              <c:f>Лист1!$A$17</c:f>
              <c:strCache>
                <c:ptCount val="1"/>
                <c:pt idx="0">
                  <c:v>ВРП </c:v>
                </c:pt>
              </c:strCache>
            </c:strRef>
          </c:tx>
          <c:spPr>
            <a:ln w="19050">
              <a:solidFill>
                <a:srgbClr val="FF0000"/>
              </a:solidFill>
            </a:ln>
          </c:spPr>
          <c:marker>
            <c:symbol val="square"/>
            <c:size val="4"/>
            <c:spPr>
              <a:solidFill>
                <a:srgbClr val="FF0000"/>
              </a:solidFill>
              <a:ln>
                <a:solidFill>
                  <a:srgbClr val="FF0000"/>
                </a:solidFill>
              </a:ln>
            </c:spPr>
          </c:marker>
          <c:dLbls>
            <c:dLbl>
              <c:idx val="6"/>
              <c:layout>
                <c:manualLayout>
                  <c:x val="-1.3343477770800168E-2"/>
                  <c:y val="2.7777777777778002E-2"/>
                </c:manualLayout>
              </c:layout>
              <c:showVal val="1"/>
            </c:dLbl>
            <c:dLbl>
              <c:idx val="7"/>
              <c:showVal val="1"/>
            </c:dLbl>
            <c:dLbl>
              <c:idx val="11"/>
              <c:layout>
                <c:manualLayout>
                  <c:x val="-6.1111111111111123E-2"/>
                  <c:y val="5.5555555555555455E-2"/>
                </c:manualLayout>
              </c:layout>
              <c:showVal val="1"/>
            </c:dLbl>
            <c:dLbl>
              <c:idx val="13"/>
              <c:layout>
                <c:manualLayout>
                  <c:x val="-5.2777777777777792E-2"/>
                  <c:y val="-4.1666666666666664E-2"/>
                </c:manualLayout>
              </c:layout>
              <c:showVal val="1"/>
            </c:dLbl>
            <c:dLbl>
              <c:idx val="16"/>
              <c:layout>
                <c:manualLayout>
                  <c:x val="-5.2777777777777792E-2"/>
                  <c:y val="-5.5555555555555455E-2"/>
                </c:manualLayout>
              </c:layout>
              <c:showVal val="1"/>
            </c:dLbl>
            <c:dLbl>
              <c:idx val="18"/>
              <c:layout>
                <c:manualLayout>
                  <c:x val="-6.3888888888888884E-2"/>
                  <c:y val="3.2407407407407593E-2"/>
                </c:manualLayout>
              </c:layout>
              <c:showVal val="1"/>
            </c:dLbl>
            <c:dLbl>
              <c:idx val="19"/>
              <c:layout>
                <c:manualLayout>
                  <c:x val="-6.1111111111111123E-2"/>
                  <c:y val="-4.1666666666666664E-2"/>
                </c:manualLayout>
              </c:layout>
              <c:showVal val="1"/>
            </c:dLbl>
            <c:dLbl>
              <c:idx val="21"/>
              <c:layout>
                <c:manualLayout>
                  <c:x val="-2.7681660899654126E-2"/>
                  <c:y val="5.0925925925925923E-2"/>
                </c:manualLayout>
              </c:layout>
              <c:showVal val="1"/>
            </c:dLbl>
            <c:delete val="1"/>
            <c:txPr>
              <a:bodyPr/>
              <a:lstStyle/>
              <a:p>
                <a:pPr>
                  <a:defRPr b="1">
                    <a:solidFill>
                      <a:srgbClr val="FF0000"/>
                    </a:solidFill>
                  </a:defRPr>
                </a:pPr>
                <a:endParaRPr lang="ru-RU"/>
              </a:p>
            </c:txPr>
          </c:dLbls>
          <c:val>
            <c:numRef>
              <c:f>Лист1!$C$19:$X$19</c:f>
              <c:numCache>
                <c:formatCode>General</c:formatCode>
                <c:ptCount val="22"/>
                <c:pt idx="6" formatCode="0.00%">
                  <c:v>8.2000000000000003E-2</c:v>
                </c:pt>
                <c:pt idx="7" formatCode="0.00%">
                  <c:v>-2.3000000000000024E-2</c:v>
                </c:pt>
                <c:pt idx="8" formatCode="0.00%">
                  <c:v>4.9000000000000009E-2</c:v>
                </c:pt>
                <c:pt idx="9" formatCode="0.00%">
                  <c:v>6.599999999999985E-2</c:v>
                </c:pt>
                <c:pt idx="10" formatCode="0.00%">
                  <c:v>7.0000000000000076E-2</c:v>
                </c:pt>
                <c:pt idx="11" formatCode="0.00%">
                  <c:v>4.9000000000000168E-2</c:v>
                </c:pt>
                <c:pt idx="12" formatCode="0.00%">
                  <c:v>0.12200000000000012</c:v>
                </c:pt>
                <c:pt idx="13" formatCode="0.00%">
                  <c:v>0.13400000000000015</c:v>
                </c:pt>
                <c:pt idx="14" formatCode="0.00%">
                  <c:v>7.5999999999999859E-2</c:v>
                </c:pt>
                <c:pt idx="15" formatCode="0.00%">
                  <c:v>8.699999999999998E-2</c:v>
                </c:pt>
                <c:pt idx="16" formatCode="0.00%">
                  <c:v>0.10500000000000001</c:v>
                </c:pt>
                <c:pt idx="17" formatCode="0.00%">
                  <c:v>8.2000000000000073E-2</c:v>
                </c:pt>
                <c:pt idx="18" formatCode="0.00%">
                  <c:v>-9.6000000000000002E-2</c:v>
                </c:pt>
                <c:pt idx="19" formatCode="0.00%">
                  <c:v>7.6999999999999971E-2</c:v>
                </c:pt>
                <c:pt idx="20" formatCode="0.00%">
                  <c:v>7.0000000000000021E-2</c:v>
                </c:pt>
                <c:pt idx="21" formatCode="0.0%">
                  <c:v>3.5999999999999997E-2</c:v>
                </c:pt>
              </c:numCache>
            </c:numRef>
          </c:val>
        </c:ser>
        <c:ser>
          <c:idx val="2"/>
          <c:order val="2"/>
          <c:tx>
            <c:strRef>
              <c:f>Лист1!$A$10</c:f>
              <c:strCache>
                <c:ptCount val="1"/>
                <c:pt idx="0">
                  <c:v>Электропотребление (Мосэнергосбыт)</c:v>
                </c:pt>
              </c:strCache>
            </c:strRef>
          </c:tx>
          <c:spPr>
            <a:ln w="19050">
              <a:solidFill>
                <a:srgbClr val="002060"/>
              </a:solidFill>
            </a:ln>
          </c:spPr>
          <c:marker>
            <c:symbol val="triangle"/>
            <c:size val="4"/>
            <c:spPr>
              <a:solidFill>
                <a:srgbClr val="002060"/>
              </a:solidFill>
              <a:ln>
                <a:solidFill>
                  <a:srgbClr val="002060"/>
                </a:solidFill>
              </a:ln>
            </c:spPr>
          </c:marker>
          <c:val>
            <c:numRef>
              <c:f>Лист1!$C$11:$X$11</c:f>
              <c:numCache>
                <c:formatCode>0.0%</c:formatCode>
                <c:ptCount val="22"/>
                <c:pt idx="0">
                  <c:v>0</c:v>
                </c:pt>
                <c:pt idx="1">
                  <c:v>-6.1452513966480334E-2</c:v>
                </c:pt>
                <c:pt idx="2">
                  <c:v>-3.5714285714285796E-2</c:v>
                </c:pt>
                <c:pt idx="3">
                  <c:v>-8.0246913580246867E-2</c:v>
                </c:pt>
                <c:pt idx="4">
                  <c:v>-7.0469798657718186E-2</c:v>
                </c:pt>
                <c:pt idx="5">
                  <c:v>2.1660649819494636E-2</c:v>
                </c:pt>
                <c:pt idx="6">
                  <c:v>7.0671378091872522E-3</c:v>
                </c:pt>
                <c:pt idx="7">
                  <c:v>0</c:v>
                </c:pt>
                <c:pt idx="8">
                  <c:v>7.0175438596490978E-3</c:v>
                </c:pt>
                <c:pt idx="9">
                  <c:v>7.3170731707317124E-2</c:v>
                </c:pt>
                <c:pt idx="10">
                  <c:v>7.7922077922078004E-2</c:v>
                </c:pt>
                <c:pt idx="11">
                  <c:v>3.9156626506024007E-2</c:v>
                </c:pt>
                <c:pt idx="12">
                  <c:v>8.9855072463768185E-2</c:v>
                </c:pt>
                <c:pt idx="13">
                  <c:v>3.9893617021276605E-2</c:v>
                </c:pt>
                <c:pt idx="14">
                  <c:v>4.3478260869565105E-2</c:v>
                </c:pt>
                <c:pt idx="15">
                  <c:v>5.6372549019607948E-2</c:v>
                </c:pt>
                <c:pt idx="16">
                  <c:v>2.5522041763341101E-2</c:v>
                </c:pt>
                <c:pt idx="17">
                  <c:v>7.9185520361990946E-2</c:v>
                </c:pt>
                <c:pt idx="18">
                  <c:v>-1.6771488469601768E-2</c:v>
                </c:pt>
                <c:pt idx="19">
                  <c:v>4.9040511727078982E-2</c:v>
                </c:pt>
              </c:numCache>
            </c:numRef>
          </c:val>
        </c:ser>
        <c:ser>
          <c:idx val="3"/>
          <c:order val="3"/>
          <c:tx>
            <c:strRef>
              <c:f>Лист1!$A$13</c:f>
              <c:strCache>
                <c:ptCount val="1"/>
                <c:pt idx="0">
                  <c:v>Среднее (Росстат)</c:v>
                </c:pt>
              </c:strCache>
            </c:strRef>
          </c:tx>
          <c:spPr>
            <a:ln w="19050">
              <a:solidFill>
                <a:srgbClr val="0070C0"/>
              </a:solidFill>
              <a:prstDash val="dashDot"/>
            </a:ln>
          </c:spPr>
          <c:marker>
            <c:symbol val="none"/>
          </c:marker>
          <c:dLbls>
            <c:dLbl>
              <c:idx val="6"/>
              <c:layout>
                <c:manualLayout>
                  <c:x val="-0.26584867075664775"/>
                  <c:y val="4.6296296296296495E-2"/>
                </c:manualLayout>
              </c:layout>
              <c:spPr/>
              <c:txPr>
                <a:bodyPr/>
                <a:lstStyle/>
                <a:p>
                  <a:pPr>
                    <a:defRPr sz="1200" b="1">
                      <a:solidFill>
                        <a:srgbClr val="0070C0"/>
                      </a:solidFill>
                    </a:defRPr>
                  </a:pPr>
                  <a:endParaRPr lang="ru-RU"/>
                </a:p>
              </c:txPr>
              <c:showVal val="1"/>
            </c:dLbl>
            <c:delete val="1"/>
            <c:txPr>
              <a:bodyPr/>
              <a:lstStyle/>
              <a:p>
                <a:pPr>
                  <a:defRPr>
                    <a:solidFill>
                      <a:srgbClr val="0070C0"/>
                    </a:solidFill>
                  </a:defRPr>
                </a:pPr>
                <a:endParaRPr lang="ru-RU"/>
              </a:p>
            </c:txPr>
          </c:dLbls>
          <c:val>
            <c:numRef>
              <c:f>Лист1!$C$13:$X$13</c:f>
              <c:numCache>
                <c:formatCode>General</c:formatCode>
                <c:ptCount val="22"/>
                <c:pt idx="6" formatCode="0.0%">
                  <c:v>4.3244341505315795E-2</c:v>
                </c:pt>
                <c:pt idx="7" formatCode="0.0%">
                  <c:v>4.3244341505315795E-2</c:v>
                </c:pt>
                <c:pt idx="8" formatCode="0.0%">
                  <c:v>4.3244341505315795E-2</c:v>
                </c:pt>
                <c:pt idx="9" formatCode="0.0%">
                  <c:v>4.3244341505315795E-2</c:v>
                </c:pt>
                <c:pt idx="10" formatCode="0.0%">
                  <c:v>4.3244341505315795E-2</c:v>
                </c:pt>
                <c:pt idx="11" formatCode="0.0%">
                  <c:v>4.3244341505315795E-2</c:v>
                </c:pt>
                <c:pt idx="12" formatCode="0.0%">
                  <c:v>4.3244341505315795E-2</c:v>
                </c:pt>
                <c:pt idx="13" formatCode="0.0%">
                  <c:v>4.3244341505315795E-2</c:v>
                </c:pt>
                <c:pt idx="14" formatCode="0.0%">
                  <c:v>4.3244341505315795E-2</c:v>
                </c:pt>
                <c:pt idx="15" formatCode="0.0%">
                  <c:v>4.3244341505315795E-2</c:v>
                </c:pt>
                <c:pt idx="16" formatCode="0.0%">
                  <c:v>4.3244341505315795E-2</c:v>
                </c:pt>
                <c:pt idx="17" formatCode="0.0%">
                  <c:v>4.3244341505315795E-2</c:v>
                </c:pt>
              </c:numCache>
            </c:numRef>
          </c:val>
        </c:ser>
        <c:ser>
          <c:idx val="4"/>
          <c:order val="4"/>
          <c:tx>
            <c:strRef>
              <c:f>Лист1!$A$14</c:f>
              <c:strCache>
                <c:ptCount val="1"/>
                <c:pt idx="0">
                  <c:v>Среднее (Мосэнергосбыт)</c:v>
                </c:pt>
              </c:strCache>
            </c:strRef>
          </c:tx>
          <c:spPr>
            <a:ln w="19050">
              <a:solidFill>
                <a:srgbClr val="002060"/>
              </a:solidFill>
              <a:prstDash val="dash"/>
            </a:ln>
          </c:spPr>
          <c:marker>
            <c:symbol val="none"/>
          </c:marker>
          <c:dLbls>
            <c:dLbl>
              <c:idx val="6"/>
              <c:layout>
                <c:manualLayout>
                  <c:x val="-0.25766871165644295"/>
                  <c:y val="1.8518518518518583E-2"/>
                </c:manualLayout>
              </c:layout>
              <c:spPr/>
              <c:txPr>
                <a:bodyPr/>
                <a:lstStyle/>
                <a:p>
                  <a:pPr>
                    <a:defRPr sz="1200" b="1">
                      <a:solidFill>
                        <a:srgbClr val="002060"/>
                      </a:solidFill>
                    </a:defRPr>
                  </a:pPr>
                  <a:endParaRPr lang="ru-RU"/>
                </a:p>
              </c:txPr>
              <c:showVal val="1"/>
            </c:dLbl>
            <c:delete val="1"/>
          </c:dLbls>
          <c:val>
            <c:numRef>
              <c:f>Лист1!$C$14:$X$14</c:f>
              <c:numCache>
                <c:formatCode>General</c:formatCode>
                <c:ptCount val="22"/>
                <c:pt idx="6" formatCode="0.0%">
                  <c:v>4.8967379936709576E-2</c:v>
                </c:pt>
                <c:pt idx="7" formatCode="0.0%">
                  <c:v>4.8967379936709576E-2</c:v>
                </c:pt>
                <c:pt idx="8" formatCode="0.0%">
                  <c:v>4.8967379936709576E-2</c:v>
                </c:pt>
                <c:pt idx="9" formatCode="0.0%">
                  <c:v>4.8967379936709576E-2</c:v>
                </c:pt>
                <c:pt idx="10" formatCode="0.0%">
                  <c:v>4.8967379936709576E-2</c:v>
                </c:pt>
                <c:pt idx="11" formatCode="0.0%">
                  <c:v>4.8967379936709576E-2</c:v>
                </c:pt>
                <c:pt idx="12" formatCode="0.0%">
                  <c:v>4.8967379936709576E-2</c:v>
                </c:pt>
                <c:pt idx="13" formatCode="0.0%">
                  <c:v>4.8967379936709576E-2</c:v>
                </c:pt>
                <c:pt idx="14" formatCode="0.0%">
                  <c:v>4.8967379936709576E-2</c:v>
                </c:pt>
                <c:pt idx="15" formatCode="0.0%">
                  <c:v>4.8967379936709576E-2</c:v>
                </c:pt>
                <c:pt idx="16" formatCode="0.0%">
                  <c:v>4.8967379936709576E-2</c:v>
                </c:pt>
                <c:pt idx="17" formatCode="0.0%">
                  <c:v>4.8967379936709576E-2</c:v>
                </c:pt>
              </c:numCache>
            </c:numRef>
          </c:val>
        </c:ser>
        <c:ser>
          <c:idx val="5"/>
          <c:order val="5"/>
          <c:tx>
            <c:strRef>
              <c:f>Лист1!$A$20</c:f>
              <c:strCache>
                <c:ptCount val="1"/>
                <c:pt idx="0">
                  <c:v>ВРП (среднее)</c:v>
                </c:pt>
              </c:strCache>
            </c:strRef>
          </c:tx>
          <c:spPr>
            <a:ln w="19050">
              <a:solidFill>
                <a:srgbClr val="FF0000"/>
              </a:solidFill>
              <a:prstDash val="dash"/>
            </a:ln>
          </c:spPr>
          <c:marker>
            <c:symbol val="none"/>
          </c:marker>
          <c:dLbls>
            <c:dLbl>
              <c:idx val="8"/>
              <c:layout>
                <c:manualLayout>
                  <c:x val="-0.31288343558282422"/>
                  <c:y val="1.8518518518518583E-2"/>
                </c:manualLayout>
              </c:layout>
              <c:spPr/>
              <c:txPr>
                <a:bodyPr/>
                <a:lstStyle/>
                <a:p>
                  <a:pPr>
                    <a:defRPr sz="1200" b="1">
                      <a:solidFill>
                        <a:srgbClr val="FF0000"/>
                      </a:solidFill>
                    </a:defRPr>
                  </a:pPr>
                  <a:endParaRPr lang="ru-RU"/>
                </a:p>
              </c:txPr>
              <c:showVal val="1"/>
            </c:dLbl>
            <c:delete val="1"/>
          </c:dLbls>
          <c:val>
            <c:numRef>
              <c:f>Лист1!$C$20:$X$20</c:f>
              <c:numCache>
                <c:formatCode>General</c:formatCode>
                <c:ptCount val="22"/>
                <c:pt idx="6" formatCode="0.0%">
                  <c:v>8.3818181818181819E-2</c:v>
                </c:pt>
                <c:pt idx="7" formatCode="0.0%">
                  <c:v>8.4000000000000019E-2</c:v>
                </c:pt>
                <c:pt idx="8" formatCode="0.0%">
                  <c:v>8.3818181818181819E-2</c:v>
                </c:pt>
                <c:pt idx="9" formatCode="0.0%">
                  <c:v>8.3818181818181819E-2</c:v>
                </c:pt>
                <c:pt idx="10" formatCode="0.0%">
                  <c:v>8.3818181818181819E-2</c:v>
                </c:pt>
                <c:pt idx="11" formatCode="0.0%">
                  <c:v>8.3818181818181819E-2</c:v>
                </c:pt>
                <c:pt idx="12" formatCode="0.0%">
                  <c:v>8.3818181818181819E-2</c:v>
                </c:pt>
                <c:pt idx="13" formatCode="0.0%">
                  <c:v>8.3818181818181819E-2</c:v>
                </c:pt>
                <c:pt idx="14" formatCode="0.0%">
                  <c:v>8.3818181818181819E-2</c:v>
                </c:pt>
                <c:pt idx="15" formatCode="0.0%">
                  <c:v>8.3818181818181819E-2</c:v>
                </c:pt>
                <c:pt idx="16" formatCode="0.0%">
                  <c:v>8.3818181818181819E-2</c:v>
                </c:pt>
                <c:pt idx="17" formatCode="0.0%">
                  <c:v>8.3818181818181819E-2</c:v>
                </c:pt>
              </c:numCache>
            </c:numRef>
          </c:val>
        </c:ser>
        <c:marker val="1"/>
        <c:axId val="265040256"/>
        <c:axId val="265041792"/>
      </c:lineChart>
      <c:catAx>
        <c:axId val="265040256"/>
        <c:scaling>
          <c:orientation val="minMax"/>
        </c:scaling>
        <c:axPos val="b"/>
        <c:numFmt formatCode="General" sourceLinked="1"/>
        <c:tickLblPos val="nextTo"/>
        <c:crossAx val="265041792"/>
        <c:crosses val="autoZero"/>
        <c:auto val="1"/>
        <c:lblAlgn val="ctr"/>
        <c:lblOffset val="100"/>
        <c:tickLblSkip val="2"/>
      </c:catAx>
      <c:valAx>
        <c:axId val="265041792"/>
        <c:scaling>
          <c:orientation val="minMax"/>
        </c:scaling>
        <c:axPos val="l"/>
        <c:majorGridlines/>
        <c:numFmt formatCode="General" sourceLinked="1"/>
        <c:tickLblPos val="nextTo"/>
        <c:crossAx val="265040256"/>
        <c:crosses val="autoZero"/>
        <c:crossBetween val="between"/>
      </c:valAx>
    </c:plotArea>
    <c:legend>
      <c:legendPos val="r"/>
      <c:layout>
        <c:manualLayout>
          <c:xMode val="edge"/>
          <c:yMode val="edge"/>
          <c:x val="0.82413888888888964"/>
          <c:y val="8.8754009915428082E-3"/>
          <c:w val="0.17308333333333398"/>
          <c:h val="0.98224919801691457"/>
        </c:manualLayout>
      </c:layout>
      <c:txPr>
        <a:bodyPr/>
        <a:lstStyle/>
        <a:p>
          <a:pPr>
            <a:defRPr sz="700"/>
          </a:pPr>
          <a:endParaRPr lang="ru-RU"/>
        </a:p>
      </c:txPr>
    </c:legend>
    <c:plotVisOnly val="1"/>
  </c:chart>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3225240594925633"/>
          <c:y val="5.1400554097404488E-2"/>
          <c:w val="0.66564472544380671"/>
          <c:h val="0.89719889180519163"/>
        </c:manualLayout>
      </c:layout>
      <c:lineChart>
        <c:grouping val="standard"/>
        <c:ser>
          <c:idx val="0"/>
          <c:order val="0"/>
          <c:tx>
            <c:strRef>
              <c:f>Лист1!$A$22</c:f>
              <c:strCache>
                <c:ptCount val="1"/>
                <c:pt idx="0">
                  <c:v>Кэмо</c:v>
                </c:pt>
              </c:strCache>
            </c:strRef>
          </c:tx>
          <c:spPr>
            <a:ln>
              <a:noFill/>
            </a:ln>
          </c:spPr>
          <c:marker>
            <c:symbol val="diamond"/>
            <c:size val="10"/>
          </c:marker>
          <c:dLbls>
            <c:dLbl>
              <c:idx val="6"/>
              <c:layout>
                <c:manualLayout>
                  <c:x val="-4.9107827038861795E-2"/>
                  <c:y val="-3.9826480023330418E-2"/>
                </c:manualLayout>
              </c:layout>
              <c:dLblPos val="r"/>
              <c:showVal val="1"/>
            </c:dLbl>
            <c:dLbl>
              <c:idx val="9"/>
              <c:layout>
                <c:manualLayout>
                  <c:x val="-3.816091954022989E-2"/>
                  <c:y val="-3.9826480023330418E-2"/>
                </c:manualLayout>
              </c:layout>
              <c:dLblPos val="r"/>
              <c:showVal val="1"/>
            </c:dLbl>
            <c:txPr>
              <a:bodyPr/>
              <a:lstStyle/>
              <a:p>
                <a:pPr>
                  <a:defRPr b="1">
                    <a:solidFill>
                      <a:srgbClr val="0070C0"/>
                    </a:solidFill>
                  </a:defRPr>
                </a:pPr>
                <a:endParaRPr lang="ru-RU"/>
              </a:p>
            </c:txPr>
            <c:dLblPos val="t"/>
            <c:showVal val="1"/>
          </c:dLbls>
          <c:cat>
            <c:numRef>
              <c:f>Лист1!$I$8:$X$8</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Лист1!$I$22:$W$22</c:f>
              <c:numCache>
                <c:formatCode>0.000</c:formatCode>
                <c:ptCount val="15"/>
                <c:pt idx="0">
                  <c:v>8.6184607429112839E-2</c:v>
                </c:pt>
                <c:pt idx="1">
                  <c:v>-0.15255530129672268</c:v>
                </c:pt>
                <c:pt idx="2">
                  <c:v>7.1357214214355563E-2</c:v>
                </c:pt>
                <c:pt idx="3">
                  <c:v>0.7904128391933305</c:v>
                </c:pt>
                <c:pt idx="4">
                  <c:v>1.2913685469419107</c:v>
                </c:pt>
                <c:pt idx="5">
                  <c:v>0.809399621833917</c:v>
                </c:pt>
                <c:pt idx="6">
                  <c:v>0.72895288614006681</c:v>
                </c:pt>
                <c:pt idx="7">
                  <c:v>0.32063134586208658</c:v>
                </c:pt>
                <c:pt idx="8">
                  <c:v>0.65541063374817565</c:v>
                </c:pt>
                <c:pt idx="9">
                  <c:v>0.74729512451886848</c:v>
                </c:pt>
                <c:pt idx="10">
                  <c:v>0.14587297570573102</c:v>
                </c:pt>
                <c:pt idx="11">
                  <c:v>0.25440352693311724</c:v>
                </c:pt>
                <c:pt idx="12">
                  <c:v>0.39111484724395601</c:v>
                </c:pt>
                <c:pt idx="13">
                  <c:v>1.1190733452158874</c:v>
                </c:pt>
                <c:pt idx="14">
                  <c:v>-1.0666272776573318</c:v>
                </c:pt>
              </c:numCache>
            </c:numRef>
          </c:val>
        </c:ser>
        <c:ser>
          <c:idx val="1"/>
          <c:order val="1"/>
          <c:tx>
            <c:strRef>
              <c:f>Лист1!$A$23</c:f>
              <c:strCache>
                <c:ptCount val="1"/>
                <c:pt idx="0">
                  <c:v>Среднее Кэмо</c:v>
                </c:pt>
              </c:strCache>
            </c:strRef>
          </c:tx>
          <c:spPr>
            <a:ln w="19050">
              <a:solidFill>
                <a:schemeClr val="accent1">
                  <a:shade val="95000"/>
                  <a:satMod val="105000"/>
                </a:schemeClr>
              </a:solidFill>
              <a:prstDash val="dash"/>
            </a:ln>
          </c:spPr>
          <c:marker>
            <c:symbol val="none"/>
          </c:marker>
          <c:dLbls>
            <c:dLbl>
              <c:idx val="0"/>
              <c:layout>
                <c:manualLayout>
                  <c:x val="-9.1954022988505746E-2"/>
                  <c:y val="-3.7037037037037056E-2"/>
                </c:manualLayout>
              </c:layout>
              <c:spPr>
                <a:solidFill>
                  <a:sysClr val="window" lastClr="FFFFFF"/>
                </a:solidFill>
              </c:spPr>
              <c:txPr>
                <a:bodyPr/>
                <a:lstStyle/>
                <a:p>
                  <a:pPr>
                    <a:defRPr sz="1200" b="1">
                      <a:solidFill>
                        <a:srgbClr val="0070C0"/>
                      </a:solidFill>
                    </a:defRPr>
                  </a:pPr>
                  <a:endParaRPr lang="ru-RU"/>
                </a:p>
              </c:txPr>
              <c:showVal val="1"/>
            </c:dLbl>
            <c:delete val="1"/>
          </c:dLbls>
          <c:val>
            <c:numRef>
              <c:f>Лист1!$I$23:$X$23</c:f>
              <c:numCache>
                <c:formatCode>0.00</c:formatCode>
                <c:ptCount val="16"/>
                <c:pt idx="0">
                  <c:v>0.53648084750187885</c:v>
                </c:pt>
                <c:pt idx="1">
                  <c:v>0.53648084750187885</c:v>
                </c:pt>
                <c:pt idx="2">
                  <c:v>0.53648084750187885</c:v>
                </c:pt>
                <c:pt idx="3">
                  <c:v>0.53648084750187885</c:v>
                </c:pt>
                <c:pt idx="4">
                  <c:v>0.53648084750187885</c:v>
                </c:pt>
                <c:pt idx="5">
                  <c:v>0.53648084750187885</c:v>
                </c:pt>
                <c:pt idx="6">
                  <c:v>0.53648084750187885</c:v>
                </c:pt>
                <c:pt idx="7">
                  <c:v>0.53648084750187885</c:v>
                </c:pt>
                <c:pt idx="8">
                  <c:v>0.53648084750187885</c:v>
                </c:pt>
                <c:pt idx="9">
                  <c:v>0.53648084750187885</c:v>
                </c:pt>
                <c:pt idx="10">
                  <c:v>0.53648084750187885</c:v>
                </c:pt>
                <c:pt idx="11">
                  <c:v>0.53648084750187885</c:v>
                </c:pt>
              </c:numCache>
            </c:numRef>
          </c:val>
        </c:ser>
        <c:marker val="1"/>
        <c:axId val="264716672"/>
        <c:axId val="264718208"/>
      </c:lineChart>
      <c:catAx>
        <c:axId val="264716672"/>
        <c:scaling>
          <c:orientation val="minMax"/>
        </c:scaling>
        <c:axPos val="b"/>
        <c:numFmt formatCode="General" sourceLinked="1"/>
        <c:tickLblPos val="nextTo"/>
        <c:crossAx val="264718208"/>
        <c:crosses val="autoZero"/>
        <c:auto val="1"/>
        <c:lblAlgn val="ctr"/>
        <c:lblOffset val="100"/>
        <c:tickLblSkip val="2"/>
      </c:catAx>
      <c:valAx>
        <c:axId val="264718208"/>
        <c:scaling>
          <c:orientation val="minMax"/>
        </c:scaling>
        <c:axPos val="l"/>
        <c:majorGridlines/>
        <c:numFmt formatCode="0.000" sourceLinked="1"/>
        <c:tickLblPos val="nextTo"/>
        <c:crossAx val="264716672"/>
        <c:crosses val="autoZero"/>
        <c:crossBetween val="between"/>
      </c:valAx>
    </c:plotArea>
    <c:legend>
      <c:legendPos val="r"/>
      <c:layout>
        <c:manualLayout>
          <c:xMode val="edge"/>
          <c:yMode val="edge"/>
          <c:x val="0.80743044619422577"/>
          <c:y val="0.28646106736658022"/>
          <c:w val="0.17590288713910832"/>
          <c:h val="0.32985527850685475"/>
        </c:manualLayout>
      </c:layout>
    </c:legend>
    <c:plotVisOnly val="1"/>
  </c:chart>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Лист1!$A$24</c:f>
              <c:strCache>
                <c:ptCount val="1"/>
                <c:pt idx="0">
                  <c:v>Кэмо (Мосэнергосбыт)</c:v>
                </c:pt>
              </c:strCache>
            </c:strRef>
          </c:tx>
          <c:spPr>
            <a:ln>
              <a:noFill/>
            </a:ln>
          </c:spPr>
          <c:marker>
            <c:symbol val="diamond"/>
            <c:size val="10"/>
            <c:spPr>
              <a:solidFill>
                <a:srgbClr val="002060"/>
              </a:solidFill>
              <a:ln>
                <a:solidFill>
                  <a:srgbClr val="002060"/>
                </a:solidFill>
              </a:ln>
            </c:spPr>
          </c:marker>
          <c:dLbls>
            <c:dLbl>
              <c:idx val="1"/>
              <c:tx>
                <c:rich>
                  <a:bodyPr/>
                  <a:lstStyle/>
                  <a:p>
                    <a:r>
                      <a:rPr lang="en-US" b="1">
                        <a:solidFill>
                          <a:srgbClr val="002060"/>
                        </a:solidFill>
                      </a:rPr>
                      <a:t>0</a:t>
                    </a:r>
                    <a:r>
                      <a:rPr lang="en-US"/>
                      <a:t>,0</a:t>
                    </a:r>
                  </a:p>
                </c:rich>
              </c:tx>
              <c:dLblPos val="t"/>
              <c:showVal val="1"/>
            </c:dLbl>
            <c:dLbl>
              <c:idx val="4"/>
              <c:layout>
                <c:manualLayout>
                  <c:x val="-3.8005593563099696E-2"/>
                  <c:y val="-3.3246452889041045E-2"/>
                </c:manualLayout>
              </c:layout>
              <c:dLblPos val="r"/>
              <c:showVal val="1"/>
            </c:dLbl>
            <c:txPr>
              <a:bodyPr/>
              <a:lstStyle/>
              <a:p>
                <a:pPr>
                  <a:defRPr b="1">
                    <a:solidFill>
                      <a:srgbClr val="002060"/>
                    </a:solidFill>
                  </a:defRPr>
                </a:pPr>
                <a:endParaRPr lang="ru-RU"/>
              </a:p>
            </c:txPr>
            <c:dLblPos val="t"/>
            <c:showVal val="1"/>
          </c:dLbls>
          <c:cat>
            <c:numRef>
              <c:f>Лист1!$I$17:$W$17</c:f>
              <c:numCache>
                <c:formatCode>General</c:formatCode>
                <c:ptCount val="15"/>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numCache>
            </c:numRef>
          </c:cat>
          <c:val>
            <c:numRef>
              <c:f>Лист1!$I$24:$W$24</c:f>
              <c:numCache>
                <c:formatCode>0.000</c:formatCode>
                <c:ptCount val="15"/>
                <c:pt idx="0">
                  <c:v>8.6184607429112839E-2</c:v>
                </c:pt>
                <c:pt idx="1">
                  <c:v>0</c:v>
                </c:pt>
                <c:pt idx="2">
                  <c:v>0.1432151808091662</c:v>
                </c:pt>
                <c:pt idx="3">
                  <c:v>1.1086474501108683</c:v>
                </c:pt>
                <c:pt idx="4">
                  <c:v>1.1131725417439737</c:v>
                </c:pt>
                <c:pt idx="5">
                  <c:v>0.79911482665355071</c:v>
                </c:pt>
                <c:pt idx="6">
                  <c:v>0.73651698740793248</c:v>
                </c:pt>
                <c:pt idx="7">
                  <c:v>0.29771355986027281</c:v>
                </c:pt>
                <c:pt idx="8">
                  <c:v>0.57208237986269739</c:v>
                </c:pt>
                <c:pt idx="9">
                  <c:v>0.64796033355871485</c:v>
                </c:pt>
                <c:pt idx="10">
                  <c:v>0.24306706441277295</c:v>
                </c:pt>
                <c:pt idx="11">
                  <c:v>0.96567707758525645</c:v>
                </c:pt>
                <c:pt idx="12">
                  <c:v>0.17470300489168544</c:v>
                </c:pt>
                <c:pt idx="13">
                  <c:v>0.63688976268934028</c:v>
                </c:pt>
              </c:numCache>
            </c:numRef>
          </c:val>
        </c:ser>
        <c:ser>
          <c:idx val="1"/>
          <c:order val="1"/>
          <c:tx>
            <c:strRef>
              <c:f>Лист1!$A$25</c:f>
              <c:strCache>
                <c:ptCount val="1"/>
                <c:pt idx="0">
                  <c:v>Среднее</c:v>
                </c:pt>
              </c:strCache>
            </c:strRef>
          </c:tx>
          <c:spPr>
            <a:ln w="19050">
              <a:solidFill>
                <a:srgbClr val="002060"/>
              </a:solidFill>
              <a:prstDash val="dash"/>
            </a:ln>
          </c:spPr>
          <c:marker>
            <c:symbol val="none"/>
          </c:marker>
          <c:dLbls>
            <c:dLbl>
              <c:idx val="0"/>
              <c:layout>
                <c:manualLayout>
                  <c:x val="-0.11366120218579252"/>
                  <c:y val="-2.3188405797101387E-2"/>
                </c:manualLayout>
              </c:layout>
              <c:showVal val="1"/>
            </c:dLbl>
            <c:delete val="1"/>
            <c:txPr>
              <a:bodyPr/>
              <a:lstStyle/>
              <a:p>
                <a:pPr>
                  <a:defRPr sz="1200" b="1">
                    <a:solidFill>
                      <a:srgbClr val="002060"/>
                    </a:solidFill>
                  </a:defRPr>
                </a:pPr>
                <a:endParaRPr lang="ru-RU"/>
              </a:p>
            </c:txPr>
          </c:dLbls>
          <c:val>
            <c:numRef>
              <c:f>Лист1!$I$25:$V$25</c:f>
              <c:numCache>
                <c:formatCode>0.000</c:formatCode>
                <c:ptCount val="14"/>
                <c:pt idx="0">
                  <c:v>0.6103047281303926</c:v>
                </c:pt>
                <c:pt idx="1">
                  <c:v>0.6103047281303926</c:v>
                </c:pt>
                <c:pt idx="2">
                  <c:v>0.6103047281303926</c:v>
                </c:pt>
                <c:pt idx="3">
                  <c:v>0.6103047281303926</c:v>
                </c:pt>
                <c:pt idx="4">
                  <c:v>0.6103047281303926</c:v>
                </c:pt>
                <c:pt idx="5">
                  <c:v>0.6103047281303926</c:v>
                </c:pt>
                <c:pt idx="6">
                  <c:v>0.6103047281303926</c:v>
                </c:pt>
                <c:pt idx="7">
                  <c:v>0.6103047281303926</c:v>
                </c:pt>
                <c:pt idx="8">
                  <c:v>0.6103047281303926</c:v>
                </c:pt>
                <c:pt idx="9">
                  <c:v>0.6103047281303926</c:v>
                </c:pt>
                <c:pt idx="10">
                  <c:v>0.6103047281303926</c:v>
                </c:pt>
                <c:pt idx="11">
                  <c:v>0.6103047281303926</c:v>
                </c:pt>
              </c:numCache>
            </c:numRef>
          </c:val>
        </c:ser>
        <c:marker val="1"/>
        <c:axId val="265043968"/>
        <c:axId val="264937856"/>
      </c:lineChart>
      <c:catAx>
        <c:axId val="265043968"/>
        <c:scaling>
          <c:orientation val="minMax"/>
        </c:scaling>
        <c:axPos val="b"/>
        <c:numFmt formatCode="General" sourceLinked="1"/>
        <c:tickLblPos val="nextTo"/>
        <c:crossAx val="264937856"/>
        <c:crosses val="autoZero"/>
        <c:auto val="1"/>
        <c:lblAlgn val="ctr"/>
        <c:lblOffset val="100"/>
      </c:catAx>
      <c:valAx>
        <c:axId val="264937856"/>
        <c:scaling>
          <c:orientation val="minMax"/>
        </c:scaling>
        <c:axPos val="l"/>
        <c:majorGridlines/>
        <c:numFmt formatCode="0.000" sourceLinked="1"/>
        <c:tickLblPos val="nextTo"/>
        <c:crossAx val="265043968"/>
        <c:crosses val="autoZero"/>
        <c:crossBetween val="between"/>
      </c:valAx>
    </c:plotArea>
    <c:legend>
      <c:legendPos val="r"/>
    </c:legend>
    <c:plotVisOnly val="1"/>
  </c:chart>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Лист1!$A$55</c:f>
              <c:strCache>
                <c:ptCount val="1"/>
                <c:pt idx="0">
                  <c:v>α </c:v>
                </c:pt>
              </c:strCache>
            </c:strRef>
          </c:tx>
          <c:spPr>
            <a:ln w="19050">
              <a:solidFill>
                <a:srgbClr val="FF0000"/>
              </a:solidFill>
            </a:ln>
          </c:spPr>
          <c:marker>
            <c:symbol val="diamond"/>
            <c:size val="10"/>
            <c:spPr>
              <a:solidFill>
                <a:srgbClr val="FF0000"/>
              </a:solidFill>
              <a:ln>
                <a:solidFill>
                  <a:srgbClr val="FF0000"/>
                </a:solidFill>
              </a:ln>
            </c:spPr>
          </c:marker>
          <c:dLbls>
            <c:dLbl>
              <c:idx val="0"/>
              <c:layout>
                <c:manualLayout>
                  <c:x val="-6.8959193030719859E-2"/>
                  <c:y val="-2.8035590258738547E-2"/>
                </c:manualLayout>
              </c:layout>
              <c:showVal val="1"/>
            </c:dLbl>
            <c:dLbl>
              <c:idx val="1"/>
              <c:layout>
                <c:manualLayout>
                  <c:x val="-5.520403484640099E-2"/>
                  <c:y val="5.3118095614092808E-2"/>
                </c:manualLayout>
              </c:layout>
              <c:showVal val="1"/>
            </c:dLbl>
            <c:dLbl>
              <c:idx val="3"/>
              <c:layout>
                <c:manualLayout>
                  <c:x val="-9.4444444444444525E-2"/>
                  <c:y val="6.9444444444444503E-2"/>
                </c:manualLayout>
              </c:layout>
              <c:showVal val="1"/>
            </c:dLbl>
            <c:dLbl>
              <c:idx val="4"/>
              <c:layout>
                <c:manualLayout>
                  <c:x val="-6.1111111111111123E-2"/>
                  <c:y val="-3.7037037037037056E-2"/>
                </c:manualLayout>
              </c:layout>
              <c:showVal val="1"/>
            </c:dLbl>
            <c:dLbl>
              <c:idx val="6"/>
              <c:layout>
                <c:manualLayout>
                  <c:x val="-6.1111111111111123E-2"/>
                  <c:y val="6.481481481481538E-2"/>
                </c:manualLayout>
              </c:layout>
              <c:showVal val="1"/>
            </c:dLbl>
            <c:dLbl>
              <c:idx val="7"/>
              <c:layout>
                <c:manualLayout>
                  <c:x val="-7.2222222222222424E-2"/>
                  <c:y val="-2.7777777777778064E-2"/>
                </c:manualLayout>
              </c:layout>
              <c:showVal val="1"/>
            </c:dLbl>
            <c:dLbl>
              <c:idx val="8"/>
              <c:layout>
                <c:manualLayout>
                  <c:x val="-5.2729610284674905E-2"/>
                  <c:y val="-6.0185185185185147E-2"/>
                </c:manualLayout>
              </c:layout>
              <c:showVal val="1"/>
            </c:dLbl>
            <c:dLbl>
              <c:idx val="10"/>
              <c:layout>
                <c:manualLayout>
                  <c:x val="-5.8333333333333778E-2"/>
                  <c:y val="5.0925925925925902E-2"/>
                </c:manualLayout>
              </c:layout>
              <c:showVal val="1"/>
            </c:dLbl>
            <c:dLbl>
              <c:idx val="13"/>
              <c:showVal val="1"/>
            </c:dLbl>
            <c:dLbl>
              <c:idx val="15"/>
              <c:layout>
                <c:manualLayout>
                  <c:x val="-7.5000000000000011E-2"/>
                  <c:y val="-4.6296296296296523E-2"/>
                </c:manualLayout>
              </c:layout>
              <c:showVal val="1"/>
            </c:dLbl>
            <c:delete val="1"/>
            <c:txPr>
              <a:bodyPr/>
              <a:lstStyle/>
              <a:p>
                <a:pPr>
                  <a:defRPr b="1">
                    <a:solidFill>
                      <a:srgbClr val="FF0000"/>
                    </a:solidFill>
                  </a:defRPr>
                </a:pPr>
                <a:endParaRPr lang="ru-RU"/>
              </a:p>
            </c:txPr>
          </c:dLbls>
          <c:cat>
            <c:numRef>
              <c:f>Лист1!$B$42:$R$42</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Лист1!$B$55:$R$55</c:f>
              <c:numCache>
                <c:formatCode>0.0%</c:formatCode>
                <c:ptCount val="17"/>
                <c:pt idx="0">
                  <c:v>0.20113105425310387</c:v>
                </c:pt>
                <c:pt idx="1">
                  <c:v>0.19691482050386391</c:v>
                </c:pt>
                <c:pt idx="2">
                  <c:v>0.20500334359009714</c:v>
                </c:pt>
                <c:pt idx="3">
                  <c:v>0.20209332750493494</c:v>
                </c:pt>
                <c:pt idx="4">
                  <c:v>0.18505593884466637</c:v>
                </c:pt>
                <c:pt idx="5">
                  <c:v>0.19087085741274587</c:v>
                </c:pt>
                <c:pt idx="6">
                  <c:v>0.1836465646050649</c:v>
                </c:pt>
                <c:pt idx="7">
                  <c:v>0.18830484668049399</c:v>
                </c:pt>
                <c:pt idx="8">
                  <c:v>0.19704959119962989</c:v>
                </c:pt>
                <c:pt idx="9">
                  <c:v>0.19009852724245269</c:v>
                </c:pt>
                <c:pt idx="10">
                  <c:v>0.18730734971907168</c:v>
                </c:pt>
                <c:pt idx="11">
                  <c:v>0.19038788397076598</c:v>
                </c:pt>
                <c:pt idx="12">
                  <c:v>0.19110285247711173</c:v>
                </c:pt>
                <c:pt idx="13">
                  <c:v>0.19673610100517774</c:v>
                </c:pt>
                <c:pt idx="14">
                  <c:v>0.20643603090089943</c:v>
                </c:pt>
                <c:pt idx="15">
                  <c:v>0.21307309588260687</c:v>
                </c:pt>
                <c:pt idx="16">
                  <c:v>0.21569449825710302</c:v>
                </c:pt>
              </c:numCache>
            </c:numRef>
          </c:val>
        </c:ser>
        <c:ser>
          <c:idx val="1"/>
          <c:order val="1"/>
          <c:spPr>
            <a:ln>
              <a:solidFill>
                <a:srgbClr val="FF0000"/>
              </a:solidFill>
              <a:prstDash val="dash"/>
            </a:ln>
          </c:spPr>
          <c:marker>
            <c:symbol val="none"/>
          </c:marker>
          <c:dLbls>
            <c:dLbl>
              <c:idx val="0"/>
              <c:layout>
                <c:manualLayout>
                  <c:x val="-0.10775198836046457"/>
                  <c:y val="2.3457109644024404E-2"/>
                </c:manualLayout>
              </c:layout>
              <c:spPr/>
              <c:txPr>
                <a:bodyPr/>
                <a:lstStyle/>
                <a:p>
                  <a:pPr>
                    <a:defRPr sz="1400" b="1">
                      <a:solidFill>
                        <a:srgbClr val="FF0000"/>
                      </a:solidFill>
                    </a:defRPr>
                  </a:pPr>
                  <a:endParaRPr lang="ru-RU"/>
                </a:p>
              </c:txPr>
              <c:showVal val="1"/>
            </c:dLbl>
            <c:delete val="1"/>
            <c:txPr>
              <a:bodyPr/>
              <a:lstStyle/>
              <a:p>
                <a:pPr>
                  <a:defRPr sz="1400"/>
                </a:pPr>
                <a:endParaRPr lang="ru-RU"/>
              </a:p>
            </c:txPr>
          </c:dLbls>
          <c:val>
            <c:numRef>
              <c:f>Лист1!$B$56:$R$56</c:f>
              <c:numCache>
                <c:formatCode>0.0%</c:formatCode>
                <c:ptCount val="17"/>
                <c:pt idx="0">
                  <c:v>0.19652392259116391</c:v>
                </c:pt>
                <c:pt idx="1">
                  <c:v>0.19652392259116391</c:v>
                </c:pt>
                <c:pt idx="2">
                  <c:v>0.19652392259116391</c:v>
                </c:pt>
                <c:pt idx="3">
                  <c:v>0.19652392259116391</c:v>
                </c:pt>
                <c:pt idx="4">
                  <c:v>0.19652392259116391</c:v>
                </c:pt>
                <c:pt idx="5">
                  <c:v>0.19652392259116391</c:v>
                </c:pt>
                <c:pt idx="6">
                  <c:v>0.19652392259116391</c:v>
                </c:pt>
                <c:pt idx="7">
                  <c:v>0.19652392259116391</c:v>
                </c:pt>
                <c:pt idx="8">
                  <c:v>0.19652392259116391</c:v>
                </c:pt>
                <c:pt idx="9">
                  <c:v>0.19652392259116391</c:v>
                </c:pt>
                <c:pt idx="10">
                  <c:v>0.19652392259116391</c:v>
                </c:pt>
                <c:pt idx="11">
                  <c:v>0.19652392259116391</c:v>
                </c:pt>
                <c:pt idx="12">
                  <c:v>0.19652392259116391</c:v>
                </c:pt>
                <c:pt idx="13">
                  <c:v>0.19652392259116391</c:v>
                </c:pt>
                <c:pt idx="14">
                  <c:v>0.19652392259116391</c:v>
                </c:pt>
                <c:pt idx="15">
                  <c:v>0.19652392259116391</c:v>
                </c:pt>
                <c:pt idx="16">
                  <c:v>0.19652392259116391</c:v>
                </c:pt>
              </c:numCache>
            </c:numRef>
          </c:val>
        </c:ser>
        <c:marker val="1"/>
        <c:axId val="265238016"/>
        <c:axId val="265239552"/>
      </c:lineChart>
      <c:catAx>
        <c:axId val="265238016"/>
        <c:scaling>
          <c:orientation val="minMax"/>
        </c:scaling>
        <c:axPos val="b"/>
        <c:numFmt formatCode="General" sourceLinked="1"/>
        <c:tickLblPos val="nextTo"/>
        <c:crossAx val="265239552"/>
        <c:crosses val="autoZero"/>
        <c:auto val="1"/>
        <c:lblAlgn val="ctr"/>
        <c:lblOffset val="100"/>
        <c:tickLblSkip val="2"/>
      </c:catAx>
      <c:valAx>
        <c:axId val="265239552"/>
        <c:scaling>
          <c:orientation val="minMax"/>
          <c:max val="0.22"/>
          <c:min val="0.14000000000000001"/>
        </c:scaling>
        <c:axPos val="l"/>
        <c:majorGridlines/>
        <c:numFmt formatCode="0.0%" sourceLinked="1"/>
        <c:tickLblPos val="nextTo"/>
        <c:crossAx val="265238016"/>
        <c:crosses val="autoZero"/>
        <c:crossBetween val="between"/>
        <c:majorUnit val="2.0000000000000011E-2"/>
      </c:valAx>
    </c:plotArea>
    <c:legend>
      <c:legendPos val="r"/>
      <c:legendEntry>
        <c:idx val="1"/>
        <c:delete val="1"/>
      </c:legendEntry>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Лист1!$C$2</c:f>
              <c:strCache>
                <c:ptCount val="1"/>
                <c:pt idx="0">
                  <c:v>ЧИСЛЕННОСТЬ НАСЕЛЕНИЯ, млн. чел</c:v>
                </c:pt>
              </c:strCache>
            </c:strRef>
          </c:tx>
          <c:spPr>
            <a:ln>
              <a:solidFill>
                <a:srgbClr val="7030A0"/>
              </a:solidFill>
            </a:ln>
          </c:spPr>
          <c:marker>
            <c:symbol val="diamond"/>
            <c:size val="4"/>
            <c:spPr>
              <a:solidFill>
                <a:srgbClr val="7030A0"/>
              </a:solidFill>
              <a:ln>
                <a:solidFill>
                  <a:srgbClr val="7030A0"/>
                </a:solidFill>
              </a:ln>
            </c:spPr>
          </c:marker>
          <c:dLbls>
            <c:dLbl>
              <c:idx val="0"/>
              <c:dLblPos val="t"/>
              <c:showVal val="1"/>
            </c:dLbl>
            <c:dLbl>
              <c:idx val="5"/>
              <c:dLblPos val="t"/>
              <c:showVal val="1"/>
            </c:dLbl>
            <c:dLbl>
              <c:idx val="7"/>
              <c:dLblPos val="t"/>
              <c:showVal val="1"/>
            </c:dLbl>
            <c:dLbl>
              <c:idx val="10"/>
              <c:dLblPos val="t"/>
              <c:showVal val="1"/>
            </c:dLbl>
            <c:dLbl>
              <c:idx val="13"/>
              <c:dLblPos val="t"/>
              <c:showVal val="1"/>
            </c:dLbl>
            <c:dLbl>
              <c:idx val="17"/>
              <c:dLblPos val="t"/>
              <c:showVal val="1"/>
            </c:dLbl>
            <c:dLbl>
              <c:idx val="23"/>
              <c:dLblPos val="t"/>
              <c:showVal val="1"/>
            </c:dLbl>
            <c:dLbl>
              <c:idx val="26"/>
              <c:dLblPos val="t"/>
              <c:showVal val="1"/>
            </c:dLbl>
            <c:dLbl>
              <c:idx val="31"/>
              <c:dLblPos val="t"/>
              <c:showVal val="1"/>
            </c:dLbl>
            <c:dLbl>
              <c:idx val="37"/>
              <c:dLblPos val="t"/>
              <c:showVal val="1"/>
            </c:dLbl>
            <c:dLbl>
              <c:idx val="43"/>
              <c:dLblPos val="t"/>
              <c:showVal val="1"/>
            </c:dLbl>
            <c:delete val="1"/>
            <c:txPr>
              <a:bodyPr/>
              <a:lstStyle/>
              <a:p>
                <a:pPr>
                  <a:defRPr>
                    <a:solidFill>
                      <a:srgbClr val="7030A0"/>
                    </a:solidFill>
                  </a:defRPr>
                </a:pPr>
                <a:endParaRPr lang="ru-RU"/>
              </a:p>
            </c:txPr>
            <c:dLblPos val="t"/>
          </c:dLbls>
          <c:cat>
            <c:numRef>
              <c:f>Лист1!$A$16:$A$70</c:f>
              <c:numCache>
                <c:formatCode>General</c:formatCode>
                <c:ptCount val="55"/>
                <c:pt idx="0">
                  <c:v>1959</c:v>
                </c:pt>
                <c:pt idx="1">
                  <c:v>1960</c:v>
                </c:pt>
                <c:pt idx="2">
                  <c:v>1961</c:v>
                </c:pt>
                <c:pt idx="3">
                  <c:v>1962</c:v>
                </c:pt>
                <c:pt idx="4">
                  <c:v>1963</c:v>
                </c:pt>
                <c:pt idx="5">
                  <c:v>1964</c:v>
                </c:pt>
                <c:pt idx="6">
                  <c:v>1965</c:v>
                </c:pt>
                <c:pt idx="7">
                  <c:v>1966</c:v>
                </c:pt>
                <c:pt idx="8">
                  <c:v>1967</c:v>
                </c:pt>
                <c:pt idx="9">
                  <c:v>1968</c:v>
                </c:pt>
                <c:pt idx="10">
                  <c:v>1969</c:v>
                </c:pt>
                <c:pt idx="11">
                  <c:v>1970</c:v>
                </c:pt>
                <c:pt idx="12">
                  <c:v>1971</c:v>
                </c:pt>
                <c:pt idx="13">
                  <c:v>1972</c:v>
                </c:pt>
                <c:pt idx="14">
                  <c:v>1973</c:v>
                </c:pt>
                <c:pt idx="15">
                  <c:v>1974</c:v>
                </c:pt>
                <c:pt idx="16">
                  <c:v>1975</c:v>
                </c:pt>
                <c:pt idx="17">
                  <c:v>1976</c:v>
                </c:pt>
                <c:pt idx="18">
                  <c:v>1977</c:v>
                </c:pt>
                <c:pt idx="19">
                  <c:v>1978</c:v>
                </c:pt>
                <c:pt idx="20">
                  <c:v>1979</c:v>
                </c:pt>
                <c:pt idx="21">
                  <c:v>1980</c:v>
                </c:pt>
                <c:pt idx="22">
                  <c:v>1981</c:v>
                </c:pt>
                <c:pt idx="23">
                  <c:v>1982</c:v>
                </c:pt>
                <c:pt idx="24">
                  <c:v>1983</c:v>
                </c:pt>
                <c:pt idx="25">
                  <c:v>1984</c:v>
                </c:pt>
                <c:pt idx="26">
                  <c:v>1985</c:v>
                </c:pt>
                <c:pt idx="27">
                  <c:v>1986</c:v>
                </c:pt>
                <c:pt idx="28">
                  <c:v>1987</c:v>
                </c:pt>
                <c:pt idx="29">
                  <c:v>1988</c:v>
                </c:pt>
                <c:pt idx="30">
                  <c:v>1989</c:v>
                </c:pt>
                <c:pt idx="31">
                  <c:v>1990</c:v>
                </c:pt>
                <c:pt idx="32">
                  <c:v>1991</c:v>
                </c:pt>
                <c:pt idx="33">
                  <c:v>1992</c:v>
                </c:pt>
                <c:pt idx="34">
                  <c:v>1993</c:v>
                </c:pt>
                <c:pt idx="35">
                  <c:v>1994</c:v>
                </c:pt>
                <c:pt idx="36">
                  <c:v>1995</c:v>
                </c:pt>
                <c:pt idx="37">
                  <c:v>1996</c:v>
                </c:pt>
                <c:pt idx="38">
                  <c:v>1997</c:v>
                </c:pt>
                <c:pt idx="39">
                  <c:v>1998</c:v>
                </c:pt>
                <c:pt idx="40">
                  <c:v>1999</c:v>
                </c:pt>
                <c:pt idx="41">
                  <c:v>2000</c:v>
                </c:pt>
                <c:pt idx="42">
                  <c:v>2001</c:v>
                </c:pt>
                <c:pt idx="43">
                  <c:v>2002</c:v>
                </c:pt>
                <c:pt idx="44">
                  <c:v>2003</c:v>
                </c:pt>
                <c:pt idx="45">
                  <c:v>2004</c:v>
                </c:pt>
                <c:pt idx="46">
                  <c:v>2005</c:v>
                </c:pt>
                <c:pt idx="47">
                  <c:v>2006</c:v>
                </c:pt>
                <c:pt idx="48">
                  <c:v>2007</c:v>
                </c:pt>
                <c:pt idx="49">
                  <c:v>2008</c:v>
                </c:pt>
                <c:pt idx="50">
                  <c:v>2009</c:v>
                </c:pt>
                <c:pt idx="51">
                  <c:v>2010</c:v>
                </c:pt>
                <c:pt idx="52">
                  <c:v>2011</c:v>
                </c:pt>
                <c:pt idx="53">
                  <c:v>2012</c:v>
                </c:pt>
                <c:pt idx="54">
                  <c:v>2013</c:v>
                </c:pt>
              </c:numCache>
            </c:numRef>
          </c:cat>
          <c:val>
            <c:numRef>
              <c:f>Лист1!$B$16:$B$70</c:f>
              <c:numCache>
                <c:formatCode>General</c:formatCode>
                <c:ptCount val="55"/>
                <c:pt idx="0" formatCode="0.0">
                  <c:v>117.2</c:v>
                </c:pt>
                <c:pt idx="11" formatCode="0.0">
                  <c:v>129.9</c:v>
                </c:pt>
                <c:pt idx="12" formatCode="0.0">
                  <c:v>130.6</c:v>
                </c:pt>
                <c:pt idx="13" formatCode="0.0">
                  <c:v>131.30000000000001</c:v>
                </c:pt>
                <c:pt idx="14" formatCode="0.0">
                  <c:v>132.1</c:v>
                </c:pt>
                <c:pt idx="15" formatCode="0.0">
                  <c:v>132.80000000000001</c:v>
                </c:pt>
                <c:pt idx="16" formatCode="0.0">
                  <c:v>133.6</c:v>
                </c:pt>
                <c:pt idx="17" formatCode="0.0">
                  <c:v>134.5</c:v>
                </c:pt>
                <c:pt idx="18" formatCode="0.0">
                  <c:v>135.5</c:v>
                </c:pt>
                <c:pt idx="19" formatCode="0.0">
                  <c:v>136.5</c:v>
                </c:pt>
                <c:pt idx="20" formatCode="0.0">
                  <c:v>137.4</c:v>
                </c:pt>
                <c:pt idx="21" formatCode="0.0">
                  <c:v>138.1</c:v>
                </c:pt>
                <c:pt idx="22" formatCode="0.0">
                  <c:v>138.80000000000001</c:v>
                </c:pt>
                <c:pt idx="23" formatCode="0.0">
                  <c:v>139.6</c:v>
                </c:pt>
                <c:pt idx="24" formatCode="0.0">
                  <c:v>140.5</c:v>
                </c:pt>
                <c:pt idx="25" formatCode="0.0">
                  <c:v>141.6</c:v>
                </c:pt>
                <c:pt idx="26" formatCode="0.0">
                  <c:v>142.5</c:v>
                </c:pt>
                <c:pt idx="27" formatCode="0.0">
                  <c:v>143.6</c:v>
                </c:pt>
                <c:pt idx="28" formatCode="0.0">
                  <c:v>144.80000000000001</c:v>
                </c:pt>
                <c:pt idx="29" formatCode="0.0">
                  <c:v>146</c:v>
                </c:pt>
                <c:pt idx="30" formatCode="0.0">
                  <c:v>147</c:v>
                </c:pt>
                <c:pt idx="31" formatCode="0.0">
                  <c:v>147.69999999999999</c:v>
                </c:pt>
                <c:pt idx="32" formatCode="0.0">
                  <c:v>148.30000000000001</c:v>
                </c:pt>
                <c:pt idx="33" formatCode="0.0">
                  <c:v>148.5</c:v>
                </c:pt>
                <c:pt idx="34" formatCode="0.0">
                  <c:v>148.6</c:v>
                </c:pt>
                <c:pt idx="35" formatCode="0.0">
                  <c:v>148.4</c:v>
                </c:pt>
                <c:pt idx="36" formatCode="0.0">
                  <c:v>148.5</c:v>
                </c:pt>
                <c:pt idx="37" formatCode="0.0">
                  <c:v>148.30000000000001</c:v>
                </c:pt>
                <c:pt idx="38" formatCode="0.0">
                  <c:v>148</c:v>
                </c:pt>
                <c:pt idx="39" formatCode="0.0">
                  <c:v>147.80000000000001</c:v>
                </c:pt>
                <c:pt idx="40" formatCode="0.0">
                  <c:v>147.5</c:v>
                </c:pt>
                <c:pt idx="41" formatCode="0.0">
                  <c:v>146.9</c:v>
                </c:pt>
                <c:pt idx="42" formatCode="0.0">
                  <c:v>146.30000000000001</c:v>
                </c:pt>
                <c:pt idx="43" formatCode="0.0">
                  <c:v>145.19999999999999</c:v>
                </c:pt>
                <c:pt idx="44" formatCode="0.0">
                  <c:v>145</c:v>
                </c:pt>
                <c:pt idx="45" formatCode="0.0">
                  <c:v>144.30000000000001</c:v>
                </c:pt>
                <c:pt idx="46" formatCode="0.0">
                  <c:v>143.80000000000001</c:v>
                </c:pt>
                <c:pt idx="47" formatCode="0.0">
                  <c:v>143.19999999999999</c:v>
                </c:pt>
                <c:pt idx="48" formatCode="0.0">
                  <c:v>142.80000000000001</c:v>
                </c:pt>
                <c:pt idx="49" formatCode="0.0">
                  <c:v>142.80000000000001</c:v>
                </c:pt>
                <c:pt idx="50" formatCode="0.0">
                  <c:v>142.69999999999999</c:v>
                </c:pt>
                <c:pt idx="51" formatCode="0.0">
                  <c:v>142.9</c:v>
                </c:pt>
                <c:pt idx="52" formatCode="0.0">
                  <c:v>142.9</c:v>
                </c:pt>
                <c:pt idx="53" formatCode="0.0">
                  <c:v>143</c:v>
                </c:pt>
                <c:pt idx="54" formatCode="0.0">
                  <c:v>143.30000000000001</c:v>
                </c:pt>
              </c:numCache>
            </c:numRef>
          </c:val>
        </c:ser>
        <c:marker val="1"/>
        <c:axId val="247053696"/>
        <c:axId val="247088256"/>
      </c:lineChart>
      <c:catAx>
        <c:axId val="247053696"/>
        <c:scaling>
          <c:orientation val="minMax"/>
        </c:scaling>
        <c:axPos val="b"/>
        <c:numFmt formatCode="General" sourceLinked="1"/>
        <c:tickLblPos val="nextTo"/>
        <c:crossAx val="247088256"/>
        <c:crosses val="autoZero"/>
        <c:auto val="1"/>
        <c:lblAlgn val="ctr"/>
        <c:lblOffset val="5"/>
        <c:tickLblSkip val="5"/>
        <c:tickMarkSkip val="1"/>
      </c:catAx>
      <c:valAx>
        <c:axId val="247088256"/>
        <c:scaling>
          <c:orientation val="minMax"/>
          <c:min val="100"/>
        </c:scaling>
        <c:axPos val="l"/>
        <c:majorGridlines/>
        <c:numFmt formatCode="0.0" sourceLinked="1"/>
        <c:tickLblPos val="nextTo"/>
        <c:crossAx val="247053696"/>
        <c:crosses val="autoZero"/>
        <c:crossBetween val="between"/>
      </c:valAx>
    </c:plotArea>
    <c:legend>
      <c:legendPos val="b"/>
      <c:txPr>
        <a:bodyPr/>
        <a:lstStyle/>
        <a:p>
          <a:pPr>
            <a:defRPr sz="800"/>
          </a:pPr>
          <a:endParaRPr lang="ru-RU"/>
        </a:p>
      </c:txPr>
    </c:legend>
    <c:plotVisOnly val="1"/>
  </c:chart>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Лист1!$A$59</c:f>
              <c:strCache>
                <c:ptCount val="1"/>
                <c:pt idx="0">
                  <c:v>ВРП к 1996г. </c:v>
                </c:pt>
              </c:strCache>
            </c:strRef>
          </c:tx>
          <c:spPr>
            <a:ln w="22225">
              <a:solidFill>
                <a:srgbClr val="FF0000"/>
              </a:solidFill>
            </a:ln>
          </c:spPr>
          <c:marker>
            <c:symbol val="diamond"/>
            <c:size val="4"/>
            <c:spPr>
              <a:solidFill>
                <a:srgbClr val="FF0000"/>
              </a:solidFill>
              <a:ln>
                <a:solidFill>
                  <a:srgbClr val="FF0000"/>
                </a:solidFill>
              </a:ln>
            </c:spPr>
          </c:marker>
          <c:dLbls>
            <c:dLbl>
              <c:idx val="2"/>
              <c:layout>
                <c:manualLayout>
                  <c:x val="-6.6556598252764013E-2"/>
                  <c:y val="4.1739138055759545E-2"/>
                </c:manualLayout>
              </c:layout>
              <c:showVal val="1"/>
            </c:dLbl>
            <c:dLbl>
              <c:idx val="8"/>
              <c:layout>
                <c:manualLayout>
                  <c:x val="-1.3865912477486938E-2"/>
                  <c:y val="1.3913046018586521E-2"/>
                </c:manualLayout>
              </c:layout>
              <c:showVal val="1"/>
            </c:dLbl>
            <c:dLbl>
              <c:idx val="10"/>
              <c:layout>
                <c:manualLayout>
                  <c:x val="-4.9917284918953551E-2"/>
                  <c:y val="-4.6376820061955051E-2"/>
                </c:manualLayout>
              </c:layout>
              <c:showVal val="1"/>
            </c:dLbl>
            <c:dLbl>
              <c:idx val="12"/>
              <c:layout>
                <c:manualLayout>
                  <c:x val="-5.8236832405445464E-2"/>
                  <c:y val="-3.7101456049564017E-2"/>
                </c:manualLayout>
              </c:layout>
              <c:showVal val="1"/>
            </c:dLbl>
            <c:dLbl>
              <c:idx val="13"/>
              <c:layout>
                <c:manualLayout>
                  <c:x val="-4.7144102423455667E-2"/>
                  <c:y val="3.7101456049564045E-2"/>
                </c:manualLayout>
              </c:layout>
              <c:showVal val="1"/>
            </c:dLbl>
            <c:dLbl>
              <c:idx val="16"/>
              <c:layout>
                <c:manualLayout>
                  <c:x val="-1.3865912477486999E-2"/>
                  <c:y val="5.10145020681506E-2"/>
                </c:manualLayout>
              </c:layout>
              <c:showVal val="1"/>
            </c:dLbl>
            <c:delete val="1"/>
            <c:txPr>
              <a:bodyPr/>
              <a:lstStyle/>
              <a:p>
                <a:pPr>
                  <a:defRPr b="1">
                    <a:solidFill>
                      <a:srgbClr val="FF0000"/>
                    </a:solidFill>
                  </a:defRPr>
                </a:pPr>
                <a:endParaRPr lang="ru-RU"/>
              </a:p>
            </c:txPr>
          </c:dLbls>
          <c:cat>
            <c:strRef>
              <c:f>Лист1!$B$63:$R$64</c:f>
              <c:strCach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strCache>
            </c:strRef>
          </c:cat>
          <c:val>
            <c:numRef>
              <c:f>Лист1!$B$59:$R$59</c:f>
              <c:numCache>
                <c:formatCode>_-* #,##0.00_р_._-;\-* #,##0.00_р_._-;_-* "-"??_р_._-;_-@_-</c:formatCode>
                <c:ptCount val="17"/>
                <c:pt idx="0">
                  <c:v>0.99999999223507996</c:v>
                </c:pt>
                <c:pt idx="1">
                  <c:v>1.1051671908451224</c:v>
                </c:pt>
                <c:pt idx="2">
                  <c:v>1.0371462626476928</c:v>
                </c:pt>
                <c:pt idx="3">
                  <c:v>1.1036324579266794</c:v>
                </c:pt>
                <c:pt idx="4">
                  <c:v>1.2847854715157503</c:v>
                </c:pt>
                <c:pt idx="5">
                  <c:v>1.3328393229270306</c:v>
                </c:pt>
                <c:pt idx="6">
                  <c:v>1.4531488458173478</c:v>
                </c:pt>
                <c:pt idx="7">
                  <c:v>1.5900993812246758</c:v>
                </c:pt>
                <c:pt idx="8">
                  <c:v>1.7231507887245252</c:v>
                </c:pt>
                <c:pt idx="9">
                  <c:v>1.9219068755489102</c:v>
                </c:pt>
                <c:pt idx="10">
                  <c:v>2.1202438779018635</c:v>
                </c:pt>
                <c:pt idx="11">
                  <c:v>2.3049611395213314</c:v>
                </c:pt>
                <c:pt idx="12">
                  <c:v>2.4846373306344156</c:v>
                </c:pt>
                <c:pt idx="13">
                  <c:v>2.1817980333133797</c:v>
                </c:pt>
                <c:pt idx="14">
                  <c:v>2.2393852273898243</c:v>
                </c:pt>
                <c:pt idx="15">
                  <c:v>2.3215041852727585</c:v>
                </c:pt>
                <c:pt idx="16">
                  <c:v>2.375848670319971</c:v>
                </c:pt>
              </c:numCache>
            </c:numRef>
          </c:val>
        </c:ser>
        <c:ser>
          <c:idx val="1"/>
          <c:order val="1"/>
          <c:tx>
            <c:strRef>
              <c:f>Лист1!$A$61</c:f>
              <c:strCache>
                <c:ptCount val="1"/>
                <c:pt idx="0">
                  <c:v>Электропотребление к 1996г.</c:v>
                </c:pt>
              </c:strCache>
            </c:strRef>
          </c:tx>
          <c:spPr>
            <a:ln w="22225">
              <a:solidFill>
                <a:srgbClr val="0070C0"/>
              </a:solidFill>
            </a:ln>
          </c:spPr>
          <c:marker>
            <c:symbol val="square"/>
            <c:size val="4"/>
            <c:spPr>
              <a:solidFill>
                <a:srgbClr val="0070C0"/>
              </a:solidFill>
              <a:ln>
                <a:solidFill>
                  <a:srgbClr val="0070C0"/>
                </a:solidFill>
              </a:ln>
            </c:spPr>
          </c:marker>
          <c:dLbls>
            <c:dLbl>
              <c:idx val="0"/>
              <c:layout>
                <c:manualLayout>
                  <c:x val="-2.7731824954974098E-2"/>
                  <c:y val="4.1739138055759545E-2"/>
                </c:manualLayout>
              </c:layout>
              <c:showVal val="1"/>
            </c:dLbl>
            <c:dLbl>
              <c:idx val="2"/>
              <c:layout>
                <c:manualLayout>
                  <c:x val="-2.218545996397921E-2"/>
                  <c:y val="4.1739138055759545E-2"/>
                </c:manualLayout>
              </c:layout>
              <c:showVal val="1"/>
            </c:dLbl>
            <c:dLbl>
              <c:idx val="9"/>
              <c:layout>
                <c:manualLayout>
                  <c:x val="-4.1597737432460972E-2"/>
                  <c:y val="4.6376820061955051E-2"/>
                </c:manualLayout>
              </c:layout>
              <c:showVal val="1"/>
            </c:dLbl>
            <c:dLbl>
              <c:idx val="12"/>
              <c:layout>
                <c:manualLayout>
                  <c:x val="-5.2690467414450722E-2"/>
                  <c:y val="-5.1014502068150475E-2"/>
                </c:manualLayout>
              </c:layout>
              <c:showVal val="1"/>
            </c:dLbl>
            <c:dLbl>
              <c:idx val="13"/>
              <c:layout>
                <c:manualLayout>
                  <c:x val="-3.3278189945968789E-2"/>
                  <c:y val="4.6376820061955051E-2"/>
                </c:manualLayout>
              </c:layout>
              <c:showVal val="1"/>
            </c:dLbl>
            <c:dLbl>
              <c:idx val="16"/>
              <c:layout>
                <c:manualLayout>
                  <c:x val="-4.1597737432460993E-2"/>
                  <c:y val="3.7101456049564045E-2"/>
                </c:manualLayout>
              </c:layout>
              <c:showVal val="1"/>
            </c:dLbl>
            <c:delete val="1"/>
            <c:txPr>
              <a:bodyPr/>
              <a:lstStyle/>
              <a:p>
                <a:pPr>
                  <a:defRPr b="1">
                    <a:solidFill>
                      <a:srgbClr val="0070C0"/>
                    </a:solidFill>
                  </a:defRPr>
                </a:pPr>
                <a:endParaRPr lang="ru-RU"/>
              </a:p>
            </c:txPr>
          </c:dLbls>
          <c:val>
            <c:numRef>
              <c:f>Лист1!$B$61:$R$61</c:f>
              <c:numCache>
                <c:formatCode>_-* #,##0.00_р_._-;\-* #,##0.00_р_._-;_-* "-"??_р_._-;_-@_-</c:formatCode>
                <c:ptCount val="17"/>
                <c:pt idx="0" formatCode="0.0">
                  <c:v>1</c:v>
                </c:pt>
                <c:pt idx="1">
                  <c:v>1.0178861788617901</c:v>
                </c:pt>
                <c:pt idx="2">
                  <c:v>1.0357723577235758</c:v>
                </c:pt>
                <c:pt idx="3">
                  <c:v>1.0601626016260197</c:v>
                </c:pt>
                <c:pt idx="4">
                  <c:v>1.1170731707317125</c:v>
                </c:pt>
                <c:pt idx="5">
                  <c:v>1.1837398373983739</c:v>
                </c:pt>
                <c:pt idx="6">
                  <c:v>1.2292682926829195</c:v>
                </c:pt>
                <c:pt idx="7">
                  <c:v>1.2926829268292741</c:v>
                </c:pt>
                <c:pt idx="8">
                  <c:v>1.346341463414634</c:v>
                </c:pt>
                <c:pt idx="9">
                  <c:v>1.3902439024390243</c:v>
                </c:pt>
                <c:pt idx="10">
                  <c:v>1.4617886178861748</c:v>
                </c:pt>
                <c:pt idx="11">
                  <c:v>1.5121951219512262</c:v>
                </c:pt>
                <c:pt idx="12">
                  <c:v>1.5593495934959352</c:v>
                </c:pt>
                <c:pt idx="13">
                  <c:v>1.5284552845528461</c:v>
                </c:pt>
                <c:pt idx="14">
                  <c:v>1.5886178861788656</c:v>
                </c:pt>
                <c:pt idx="15">
                  <c:v>1.5967479674796747</c:v>
                </c:pt>
                <c:pt idx="16">
                  <c:v>1.6406504065040661</c:v>
                </c:pt>
              </c:numCache>
            </c:numRef>
          </c:val>
        </c:ser>
        <c:ser>
          <c:idx val="2"/>
          <c:order val="2"/>
          <c:tx>
            <c:strRef>
              <c:f>Лист1!$A$60</c:f>
              <c:strCache>
                <c:ptCount val="1"/>
                <c:pt idx="0">
                  <c:v>ИОК к 1996г.</c:v>
                </c:pt>
              </c:strCache>
            </c:strRef>
          </c:tx>
          <c:spPr>
            <a:ln w="22225">
              <a:solidFill>
                <a:schemeClr val="tx1"/>
              </a:solidFill>
            </a:ln>
          </c:spPr>
          <c:marker>
            <c:symbol val="triangle"/>
            <c:size val="4"/>
            <c:spPr>
              <a:solidFill>
                <a:schemeClr val="tx1"/>
              </a:solidFill>
              <a:ln>
                <a:solidFill>
                  <a:prstClr val="black"/>
                </a:solidFill>
              </a:ln>
            </c:spPr>
          </c:marker>
          <c:dLbls>
            <c:dLbl>
              <c:idx val="2"/>
              <c:layout>
                <c:manualLayout>
                  <c:x val="-6.3783197396440477E-2"/>
                  <c:y val="-2.7826092037173147E-2"/>
                </c:manualLayout>
              </c:layout>
              <c:showVal val="1"/>
            </c:dLbl>
            <c:dLbl>
              <c:idx val="4"/>
              <c:layout>
                <c:manualLayout>
                  <c:x val="-4.4370919927958614E-2"/>
                  <c:y val="-4.6376820061955051E-2"/>
                </c:manualLayout>
              </c:layout>
              <c:showVal val="1"/>
            </c:dLbl>
            <c:dLbl>
              <c:idx val="8"/>
              <c:layout>
                <c:manualLayout>
                  <c:x val="-7.7649109873927147E-2"/>
                  <c:y val="-2.3188410030977526E-2"/>
                </c:manualLayout>
              </c:layout>
              <c:showVal val="1"/>
            </c:dLbl>
            <c:dLbl>
              <c:idx val="11"/>
              <c:layout>
                <c:manualLayout>
                  <c:x val="-7.4876145739256217E-2"/>
                  <c:y val="-4.6376820061955048E-3"/>
                </c:manualLayout>
              </c:layout>
              <c:showVal val="1"/>
            </c:dLbl>
            <c:dLbl>
              <c:idx val="12"/>
              <c:layout>
                <c:manualLayout>
                  <c:x val="-1.3865912477486999E-2"/>
                  <c:y val="1.0627898489807968E-17"/>
                </c:manualLayout>
              </c:layout>
              <c:showVal val="1"/>
            </c:dLbl>
            <c:dLbl>
              <c:idx val="13"/>
              <c:layout>
                <c:manualLayout>
                  <c:x val="-8.3195474864922268E-3"/>
                  <c:y val="-3.2463774043368546E-2"/>
                </c:manualLayout>
              </c:layout>
              <c:showVal val="1"/>
            </c:dLbl>
            <c:dLbl>
              <c:idx val="16"/>
              <c:layout>
                <c:manualLayout>
                  <c:x val="-2.218545996397921E-2"/>
                  <c:y val="-3.2463774043368546E-2"/>
                </c:manualLayout>
              </c:layout>
              <c:showVal val="1"/>
            </c:dLbl>
            <c:delete val="1"/>
            <c:txPr>
              <a:bodyPr/>
              <a:lstStyle/>
              <a:p>
                <a:pPr>
                  <a:defRPr b="1"/>
                </a:pPr>
                <a:endParaRPr lang="ru-RU"/>
              </a:p>
            </c:txPr>
          </c:dLbls>
          <c:val>
            <c:numRef>
              <c:f>Лист1!$B$60:$R$60</c:f>
              <c:numCache>
                <c:formatCode>0.00</c:formatCode>
                <c:ptCount val="17"/>
                <c:pt idx="0" formatCode="0.0">
                  <c:v>1</c:v>
                </c:pt>
                <c:pt idx="1">
                  <c:v>1.032304904199864</c:v>
                </c:pt>
                <c:pt idx="2">
                  <c:v>1.3346135858191392</c:v>
                </c:pt>
                <c:pt idx="3">
                  <c:v>1.4161645206905804</c:v>
                </c:pt>
                <c:pt idx="4">
                  <c:v>1.6104061646331669</c:v>
                </c:pt>
                <c:pt idx="5">
                  <c:v>1.4539788429295271</c:v>
                </c:pt>
                <c:pt idx="6">
                  <c:v>1.6082645396183421</c:v>
                </c:pt>
                <c:pt idx="7">
                  <c:v>1.8083296807155538</c:v>
                </c:pt>
                <c:pt idx="8">
                  <c:v>2.1285883581088472</c:v>
                </c:pt>
                <c:pt idx="9">
                  <c:v>2.2709189274545878</c:v>
                </c:pt>
                <c:pt idx="10">
                  <c:v>2.5968375058514872</c:v>
                </c:pt>
                <c:pt idx="11">
                  <c:v>3.1313002092649813</c:v>
                </c:pt>
                <c:pt idx="12">
                  <c:v>3.191727745456439</c:v>
                </c:pt>
                <c:pt idx="13">
                  <c:v>2.4056604638482524</c:v>
                </c:pt>
                <c:pt idx="14">
                  <c:v>2.3240233035503186</c:v>
                </c:pt>
                <c:pt idx="15">
                  <c:v>2.3406750527857731</c:v>
                </c:pt>
                <c:pt idx="16">
                  <c:v>2.4828171776774912</c:v>
                </c:pt>
              </c:numCache>
            </c:numRef>
          </c:val>
        </c:ser>
        <c:marker val="1"/>
        <c:axId val="265143808"/>
        <c:axId val="265145344"/>
      </c:lineChart>
      <c:catAx>
        <c:axId val="265143808"/>
        <c:scaling>
          <c:orientation val="minMax"/>
        </c:scaling>
        <c:axPos val="b"/>
        <c:tickLblPos val="nextTo"/>
        <c:crossAx val="265145344"/>
        <c:crosses val="autoZero"/>
        <c:auto val="1"/>
        <c:lblAlgn val="ctr"/>
        <c:lblOffset val="100"/>
        <c:tickLblSkip val="4"/>
      </c:catAx>
      <c:valAx>
        <c:axId val="265145344"/>
        <c:scaling>
          <c:orientation val="minMax"/>
        </c:scaling>
        <c:axPos val="l"/>
        <c:majorGridlines/>
        <c:numFmt formatCode="_-* #,##0.00_р_._-;\-* #,##0.00_р_._-;_-* &quot;-&quot;??_р_._-;_-@_-" sourceLinked="1"/>
        <c:tickLblPos val="nextTo"/>
        <c:crossAx val="265143808"/>
        <c:crosses val="autoZero"/>
        <c:crossBetween val="between"/>
      </c:valAx>
    </c:plotArea>
    <c:legend>
      <c:legendPos val="b"/>
    </c:legend>
    <c:plotVisOnly val="1"/>
  </c:chart>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2179882444271934E-2"/>
          <c:y val="8.4573375696459716E-2"/>
          <c:w val="0.86806417507670697"/>
          <c:h val="0.75120430998756738"/>
        </c:manualLayout>
      </c:layout>
      <c:lineChart>
        <c:grouping val="standard"/>
        <c:ser>
          <c:idx val="0"/>
          <c:order val="0"/>
          <c:tx>
            <c:strRef>
              <c:f>Лист1!$A$185</c:f>
              <c:strCache>
                <c:ptCount val="1"/>
                <c:pt idx="0">
                  <c:v>ВРП МР % к предыдущему году</c:v>
                </c:pt>
              </c:strCache>
            </c:strRef>
          </c:tx>
          <c:spPr>
            <a:ln w="19050">
              <a:solidFill>
                <a:srgbClr val="FF0000"/>
              </a:solidFill>
            </a:ln>
          </c:spPr>
          <c:marker>
            <c:symbol val="square"/>
            <c:size val="4"/>
            <c:spPr>
              <a:solidFill>
                <a:srgbClr val="FF0000"/>
              </a:solidFill>
              <a:ln>
                <a:solidFill>
                  <a:srgbClr val="FF0000"/>
                </a:solidFill>
              </a:ln>
            </c:spPr>
          </c:marker>
          <c:dLbls>
            <c:dLbl>
              <c:idx val="1"/>
              <c:layout>
                <c:manualLayout>
                  <c:x val="-3.8037632619866375E-2"/>
                  <c:y val="4.4994059953032524E-2"/>
                </c:manualLayout>
              </c:layout>
              <c:dLblPos val="r"/>
              <c:showVal val="1"/>
            </c:dLbl>
            <c:dLbl>
              <c:idx val="12"/>
              <c:layout>
                <c:manualLayout>
                  <c:x val="-4.3723041662045763E-2"/>
                  <c:y val="4.0315697379933006E-2"/>
                </c:manualLayout>
              </c:layout>
              <c:dLblPos val="r"/>
              <c:showVal val="1"/>
            </c:dLbl>
            <c:txPr>
              <a:bodyPr/>
              <a:lstStyle/>
              <a:p>
                <a:pPr>
                  <a:defRPr sz="800" b="1">
                    <a:solidFill>
                      <a:srgbClr val="FF0000"/>
                    </a:solidFill>
                  </a:defRPr>
                </a:pPr>
                <a:endParaRPr lang="ru-RU"/>
              </a:p>
            </c:txPr>
            <c:dLblPos val="t"/>
            <c:showVal val="1"/>
          </c:dLbls>
          <c:cat>
            <c:numRef>
              <c:f>Лист1!$B$184:$R$184</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Лист1!$B$185:$R$185</c:f>
              <c:numCache>
                <c:formatCode>0.00%</c:formatCode>
                <c:ptCount val="17"/>
                <c:pt idx="0">
                  <c:v>0.1053</c:v>
                </c:pt>
                <c:pt idx="1">
                  <c:v>-6.1548088615814379E-2</c:v>
                </c:pt>
                <c:pt idx="2">
                  <c:v>6.4104936471788235E-2</c:v>
                </c:pt>
                <c:pt idx="3">
                  <c:v>0.16414252071689303</c:v>
                </c:pt>
                <c:pt idx="4">
                  <c:v>3.7402237553786584E-2</c:v>
                </c:pt>
                <c:pt idx="5">
                  <c:v>9.0300000000000005E-2</c:v>
                </c:pt>
                <c:pt idx="6">
                  <c:v>9.4400000000000026E-2</c:v>
                </c:pt>
                <c:pt idx="7">
                  <c:v>8.3674900494190782E-2</c:v>
                </c:pt>
                <c:pt idx="8">
                  <c:v>0.11534457003121826</c:v>
                </c:pt>
                <c:pt idx="9">
                  <c:v>0.10319802945515083</c:v>
                </c:pt>
                <c:pt idx="10">
                  <c:v>8.7120761693819604E-2</c:v>
                </c:pt>
                <c:pt idx="11">
                  <c:v>7.7951939419853788E-2</c:v>
                </c:pt>
                <c:pt idx="12">
                  <c:v>-0.12188470872073251</c:v>
                </c:pt>
                <c:pt idx="13">
                  <c:v>2.6394374363326339E-2</c:v>
                </c:pt>
                <c:pt idx="14">
                  <c:v>3.6670313297837827E-2</c:v>
                </c:pt>
                <c:pt idx="15">
                  <c:v>2.3409169534121678E-2</c:v>
                </c:pt>
                <c:pt idx="16">
                  <c:v>-7.6881166059703521E-3</c:v>
                </c:pt>
              </c:numCache>
            </c:numRef>
          </c:val>
        </c:ser>
        <c:ser>
          <c:idx val="1"/>
          <c:order val="1"/>
          <c:tx>
            <c:strRef>
              <c:f>Лист1!$A$186</c:f>
              <c:strCache>
                <c:ptCount val="1"/>
                <c:pt idx="0">
                  <c:v>Эл/потр.по данным СО</c:v>
                </c:pt>
              </c:strCache>
            </c:strRef>
          </c:tx>
          <c:spPr>
            <a:ln w="19050">
              <a:solidFill>
                <a:schemeClr val="tx2">
                  <a:lumMod val="60000"/>
                  <a:lumOff val="40000"/>
                </a:schemeClr>
              </a:solidFill>
            </a:ln>
          </c:spPr>
          <c:marker>
            <c:symbol val="square"/>
            <c:size val="4"/>
            <c:spPr>
              <a:solidFill>
                <a:schemeClr val="tx2">
                  <a:lumMod val="60000"/>
                  <a:lumOff val="40000"/>
                </a:schemeClr>
              </a:solidFill>
              <a:ln>
                <a:solidFill>
                  <a:schemeClr val="tx2">
                    <a:lumMod val="60000"/>
                    <a:lumOff val="40000"/>
                  </a:schemeClr>
                </a:solidFill>
              </a:ln>
            </c:spPr>
          </c:marker>
          <c:dLbls>
            <c:txPr>
              <a:bodyPr/>
              <a:lstStyle/>
              <a:p>
                <a:pPr>
                  <a:defRPr sz="800" b="1">
                    <a:solidFill>
                      <a:schemeClr val="tx2">
                        <a:lumMod val="60000"/>
                        <a:lumOff val="40000"/>
                      </a:schemeClr>
                    </a:solidFill>
                  </a:defRPr>
                </a:pPr>
                <a:endParaRPr lang="ru-RU"/>
              </a:p>
            </c:txPr>
            <c:dLblPos val="t"/>
            <c:showVal val="1"/>
          </c:dLbls>
          <c:cat>
            <c:numRef>
              <c:f>Лист1!$B$184:$R$184</c:f>
              <c:numCache>
                <c:formatCode>General</c:formatCode>
                <c:ptCount val="17"/>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numCache>
            </c:numRef>
          </c:cat>
          <c:val>
            <c:numRef>
              <c:f>Лист1!$B$186:$R$186</c:f>
              <c:numCache>
                <c:formatCode>0.00%</c:formatCode>
                <c:ptCount val="17"/>
                <c:pt idx="0">
                  <c:v>1.7800000000000003E-2</c:v>
                </c:pt>
                <c:pt idx="1">
                  <c:v>1.7600000000000001E-2</c:v>
                </c:pt>
                <c:pt idx="2">
                  <c:v>2.35E-2</c:v>
                </c:pt>
                <c:pt idx="3">
                  <c:v>5.3600000000000002E-2</c:v>
                </c:pt>
                <c:pt idx="4">
                  <c:v>5.9600000000000007E-2</c:v>
                </c:pt>
                <c:pt idx="5">
                  <c:v>3.8399999999999997E-2</c:v>
                </c:pt>
                <c:pt idx="6">
                  <c:v>5.1499999999999997E-2</c:v>
                </c:pt>
                <c:pt idx="7">
                  <c:v>4.1500000000000002E-2</c:v>
                </c:pt>
                <c:pt idx="8">
                  <c:v>3.2600000000000004E-2</c:v>
                </c:pt>
                <c:pt idx="9">
                  <c:v>5.1400000000000001E-2</c:v>
                </c:pt>
                <c:pt idx="10">
                  <c:v>3.44E-2</c:v>
                </c:pt>
                <c:pt idx="11">
                  <c:v>3.1199999999999999E-2</c:v>
                </c:pt>
                <c:pt idx="12">
                  <c:v>-1.9800000000000005E-2</c:v>
                </c:pt>
                <c:pt idx="13">
                  <c:v>3.9399999999999998E-2</c:v>
                </c:pt>
                <c:pt idx="14">
                  <c:v>5.1000000000000004E-3</c:v>
                </c:pt>
                <c:pt idx="15">
                  <c:v>2.7500000000000004E-2</c:v>
                </c:pt>
              </c:numCache>
            </c:numRef>
          </c:val>
        </c:ser>
        <c:ser>
          <c:idx val="2"/>
          <c:order val="2"/>
          <c:tx>
            <c:strRef>
              <c:f>Лист1!$A$188</c:f>
              <c:strCache>
                <c:ptCount val="1"/>
                <c:pt idx="0">
                  <c:v>Среднее ВРП</c:v>
                </c:pt>
              </c:strCache>
            </c:strRef>
          </c:tx>
          <c:spPr>
            <a:ln w="19050">
              <a:solidFill>
                <a:srgbClr val="C00000"/>
              </a:solidFill>
              <a:prstDash val="dash"/>
            </a:ln>
          </c:spPr>
          <c:marker>
            <c:symbol val="none"/>
          </c:marker>
          <c:dLbls>
            <c:dLbl>
              <c:idx val="0"/>
              <c:layout>
                <c:manualLayout>
                  <c:x val="-8.4507042253521597E-2"/>
                  <c:y val="1.8713450292397748E-2"/>
                </c:manualLayout>
              </c:layout>
              <c:spPr/>
              <c:txPr>
                <a:bodyPr/>
                <a:lstStyle/>
                <a:p>
                  <a:pPr>
                    <a:defRPr sz="1200" b="1">
                      <a:solidFill>
                        <a:srgbClr val="C00000"/>
                      </a:solidFill>
                    </a:defRPr>
                  </a:pPr>
                  <a:endParaRPr lang="ru-RU"/>
                </a:p>
              </c:txPr>
              <c:dLblPos val="r"/>
              <c:showVal val="1"/>
            </c:dLbl>
            <c:delete val="1"/>
            <c:txPr>
              <a:bodyPr/>
              <a:lstStyle/>
              <a:p>
                <a:pPr>
                  <a:defRPr>
                    <a:solidFill>
                      <a:srgbClr val="C00000"/>
                    </a:solidFill>
                  </a:defRPr>
                </a:pPr>
                <a:endParaRPr lang="ru-RU"/>
              </a:p>
            </c:txPr>
          </c:dLbls>
          <c:val>
            <c:numRef>
              <c:f>Лист1!$B$188:$Q$188</c:f>
              <c:numCache>
                <c:formatCode>0.00%</c:formatCode>
                <c:ptCount val="16"/>
                <c:pt idx="0">
                  <c:v>7.9243839502284766E-2</c:v>
                </c:pt>
                <c:pt idx="1">
                  <c:v>7.9243839502284766E-2</c:v>
                </c:pt>
                <c:pt idx="2">
                  <c:v>7.9243839502284766E-2</c:v>
                </c:pt>
                <c:pt idx="3">
                  <c:v>7.9243839502284766E-2</c:v>
                </c:pt>
                <c:pt idx="4">
                  <c:v>7.9243839502284766E-2</c:v>
                </c:pt>
                <c:pt idx="5">
                  <c:v>7.9243839502284766E-2</c:v>
                </c:pt>
                <c:pt idx="6">
                  <c:v>7.9243839502284766E-2</c:v>
                </c:pt>
                <c:pt idx="7">
                  <c:v>7.9243839502284766E-2</c:v>
                </c:pt>
                <c:pt idx="8">
                  <c:v>7.9243839502284766E-2</c:v>
                </c:pt>
                <c:pt idx="9">
                  <c:v>7.9243839502284766E-2</c:v>
                </c:pt>
                <c:pt idx="10">
                  <c:v>7.9243839502284766E-2</c:v>
                </c:pt>
                <c:pt idx="11">
                  <c:v>7.9243839502284766E-2</c:v>
                </c:pt>
                <c:pt idx="12">
                  <c:v>7.9243839502284766E-2</c:v>
                </c:pt>
                <c:pt idx="13">
                  <c:v>7.9243839502284766E-2</c:v>
                </c:pt>
                <c:pt idx="14">
                  <c:v>7.9243839502284766E-2</c:v>
                </c:pt>
                <c:pt idx="15">
                  <c:v>7.9243839502284766E-2</c:v>
                </c:pt>
              </c:numCache>
            </c:numRef>
          </c:val>
        </c:ser>
        <c:ser>
          <c:idx val="3"/>
          <c:order val="3"/>
          <c:tx>
            <c:strRef>
              <c:f>Лист1!$A$190</c:f>
              <c:strCache>
                <c:ptCount val="1"/>
                <c:pt idx="0">
                  <c:v>Среднее Эл/потр</c:v>
                </c:pt>
              </c:strCache>
            </c:strRef>
          </c:tx>
          <c:spPr>
            <a:ln w="19050">
              <a:solidFill>
                <a:srgbClr val="0070C0"/>
              </a:solidFill>
              <a:prstDash val="dash"/>
            </a:ln>
          </c:spPr>
          <c:marker>
            <c:symbol val="none"/>
          </c:marker>
          <c:dLbls>
            <c:dLbl>
              <c:idx val="0"/>
              <c:layout>
                <c:manualLayout>
                  <c:x val="-8.2629943429760225E-2"/>
                  <c:y val="9.3567251461988306E-3"/>
                </c:manualLayout>
              </c:layout>
              <c:spPr/>
              <c:txPr>
                <a:bodyPr/>
                <a:lstStyle/>
                <a:p>
                  <a:pPr>
                    <a:defRPr sz="1200" b="1">
                      <a:solidFill>
                        <a:srgbClr val="0070C0"/>
                      </a:solidFill>
                    </a:defRPr>
                  </a:pPr>
                  <a:endParaRPr lang="ru-RU"/>
                </a:p>
              </c:txPr>
              <c:dLblPos val="r"/>
              <c:showVal val="1"/>
            </c:dLbl>
            <c:delete val="1"/>
          </c:dLbls>
          <c:val>
            <c:numRef>
              <c:f>Лист1!$B$190:$Q$190</c:f>
              <c:numCache>
                <c:formatCode>0.00%</c:formatCode>
                <c:ptCount val="16"/>
                <c:pt idx="0">
                  <c:v>3.9590909090909093E-2</c:v>
                </c:pt>
                <c:pt idx="1">
                  <c:v>3.9590909090909093E-2</c:v>
                </c:pt>
                <c:pt idx="2">
                  <c:v>3.9590909090909093E-2</c:v>
                </c:pt>
                <c:pt idx="3">
                  <c:v>3.9590909090909093E-2</c:v>
                </c:pt>
                <c:pt idx="4">
                  <c:v>3.9590909090909093E-2</c:v>
                </c:pt>
                <c:pt idx="5">
                  <c:v>3.9590909090909093E-2</c:v>
                </c:pt>
                <c:pt idx="6">
                  <c:v>3.9590909090909093E-2</c:v>
                </c:pt>
                <c:pt idx="7">
                  <c:v>3.9590909090909093E-2</c:v>
                </c:pt>
                <c:pt idx="8">
                  <c:v>3.9590909090909093E-2</c:v>
                </c:pt>
                <c:pt idx="9">
                  <c:v>3.9590909090909093E-2</c:v>
                </c:pt>
                <c:pt idx="10">
                  <c:v>3.9590909090909093E-2</c:v>
                </c:pt>
                <c:pt idx="11">
                  <c:v>3.9590909090909093E-2</c:v>
                </c:pt>
                <c:pt idx="12">
                  <c:v>3.9590909090909093E-2</c:v>
                </c:pt>
                <c:pt idx="13">
                  <c:v>3.9590909090909093E-2</c:v>
                </c:pt>
                <c:pt idx="14">
                  <c:v>3.9590909090909093E-2</c:v>
                </c:pt>
                <c:pt idx="15">
                  <c:v>3.9590909090909093E-2</c:v>
                </c:pt>
              </c:numCache>
            </c:numRef>
          </c:val>
        </c:ser>
        <c:ser>
          <c:idx val="4"/>
          <c:order val="4"/>
          <c:tx>
            <c:strRef>
              <c:f>Лист1!$A$189</c:f>
              <c:strCache>
                <c:ptCount val="1"/>
                <c:pt idx="0">
                  <c:v>Среднее ВРП</c:v>
                </c:pt>
              </c:strCache>
            </c:strRef>
          </c:tx>
          <c:spPr>
            <a:ln>
              <a:solidFill>
                <a:srgbClr val="FF0000"/>
              </a:solidFill>
              <a:prstDash val="dash"/>
            </a:ln>
          </c:spPr>
          <c:marker>
            <c:symbol val="none"/>
          </c:marker>
          <c:dLbls>
            <c:dLbl>
              <c:idx val="0"/>
              <c:layout>
                <c:manualLayout>
                  <c:x val="-7.560384989289487E-2"/>
                  <c:y val="-3.7426972113922798E-2"/>
                </c:manualLayout>
              </c:layout>
              <c:showVal val="1"/>
            </c:dLbl>
            <c:delete val="1"/>
            <c:txPr>
              <a:bodyPr/>
              <a:lstStyle/>
              <a:p>
                <a:pPr>
                  <a:defRPr sz="1200" b="1">
                    <a:solidFill>
                      <a:srgbClr val="FF0000"/>
                    </a:solidFill>
                  </a:defRPr>
                </a:pPr>
                <a:endParaRPr lang="ru-RU"/>
              </a:p>
            </c:txPr>
          </c:dLbls>
          <c:val>
            <c:numRef>
              <c:f>Лист1!$B$189:$Q$189</c:f>
              <c:numCache>
                <c:formatCode>0.00%</c:formatCode>
                <c:ptCount val="16"/>
                <c:pt idx="0">
                  <c:v>9.2994535985154642E-2</c:v>
                </c:pt>
                <c:pt idx="1">
                  <c:v>9.2994535985154642E-2</c:v>
                </c:pt>
                <c:pt idx="2">
                  <c:v>9.2994535985154642E-2</c:v>
                </c:pt>
                <c:pt idx="3">
                  <c:v>9.2994535985154642E-2</c:v>
                </c:pt>
                <c:pt idx="4">
                  <c:v>9.2994535985154642E-2</c:v>
                </c:pt>
                <c:pt idx="5">
                  <c:v>9.2994535985154642E-2</c:v>
                </c:pt>
                <c:pt idx="6">
                  <c:v>9.2994535985154642E-2</c:v>
                </c:pt>
                <c:pt idx="7">
                  <c:v>9.2994535985154642E-2</c:v>
                </c:pt>
                <c:pt idx="8">
                  <c:v>9.2994535985154642E-2</c:v>
                </c:pt>
                <c:pt idx="9">
                  <c:v>9.2994535985154642E-2</c:v>
                </c:pt>
                <c:pt idx="10">
                  <c:v>9.2994535985154642E-2</c:v>
                </c:pt>
                <c:pt idx="11">
                  <c:v>9.2994535985154642E-2</c:v>
                </c:pt>
                <c:pt idx="12">
                  <c:v>9.2994535985154642E-2</c:v>
                </c:pt>
                <c:pt idx="13">
                  <c:v>9.2994535985154642E-2</c:v>
                </c:pt>
                <c:pt idx="14">
                  <c:v>9.2994535985154642E-2</c:v>
                </c:pt>
                <c:pt idx="15">
                  <c:v>9.2994535985154642E-2</c:v>
                </c:pt>
              </c:numCache>
            </c:numRef>
          </c:val>
        </c:ser>
        <c:ser>
          <c:idx val="5"/>
          <c:order val="5"/>
          <c:tx>
            <c:strRef>
              <c:f>Лист1!$A$191</c:f>
              <c:strCache>
                <c:ptCount val="1"/>
                <c:pt idx="0">
                  <c:v>Среднее Эл/потр</c:v>
                </c:pt>
              </c:strCache>
            </c:strRef>
          </c:tx>
          <c:spPr>
            <a:ln>
              <a:solidFill>
                <a:srgbClr val="002060"/>
              </a:solidFill>
              <a:prstDash val="dash"/>
            </a:ln>
          </c:spPr>
          <c:marker>
            <c:symbol val="none"/>
          </c:marker>
          <c:dLbls>
            <c:dLbl>
              <c:idx val="6"/>
              <c:layout>
                <c:manualLayout>
                  <c:x val="-0.38104176442984738"/>
                  <c:y val="5.6140350877192845E-2"/>
                </c:manualLayout>
              </c:layout>
              <c:spPr/>
              <c:txPr>
                <a:bodyPr/>
                <a:lstStyle/>
                <a:p>
                  <a:pPr>
                    <a:defRPr sz="1200" b="1">
                      <a:solidFill>
                        <a:srgbClr val="002060"/>
                      </a:solidFill>
                    </a:defRPr>
                  </a:pPr>
                  <a:endParaRPr lang="ru-RU"/>
                </a:p>
              </c:txPr>
              <c:showVal val="1"/>
            </c:dLbl>
            <c:delete val="1"/>
            <c:txPr>
              <a:bodyPr/>
              <a:lstStyle/>
              <a:p>
                <a:pPr>
                  <a:defRPr sz="1200"/>
                </a:pPr>
                <a:endParaRPr lang="ru-RU"/>
              </a:p>
            </c:txPr>
          </c:dLbls>
          <c:val>
            <c:numRef>
              <c:f>Лист1!$B$191:$Q$191</c:f>
              <c:numCache>
                <c:formatCode>0.00%</c:formatCode>
                <c:ptCount val="16"/>
                <c:pt idx="0">
                  <c:v>3.6250000000000004E-2</c:v>
                </c:pt>
                <c:pt idx="1">
                  <c:v>3.6250000000000004E-2</c:v>
                </c:pt>
                <c:pt idx="2">
                  <c:v>3.6250000000000004E-2</c:v>
                </c:pt>
                <c:pt idx="3">
                  <c:v>3.6250000000000004E-2</c:v>
                </c:pt>
                <c:pt idx="4">
                  <c:v>3.6250000000000004E-2</c:v>
                </c:pt>
                <c:pt idx="5">
                  <c:v>3.6250000000000004E-2</c:v>
                </c:pt>
                <c:pt idx="6">
                  <c:v>3.6250000000000004E-2</c:v>
                </c:pt>
                <c:pt idx="7">
                  <c:v>3.6250000000000004E-2</c:v>
                </c:pt>
                <c:pt idx="8">
                  <c:v>3.6250000000000004E-2</c:v>
                </c:pt>
                <c:pt idx="9">
                  <c:v>3.6250000000000004E-2</c:v>
                </c:pt>
                <c:pt idx="10">
                  <c:v>3.6250000000000004E-2</c:v>
                </c:pt>
                <c:pt idx="11">
                  <c:v>3.6250000000000004E-2</c:v>
                </c:pt>
                <c:pt idx="12">
                  <c:v>3.6250000000000004E-2</c:v>
                </c:pt>
                <c:pt idx="13">
                  <c:v>3.6250000000000004E-2</c:v>
                </c:pt>
                <c:pt idx="14">
                  <c:v>3.6250000000000004E-2</c:v>
                </c:pt>
                <c:pt idx="15">
                  <c:v>3.6250000000000004E-2</c:v>
                </c:pt>
              </c:numCache>
            </c:numRef>
          </c:val>
        </c:ser>
        <c:marker val="1"/>
        <c:axId val="238393216"/>
        <c:axId val="238394752"/>
      </c:lineChart>
      <c:catAx>
        <c:axId val="238393216"/>
        <c:scaling>
          <c:orientation val="minMax"/>
        </c:scaling>
        <c:axPos val="b"/>
        <c:numFmt formatCode="General" sourceLinked="1"/>
        <c:tickLblPos val="nextTo"/>
        <c:crossAx val="238394752"/>
        <c:crosses val="autoZero"/>
        <c:auto val="1"/>
        <c:lblAlgn val="ctr"/>
        <c:lblOffset val="100"/>
        <c:tickLblSkip val="2"/>
      </c:catAx>
      <c:valAx>
        <c:axId val="238394752"/>
        <c:scaling>
          <c:orientation val="minMax"/>
        </c:scaling>
        <c:axPos val="l"/>
        <c:majorGridlines/>
        <c:numFmt formatCode="0.00%" sourceLinked="1"/>
        <c:tickLblPos val="nextTo"/>
        <c:crossAx val="238393216"/>
        <c:crosses val="autoZero"/>
        <c:crossBetween val="between"/>
      </c:valAx>
    </c:plotArea>
    <c:legend>
      <c:legendPos val="b"/>
      <c:layout>
        <c:manualLayout>
          <c:xMode val="edge"/>
          <c:yMode val="edge"/>
          <c:x val="8.2168940150087397E-2"/>
          <c:y val="0.88346864408939152"/>
          <c:w val="0.79017949052466785"/>
          <c:h val="0.11653135591060829"/>
        </c:manualLayout>
      </c:layout>
    </c:legend>
    <c:plotVisOnly val="1"/>
    <c:dispBlanksAs val="gap"/>
  </c:chart>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Кэлмр</a:t>
            </a:r>
          </a:p>
        </c:rich>
      </c:tx>
      <c:layout>
        <c:manualLayout>
          <c:xMode val="edge"/>
          <c:yMode val="edge"/>
          <c:x val="0.34374392331393361"/>
          <c:y val="9.0497737556561059E-3"/>
        </c:manualLayout>
      </c:layout>
    </c:title>
    <c:plotArea>
      <c:layout>
        <c:manualLayout>
          <c:layoutTarget val="inner"/>
          <c:xMode val="edge"/>
          <c:yMode val="edge"/>
          <c:x val="6.0948381452318484E-2"/>
          <c:y val="0.13743708507024949"/>
          <c:w val="0.62322395975012923"/>
          <c:h val="0.84154913221025163"/>
        </c:manualLayout>
      </c:layout>
      <c:lineChart>
        <c:grouping val="standard"/>
        <c:ser>
          <c:idx val="2"/>
          <c:order val="0"/>
          <c:tx>
            <c:strRef>
              <c:f>Лист1!$A$187</c:f>
              <c:strCache>
                <c:ptCount val="1"/>
                <c:pt idx="0">
                  <c:v>Коэффициент эласт-ти</c:v>
                </c:pt>
              </c:strCache>
            </c:strRef>
          </c:tx>
          <c:spPr>
            <a:ln>
              <a:noFill/>
            </a:ln>
          </c:spPr>
          <c:marker>
            <c:symbol val="circle"/>
            <c:size val="8"/>
            <c:spPr>
              <a:solidFill>
                <a:schemeClr val="tx2">
                  <a:lumMod val="60000"/>
                  <a:lumOff val="40000"/>
                </a:schemeClr>
              </a:solidFill>
              <a:ln>
                <a:solidFill>
                  <a:schemeClr val="tx2">
                    <a:lumMod val="60000"/>
                    <a:lumOff val="40000"/>
                  </a:schemeClr>
                </a:solidFill>
              </a:ln>
            </c:spPr>
          </c:marker>
          <c:dLbls>
            <c:txPr>
              <a:bodyPr/>
              <a:lstStyle/>
              <a:p>
                <a:pPr>
                  <a:defRPr sz="1100" b="1">
                    <a:solidFill>
                      <a:schemeClr val="tx2">
                        <a:lumMod val="60000"/>
                        <a:lumOff val="40000"/>
                      </a:schemeClr>
                    </a:solidFill>
                  </a:defRPr>
                </a:pPr>
                <a:endParaRPr lang="ru-RU"/>
              </a:p>
            </c:txPr>
            <c:dLblPos val="t"/>
            <c:showVal val="1"/>
          </c:dLbls>
          <c:cat>
            <c:numRef>
              <c:f>Лист1!$B$184:$Q$184</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Лист1!$B$187:$Q$187</c:f>
              <c:numCache>
                <c:formatCode>0.00</c:formatCode>
                <c:ptCount val="16"/>
                <c:pt idx="0">
                  <c:v>0.16904083570750281</c:v>
                </c:pt>
                <c:pt idx="1">
                  <c:v>-0.28595526515632191</c:v>
                </c:pt>
                <c:pt idx="2">
                  <c:v>0.36658643301740379</c:v>
                </c:pt>
                <c:pt idx="3">
                  <c:v>0.32654549086916645</c:v>
                </c:pt>
                <c:pt idx="4">
                  <c:v>1.5934875530987131</c:v>
                </c:pt>
                <c:pt idx="5">
                  <c:v>0.4252491694352159</c:v>
                </c:pt>
                <c:pt idx="6">
                  <c:v>0.5455508474576265</c:v>
                </c:pt>
                <c:pt idx="7">
                  <c:v>0.49596712699862988</c:v>
                </c:pt>
                <c:pt idx="8">
                  <c:v>0.28263142331864238</c:v>
                </c:pt>
                <c:pt idx="9">
                  <c:v>0.49807152589418596</c:v>
                </c:pt>
                <c:pt idx="10">
                  <c:v>0.39485421535795168</c:v>
                </c:pt>
                <c:pt idx="11">
                  <c:v>0.4002466164690906</c:v>
                </c:pt>
                <c:pt idx="12">
                  <c:v>0.16244859759534491</c:v>
                </c:pt>
                <c:pt idx="13">
                  <c:v>1.4927423343189501</c:v>
                </c:pt>
                <c:pt idx="14">
                  <c:v>0.13907707737803018</c:v>
                </c:pt>
                <c:pt idx="15">
                  <c:v>1.1747533358633473</c:v>
                </c:pt>
              </c:numCache>
            </c:numRef>
          </c:val>
        </c:ser>
        <c:ser>
          <c:idx val="0"/>
          <c:order val="1"/>
          <c:spPr>
            <a:ln w="28575">
              <a:solidFill>
                <a:srgbClr val="002060"/>
              </a:solidFill>
              <a:prstDash val="dash"/>
            </a:ln>
          </c:spPr>
          <c:marker>
            <c:symbol val="none"/>
          </c:marker>
          <c:dLbls>
            <c:dLbl>
              <c:idx val="0"/>
              <c:layout>
                <c:manualLayout>
                  <c:x val="-4.0579710144927526E-2"/>
                  <c:y val="-2.4132730015082957E-2"/>
                </c:manualLayout>
              </c:layout>
              <c:spPr/>
              <c:txPr>
                <a:bodyPr/>
                <a:lstStyle/>
                <a:p>
                  <a:pPr>
                    <a:defRPr sz="1200" b="1">
                      <a:solidFill>
                        <a:srgbClr val="002060"/>
                      </a:solidFill>
                    </a:defRPr>
                  </a:pPr>
                  <a:endParaRPr lang="ru-RU"/>
                </a:p>
              </c:txPr>
              <c:showVal val="1"/>
            </c:dLbl>
            <c:delete val="1"/>
          </c:dLbls>
          <c:val>
            <c:numRef>
              <c:f>Лист1!$B$192:$Q$192</c:f>
              <c:numCache>
                <c:formatCode>0.00</c:formatCode>
                <c:ptCount val="16"/>
                <c:pt idx="0">
                  <c:v>0.59320028465603158</c:v>
                </c:pt>
                <c:pt idx="1">
                  <c:v>0.59320028465603158</c:v>
                </c:pt>
                <c:pt idx="2">
                  <c:v>0.59320028465603158</c:v>
                </c:pt>
                <c:pt idx="3">
                  <c:v>0.59320028465603158</c:v>
                </c:pt>
                <c:pt idx="4">
                  <c:v>0.59320028465603158</c:v>
                </c:pt>
                <c:pt idx="5">
                  <c:v>0.59320028465603158</c:v>
                </c:pt>
                <c:pt idx="6">
                  <c:v>0.59320028465603158</c:v>
                </c:pt>
                <c:pt idx="7">
                  <c:v>0.59320028465603158</c:v>
                </c:pt>
                <c:pt idx="8">
                  <c:v>0.59320028465603158</c:v>
                </c:pt>
                <c:pt idx="9">
                  <c:v>0.59320028465603158</c:v>
                </c:pt>
                <c:pt idx="10">
                  <c:v>0.59320028465603158</c:v>
                </c:pt>
                <c:pt idx="11">
                  <c:v>0.59320028465603158</c:v>
                </c:pt>
                <c:pt idx="12">
                  <c:v>0.59320028465603158</c:v>
                </c:pt>
                <c:pt idx="13">
                  <c:v>0.59320028465603158</c:v>
                </c:pt>
                <c:pt idx="14">
                  <c:v>0.59320028465603158</c:v>
                </c:pt>
                <c:pt idx="15">
                  <c:v>0.59320028465603158</c:v>
                </c:pt>
              </c:numCache>
            </c:numRef>
          </c:val>
        </c:ser>
        <c:ser>
          <c:idx val="1"/>
          <c:order val="2"/>
          <c:spPr>
            <a:ln w="28575">
              <a:solidFill>
                <a:srgbClr val="0070C0"/>
              </a:solidFill>
              <a:prstDash val="dash"/>
            </a:ln>
          </c:spPr>
          <c:marker>
            <c:symbol val="none"/>
          </c:marker>
          <c:dLbls>
            <c:dLbl>
              <c:idx val="0"/>
              <c:layout>
                <c:manualLayout>
                  <c:x val="-3.8647342995169295E-2"/>
                  <c:y val="3.0165912518853893E-2"/>
                </c:manualLayout>
              </c:layout>
              <c:spPr/>
              <c:txPr>
                <a:bodyPr/>
                <a:lstStyle/>
                <a:p>
                  <a:pPr>
                    <a:defRPr sz="1200" b="1">
                      <a:solidFill>
                        <a:srgbClr val="0070C0"/>
                      </a:solidFill>
                    </a:defRPr>
                  </a:pPr>
                  <a:endParaRPr lang="ru-RU"/>
                </a:p>
              </c:txPr>
              <c:showVal val="1"/>
            </c:dLbl>
            <c:delete val="1"/>
          </c:dLbls>
          <c:val>
            <c:numRef>
              <c:f>Лист1!$B$193:$Q$193</c:f>
              <c:numCache>
                <c:formatCode>0.00</c:formatCode>
                <c:ptCount val="16"/>
                <c:pt idx="0">
                  <c:v>0.49983920342037441</c:v>
                </c:pt>
                <c:pt idx="1">
                  <c:v>0.49983920342037441</c:v>
                </c:pt>
                <c:pt idx="2">
                  <c:v>0.49983920342037441</c:v>
                </c:pt>
                <c:pt idx="3">
                  <c:v>0.49983920342037441</c:v>
                </c:pt>
                <c:pt idx="4">
                  <c:v>0.49983920342037441</c:v>
                </c:pt>
                <c:pt idx="5">
                  <c:v>0.49983920342037441</c:v>
                </c:pt>
                <c:pt idx="6">
                  <c:v>0.49983920342037441</c:v>
                </c:pt>
                <c:pt idx="7">
                  <c:v>0.49983920342037441</c:v>
                </c:pt>
                <c:pt idx="8">
                  <c:v>0.49983920342037441</c:v>
                </c:pt>
                <c:pt idx="9">
                  <c:v>0.49983920342037441</c:v>
                </c:pt>
                <c:pt idx="10">
                  <c:v>0.49983920342037441</c:v>
                </c:pt>
                <c:pt idx="11">
                  <c:v>0.49983920342037441</c:v>
                </c:pt>
                <c:pt idx="12">
                  <c:v>0.49983920342037441</c:v>
                </c:pt>
                <c:pt idx="13">
                  <c:v>0.49983920342037441</c:v>
                </c:pt>
                <c:pt idx="14">
                  <c:v>0.49983920342037441</c:v>
                </c:pt>
                <c:pt idx="15">
                  <c:v>0.49983920342037441</c:v>
                </c:pt>
              </c:numCache>
            </c:numRef>
          </c:val>
        </c:ser>
        <c:marker val="1"/>
        <c:axId val="185706752"/>
        <c:axId val="185716736"/>
      </c:lineChart>
      <c:catAx>
        <c:axId val="185706752"/>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85716736"/>
        <c:crosses val="autoZero"/>
        <c:auto val="1"/>
        <c:lblAlgn val="ctr"/>
        <c:lblOffset val="100"/>
        <c:tickLblSkip val="2"/>
      </c:catAx>
      <c:valAx>
        <c:axId val="185716736"/>
        <c:scaling>
          <c:orientation val="minMax"/>
        </c:scaling>
        <c:axPos val="l"/>
        <c:majorGridlines/>
        <c:numFmt formatCode="0.00" sourceLinked="1"/>
        <c:tickLblPos val="nextTo"/>
        <c:crossAx val="185706752"/>
        <c:crosses val="autoZero"/>
        <c:crossBetween val="between"/>
      </c:valAx>
    </c:plotArea>
    <c:legend>
      <c:legendPos val="r"/>
      <c:legendEntry>
        <c:idx val="1"/>
        <c:delete val="1"/>
      </c:legendEntry>
      <c:legendEntry>
        <c:idx val="2"/>
        <c:delete val="1"/>
      </c:legendEntry>
    </c:legend>
    <c:plotVisOnly val="1"/>
    <c:dispBlanksAs val="gap"/>
  </c:chart>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Кэлмр</a:t>
            </a:r>
          </a:p>
        </c:rich>
      </c:tx>
      <c:layout>
        <c:manualLayout>
          <c:xMode val="edge"/>
          <c:yMode val="edge"/>
          <c:x val="0.33353363927146251"/>
          <c:y val="1.5936254980079678E-2"/>
        </c:manualLayout>
      </c:layout>
    </c:title>
    <c:plotArea>
      <c:layout/>
      <c:lineChart>
        <c:grouping val="standard"/>
        <c:ser>
          <c:idx val="0"/>
          <c:order val="0"/>
          <c:tx>
            <c:strRef>
              <c:f>Лист1!$A$244</c:f>
              <c:strCache>
                <c:ptCount val="1"/>
                <c:pt idx="0">
                  <c:v>Коэффициент эласт-ти</c:v>
                </c:pt>
              </c:strCache>
            </c:strRef>
          </c:tx>
          <c:spPr>
            <a:ln>
              <a:noFill/>
            </a:ln>
          </c:spPr>
          <c:marker>
            <c:symbol val="circle"/>
            <c:size val="7"/>
            <c:spPr>
              <a:solidFill>
                <a:schemeClr val="tx2">
                  <a:lumMod val="60000"/>
                  <a:lumOff val="40000"/>
                </a:schemeClr>
              </a:solidFill>
              <a:ln>
                <a:solidFill>
                  <a:srgbClr val="1F497D">
                    <a:lumMod val="60000"/>
                    <a:lumOff val="40000"/>
                  </a:srgbClr>
                </a:solidFill>
              </a:ln>
            </c:spPr>
          </c:marker>
          <c:dLbls>
            <c:txPr>
              <a:bodyPr/>
              <a:lstStyle/>
              <a:p>
                <a:pPr>
                  <a:defRPr>
                    <a:solidFill>
                      <a:schemeClr val="tx2">
                        <a:lumMod val="60000"/>
                        <a:lumOff val="40000"/>
                      </a:schemeClr>
                    </a:solidFill>
                  </a:defRPr>
                </a:pPr>
                <a:endParaRPr lang="ru-RU"/>
              </a:p>
            </c:txPr>
            <c:dLblPos val="t"/>
            <c:showVal val="1"/>
          </c:dLbls>
          <c:cat>
            <c:numRef>
              <c:f>Лист1!$B$243:$Q$243</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Лист1!$B$244:$Q$244</c:f>
              <c:numCache>
                <c:formatCode>0.00</c:formatCode>
                <c:ptCount val="16"/>
                <c:pt idx="0">
                  <c:v>0.16904083570750281</c:v>
                </c:pt>
                <c:pt idx="1">
                  <c:v>-0.28595526515632191</c:v>
                </c:pt>
                <c:pt idx="2">
                  <c:v>0.36658643301740379</c:v>
                </c:pt>
                <c:pt idx="3">
                  <c:v>0.52</c:v>
                </c:pt>
                <c:pt idx="4">
                  <c:v>0.52</c:v>
                </c:pt>
                <c:pt idx="5">
                  <c:v>0.52</c:v>
                </c:pt>
                <c:pt idx="6">
                  <c:v>0.5455508474576265</c:v>
                </c:pt>
                <c:pt idx="7">
                  <c:v>0.49596712699862988</c:v>
                </c:pt>
                <c:pt idx="8">
                  <c:v>0.28263142331864238</c:v>
                </c:pt>
                <c:pt idx="9">
                  <c:v>0.49807152589418596</c:v>
                </c:pt>
                <c:pt idx="10">
                  <c:v>0.39485421535795168</c:v>
                </c:pt>
                <c:pt idx="11">
                  <c:v>0.4002466164690906</c:v>
                </c:pt>
                <c:pt idx="12">
                  <c:v>0.16244859759534491</c:v>
                </c:pt>
                <c:pt idx="13">
                  <c:v>0.83000000000000063</c:v>
                </c:pt>
                <c:pt idx="14">
                  <c:v>0.83000000000000063</c:v>
                </c:pt>
                <c:pt idx="15">
                  <c:v>0.83000000000000063</c:v>
                </c:pt>
              </c:numCache>
            </c:numRef>
          </c:val>
        </c:ser>
        <c:ser>
          <c:idx val="1"/>
          <c:order val="1"/>
          <c:spPr>
            <a:ln w="28575">
              <a:solidFill>
                <a:srgbClr val="002060"/>
              </a:solidFill>
              <a:prstDash val="dash"/>
            </a:ln>
          </c:spPr>
          <c:marker>
            <c:symbol val="none"/>
          </c:marker>
          <c:dLbls>
            <c:dLbl>
              <c:idx val="0"/>
              <c:layout>
                <c:manualLayout>
                  <c:x val="-4.7841358151984065E-2"/>
                  <c:y val="-2.1745056147585953E-2"/>
                </c:manualLayout>
              </c:layout>
              <c:spPr/>
              <c:txPr>
                <a:bodyPr/>
                <a:lstStyle/>
                <a:p>
                  <a:pPr>
                    <a:defRPr sz="1200" b="1">
                      <a:solidFill>
                        <a:srgbClr val="002060"/>
                      </a:solidFill>
                    </a:defRPr>
                  </a:pPr>
                  <a:endParaRPr lang="ru-RU"/>
                </a:p>
              </c:txPr>
              <c:showVal val="1"/>
            </c:dLbl>
            <c:delete val="1"/>
            <c:txPr>
              <a:bodyPr/>
              <a:lstStyle/>
              <a:p>
                <a:pPr>
                  <a:defRPr>
                    <a:solidFill>
                      <a:srgbClr val="002060"/>
                    </a:solidFill>
                  </a:defRPr>
                </a:pPr>
                <a:endParaRPr lang="ru-RU"/>
              </a:p>
            </c:txPr>
          </c:dLbls>
          <c:val>
            <c:numRef>
              <c:f>Лист1!$B$246:$Q$246</c:f>
              <c:numCache>
                <c:formatCode>0.00</c:formatCode>
                <c:ptCount val="16"/>
                <c:pt idx="0">
                  <c:v>0.51449635887292733</c:v>
                </c:pt>
                <c:pt idx="1">
                  <c:v>0.51</c:v>
                </c:pt>
                <c:pt idx="2">
                  <c:v>0.51449635887292733</c:v>
                </c:pt>
                <c:pt idx="3">
                  <c:v>0.51449635887292733</c:v>
                </c:pt>
                <c:pt idx="4">
                  <c:v>0.51449635887292733</c:v>
                </c:pt>
                <c:pt idx="5">
                  <c:v>0.51449635887292733</c:v>
                </c:pt>
                <c:pt idx="6">
                  <c:v>0.51449635887292733</c:v>
                </c:pt>
                <c:pt idx="7">
                  <c:v>0.51449635887292733</c:v>
                </c:pt>
                <c:pt idx="8">
                  <c:v>0.51449635887292733</c:v>
                </c:pt>
                <c:pt idx="9">
                  <c:v>0.51449635887292733</c:v>
                </c:pt>
                <c:pt idx="10">
                  <c:v>0.51449635887292733</c:v>
                </c:pt>
                <c:pt idx="11">
                  <c:v>0.51449635887292733</c:v>
                </c:pt>
                <c:pt idx="13">
                  <c:v>0.51449635887292733</c:v>
                </c:pt>
                <c:pt idx="14">
                  <c:v>0.51449635887292733</c:v>
                </c:pt>
                <c:pt idx="15">
                  <c:v>0.51449635887292733</c:v>
                </c:pt>
              </c:numCache>
            </c:numRef>
          </c:val>
        </c:ser>
        <c:ser>
          <c:idx val="2"/>
          <c:order val="2"/>
          <c:tx>
            <c:strRef>
              <c:f>Лист1!$A$245</c:f>
              <c:strCache>
                <c:ptCount val="1"/>
                <c:pt idx="0">
                  <c:v>Средний коэффициент</c:v>
                </c:pt>
              </c:strCache>
            </c:strRef>
          </c:tx>
          <c:spPr>
            <a:ln w="28575">
              <a:solidFill>
                <a:srgbClr val="1F497D">
                  <a:lumMod val="60000"/>
                  <a:lumOff val="40000"/>
                </a:srgbClr>
              </a:solidFill>
              <a:prstDash val="dash"/>
            </a:ln>
          </c:spPr>
          <c:marker>
            <c:symbol val="none"/>
          </c:marker>
          <c:dLbls>
            <c:dLbl>
              <c:idx val="0"/>
              <c:layout>
                <c:manualLayout>
                  <c:x val="-4.3110888530702766E-2"/>
                  <c:y val="-1.8592231539467218E-2"/>
                </c:manualLayout>
              </c:layout>
              <c:spPr/>
              <c:txPr>
                <a:bodyPr/>
                <a:lstStyle/>
                <a:p>
                  <a:pPr>
                    <a:defRPr sz="1200" b="1">
                      <a:solidFill>
                        <a:srgbClr val="0070C0"/>
                      </a:solidFill>
                    </a:defRPr>
                  </a:pPr>
                  <a:endParaRPr lang="ru-RU"/>
                </a:p>
              </c:txPr>
              <c:showVal val="1"/>
            </c:dLbl>
            <c:delete val="1"/>
          </c:dLbls>
          <c:val>
            <c:numRef>
              <c:f>Лист1!$B$245:$Q$245</c:f>
              <c:numCache>
                <c:formatCode>0.00</c:formatCode>
                <c:ptCount val="16"/>
                <c:pt idx="0">
                  <c:v>0.42844991129282262</c:v>
                </c:pt>
                <c:pt idx="1">
                  <c:v>0.42844991129282262</c:v>
                </c:pt>
                <c:pt idx="2">
                  <c:v>0.42844991129282262</c:v>
                </c:pt>
                <c:pt idx="3">
                  <c:v>0.42844991129282262</c:v>
                </c:pt>
                <c:pt idx="4">
                  <c:v>0.42844991129282262</c:v>
                </c:pt>
                <c:pt idx="5">
                  <c:v>0.42844991129282262</c:v>
                </c:pt>
                <c:pt idx="6">
                  <c:v>0.42844991129282262</c:v>
                </c:pt>
                <c:pt idx="7">
                  <c:v>0.42844991129282262</c:v>
                </c:pt>
                <c:pt idx="8">
                  <c:v>0.42844991129282262</c:v>
                </c:pt>
                <c:pt idx="9">
                  <c:v>0.42844991129282262</c:v>
                </c:pt>
                <c:pt idx="10">
                  <c:v>0.42844991129282262</c:v>
                </c:pt>
                <c:pt idx="11">
                  <c:v>0.42844991129282262</c:v>
                </c:pt>
              </c:numCache>
            </c:numRef>
          </c:val>
        </c:ser>
        <c:marker val="1"/>
        <c:axId val="264572928"/>
        <c:axId val="264574464"/>
      </c:lineChart>
      <c:catAx>
        <c:axId val="264572928"/>
        <c:scaling>
          <c:orientation val="minMax"/>
        </c:scaling>
        <c:axPos val="b"/>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64574464"/>
        <c:crosses val="autoZero"/>
        <c:auto val="1"/>
        <c:lblAlgn val="ctr"/>
        <c:lblOffset val="100"/>
      </c:catAx>
      <c:valAx>
        <c:axId val="264574464"/>
        <c:scaling>
          <c:orientation val="minMax"/>
        </c:scaling>
        <c:axPos val="l"/>
        <c:majorGridlines/>
        <c:numFmt formatCode="0.00" sourceLinked="1"/>
        <c:tickLblPos val="nextTo"/>
        <c:crossAx val="264572928"/>
        <c:crosses val="autoZero"/>
        <c:crossBetween val="between"/>
      </c:valAx>
    </c:plotArea>
    <c:legend>
      <c:legendPos val="r"/>
      <c:legendEntry>
        <c:idx val="1"/>
        <c:delete val="1"/>
      </c:legendEntry>
      <c:legendEntry>
        <c:idx val="2"/>
        <c:delete val="1"/>
      </c:legendEntry>
    </c:legend>
    <c:plotVisOnly val="1"/>
    <c:dispBlanksAs val="gap"/>
  </c:chart>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831889132511549E-2"/>
          <c:y val="3.8132343613607442E-2"/>
          <c:w val="0.85379208123900863"/>
          <c:h val="0.94239936730074803"/>
        </c:manualLayout>
      </c:layout>
      <c:lineChart>
        <c:grouping val="standard"/>
        <c:ser>
          <c:idx val="0"/>
          <c:order val="0"/>
          <c:tx>
            <c:strRef>
              <c:f>Лист1!$A$110</c:f>
              <c:strCache>
                <c:ptCount val="1"/>
                <c:pt idx="0">
                  <c:v>Темпы изменения ИОКм</c:v>
                </c:pt>
              </c:strCache>
            </c:strRef>
          </c:tx>
          <c:spPr>
            <a:ln>
              <a:solidFill>
                <a:schemeClr val="tx1"/>
              </a:solidFill>
            </a:ln>
          </c:spPr>
          <c:marker>
            <c:symbol val="square"/>
            <c:size val="7"/>
            <c:spPr>
              <a:solidFill>
                <a:schemeClr val="tx1"/>
              </a:solidFill>
              <a:ln>
                <a:solidFill>
                  <a:prstClr val="black"/>
                </a:solidFill>
              </a:ln>
            </c:spPr>
          </c:marker>
          <c:dPt>
            <c:idx val="16"/>
            <c:spPr>
              <a:ln>
                <a:solidFill>
                  <a:schemeClr val="tx1"/>
                </a:solidFill>
                <a:prstDash val="dash"/>
              </a:ln>
            </c:spPr>
          </c:dPt>
          <c:dPt>
            <c:idx val="17"/>
            <c:spPr>
              <a:ln>
                <a:solidFill>
                  <a:schemeClr val="tx1"/>
                </a:solidFill>
                <a:prstDash val="dash"/>
              </a:ln>
            </c:spPr>
          </c:dPt>
          <c:dPt>
            <c:idx val="18"/>
            <c:spPr>
              <a:ln>
                <a:solidFill>
                  <a:schemeClr val="tx1"/>
                </a:solidFill>
                <a:prstDash val="dash"/>
              </a:ln>
            </c:spPr>
          </c:dPt>
          <c:dPt>
            <c:idx val="19"/>
            <c:spPr>
              <a:ln>
                <a:solidFill>
                  <a:schemeClr val="tx1"/>
                </a:solidFill>
                <a:prstDash val="dash"/>
              </a:ln>
            </c:spPr>
          </c:dPt>
          <c:dLbls>
            <c:dLbl>
              <c:idx val="16"/>
              <c:layout>
                <c:manualLayout>
                  <c:x val="-4.1239978621058257E-2"/>
                  <c:y val="-4.056343688966782E-2"/>
                </c:manualLayout>
              </c:layout>
              <c:dLblPos val="r"/>
              <c:showVal val="1"/>
            </c:dLbl>
            <c:dLbl>
              <c:idx val="17"/>
              <c:layout>
                <c:manualLayout>
                  <c:x val="-4.3377872795296625E-2"/>
                  <c:y val="-2.1422156910768226E-2"/>
                </c:manualLayout>
              </c:layout>
              <c:dLblPos val="r"/>
              <c:showVal val="1"/>
            </c:dLbl>
            <c:dLbl>
              <c:idx val="18"/>
              <c:layout>
                <c:manualLayout>
                  <c:x val="-4.7653661143773569E-2"/>
                  <c:y val="-3.0992796900217914E-2"/>
                </c:manualLayout>
              </c:layout>
              <c:dLblPos val="r"/>
              <c:showVal val="1"/>
            </c:dLbl>
            <c:dLbl>
              <c:idx val="19"/>
              <c:layout>
                <c:manualLayout>
                  <c:x val="-2.9086471085823067E-2"/>
                  <c:y val="-2.7802583570401402E-2"/>
                </c:manualLayout>
              </c:layout>
              <c:dLblPos val="r"/>
              <c:showVal val="1"/>
            </c:dLbl>
            <c:txPr>
              <a:bodyPr/>
              <a:lstStyle/>
              <a:p>
                <a:pPr>
                  <a:defRPr sz="1100" b="1"/>
                </a:pPr>
                <a:endParaRPr lang="ru-RU"/>
              </a:p>
            </c:txPr>
            <c:dLblPos val="t"/>
            <c:showVal val="1"/>
          </c:dLbls>
          <c:cat>
            <c:numRef>
              <c:f>Лист1!$B$109:$U$109</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Лист1!$B$110:$U$110</c:f>
              <c:numCache>
                <c:formatCode>0.00%</c:formatCode>
                <c:ptCount val="20"/>
                <c:pt idx="0">
                  <c:v>6.2999999999999973E-2</c:v>
                </c:pt>
                <c:pt idx="1">
                  <c:v>0.23700000000000021</c:v>
                </c:pt>
                <c:pt idx="2">
                  <c:v>3.9000000000000201E-2</c:v>
                </c:pt>
                <c:pt idx="3">
                  <c:v>0.14500000000000021</c:v>
                </c:pt>
                <c:pt idx="4">
                  <c:v>-7.099999999999998E-2</c:v>
                </c:pt>
                <c:pt idx="5">
                  <c:v>8.1000000000000044E-2</c:v>
                </c:pt>
                <c:pt idx="6">
                  <c:v>7.5999999999999901E-2</c:v>
                </c:pt>
                <c:pt idx="7">
                  <c:v>0.14100000000000001</c:v>
                </c:pt>
                <c:pt idx="8">
                  <c:v>0.10299999999999998</c:v>
                </c:pt>
                <c:pt idx="9">
                  <c:v>0.15200000000000041</c:v>
                </c:pt>
                <c:pt idx="10">
                  <c:v>0.10899999999999999</c:v>
                </c:pt>
                <c:pt idx="11">
                  <c:v>2.4999999999999911E-2</c:v>
                </c:pt>
                <c:pt idx="12">
                  <c:v>-0.23600000000000004</c:v>
                </c:pt>
                <c:pt idx="13">
                  <c:v>-4.2000000000000023E-2</c:v>
                </c:pt>
                <c:pt idx="14">
                  <c:v>0.05</c:v>
                </c:pt>
                <c:pt idx="15">
                  <c:v>8.5000000000000006E-2</c:v>
                </c:pt>
                <c:pt idx="16">
                  <c:v>6.0000000000000032E-2</c:v>
                </c:pt>
                <c:pt idx="17">
                  <c:v>6.2000000000000034E-2</c:v>
                </c:pt>
                <c:pt idx="18">
                  <c:v>6.5000000000000002E-2</c:v>
                </c:pt>
                <c:pt idx="19">
                  <c:v>7.0000000000000021E-2</c:v>
                </c:pt>
              </c:numCache>
            </c:numRef>
          </c:val>
        </c:ser>
        <c:ser>
          <c:idx val="1"/>
          <c:order val="1"/>
          <c:tx>
            <c:strRef>
              <c:f>Лист1!$A$111</c:f>
              <c:strCache>
                <c:ptCount val="1"/>
                <c:pt idx="0">
                  <c:v>Темпы изменения ВРПм</c:v>
                </c:pt>
              </c:strCache>
            </c:strRef>
          </c:tx>
          <c:spPr>
            <a:ln>
              <a:solidFill>
                <a:srgbClr val="FF0000"/>
              </a:solidFill>
            </a:ln>
          </c:spPr>
          <c:marker>
            <c:symbol val="square"/>
            <c:size val="7"/>
            <c:spPr>
              <a:solidFill>
                <a:srgbClr val="FF0000"/>
              </a:solidFill>
              <a:ln>
                <a:solidFill>
                  <a:srgbClr val="FF0000"/>
                </a:solidFill>
              </a:ln>
            </c:spPr>
          </c:marker>
          <c:dPt>
            <c:idx val="16"/>
            <c:spPr>
              <a:ln>
                <a:solidFill>
                  <a:srgbClr val="FF0000"/>
                </a:solidFill>
                <a:prstDash val="dash"/>
              </a:ln>
            </c:spPr>
          </c:dPt>
          <c:dPt>
            <c:idx val="17"/>
            <c:spPr>
              <a:ln>
                <a:solidFill>
                  <a:srgbClr val="FF0000"/>
                </a:solidFill>
                <a:prstDash val="dash"/>
              </a:ln>
            </c:spPr>
          </c:dPt>
          <c:dPt>
            <c:idx val="18"/>
            <c:spPr>
              <a:ln>
                <a:solidFill>
                  <a:srgbClr val="FF0000"/>
                </a:solidFill>
                <a:prstDash val="dash"/>
              </a:ln>
            </c:spPr>
          </c:dPt>
          <c:dPt>
            <c:idx val="19"/>
            <c:spPr>
              <a:ln>
                <a:solidFill>
                  <a:srgbClr val="FF0000"/>
                </a:solidFill>
                <a:prstDash val="dash"/>
              </a:ln>
            </c:spPr>
          </c:dPt>
          <c:dLbls>
            <c:dLbl>
              <c:idx val="0"/>
              <c:layout>
                <c:manualLayout>
                  <c:x val="-2.8947243207235809E-2"/>
                  <c:y val="4.0402917363632433E-2"/>
                </c:manualLayout>
              </c:layout>
              <c:dLblPos val="r"/>
              <c:showVal val="1"/>
            </c:dLbl>
            <c:dLbl>
              <c:idx val="16"/>
              <c:layout>
                <c:manualLayout>
                  <c:x val="-4.1239978621058257E-2"/>
                  <c:y val="3.0993048098117985E-2"/>
                </c:manualLayout>
              </c:layout>
              <c:dLblPos val="r"/>
              <c:showVal val="1"/>
            </c:dLbl>
            <c:dLbl>
              <c:idx val="17"/>
              <c:layout>
                <c:manualLayout>
                  <c:x val="-2.8412613575628052E-2"/>
                  <c:y val="3.418326142793459E-2"/>
                </c:manualLayout>
              </c:layout>
              <c:dLblPos val="r"/>
              <c:showVal val="1"/>
            </c:dLbl>
            <c:dLbl>
              <c:idx val="18"/>
              <c:layout>
                <c:manualLayout>
                  <c:x val="-2.7578834847675092E-3"/>
                  <c:y val="3.7372972361951196E-2"/>
                </c:manualLayout>
              </c:layout>
              <c:dLblPos val="r"/>
              <c:showVal val="1"/>
            </c:dLbl>
            <c:dLbl>
              <c:idx val="19"/>
              <c:layout>
                <c:manualLayout>
                  <c:x val="-1.2938468207241065E-3"/>
                  <c:y val="1.1851768119218585E-2"/>
                </c:manualLayout>
              </c:layout>
              <c:dLblPos val="r"/>
              <c:showVal val="1"/>
            </c:dLbl>
            <c:txPr>
              <a:bodyPr/>
              <a:lstStyle/>
              <a:p>
                <a:pPr>
                  <a:defRPr sz="1100" b="1">
                    <a:solidFill>
                      <a:srgbClr val="FF0000"/>
                    </a:solidFill>
                  </a:defRPr>
                </a:pPr>
                <a:endParaRPr lang="ru-RU"/>
              </a:p>
            </c:txPr>
            <c:dLblPos val="b"/>
            <c:showVal val="1"/>
          </c:dLbls>
          <c:cat>
            <c:numRef>
              <c:f>Лист1!$B$109:$U$109</c:f>
              <c:numCache>
                <c:formatCode>General</c:formatCode>
                <c:ptCount val="20"/>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numCache>
            </c:numRef>
          </c:cat>
          <c:val>
            <c:numRef>
              <c:f>Лист1!$B$111:$U$111</c:f>
              <c:numCache>
                <c:formatCode>0.00%</c:formatCode>
                <c:ptCount val="20"/>
                <c:pt idx="0">
                  <c:v>0.111</c:v>
                </c:pt>
                <c:pt idx="1">
                  <c:v>-6.8000000000000019E-2</c:v>
                </c:pt>
                <c:pt idx="2">
                  <c:v>6.9000000000000103E-2</c:v>
                </c:pt>
                <c:pt idx="3">
                  <c:v>0.18900000000000045</c:v>
                </c:pt>
                <c:pt idx="4">
                  <c:v>3.0000000000000002E-2</c:v>
                </c:pt>
                <c:pt idx="5">
                  <c:v>0.1</c:v>
                </c:pt>
                <c:pt idx="6">
                  <c:v>8.8000000000000064E-2</c:v>
                </c:pt>
                <c:pt idx="7">
                  <c:v>7.2000000000000022E-2</c:v>
                </c:pt>
                <c:pt idx="8">
                  <c:v>0.125</c:v>
                </c:pt>
                <c:pt idx="9">
                  <c:v>0.10700000000000012</c:v>
                </c:pt>
                <c:pt idx="10">
                  <c:v>8.3000000000000046E-2</c:v>
                </c:pt>
                <c:pt idx="11">
                  <c:v>7.6999999999999999E-2</c:v>
                </c:pt>
                <c:pt idx="12">
                  <c:v>-0.128</c:v>
                </c:pt>
                <c:pt idx="13">
                  <c:v>1.4000000000000061E-2</c:v>
                </c:pt>
                <c:pt idx="14">
                  <c:v>2.8000000000000001E-2</c:v>
                </c:pt>
                <c:pt idx="15">
                  <c:v>2.0000000000000011E-2</c:v>
                </c:pt>
                <c:pt idx="16">
                  <c:v>3.5999999999999997E-2</c:v>
                </c:pt>
                <c:pt idx="17">
                  <c:v>3.6999999999999998E-2</c:v>
                </c:pt>
                <c:pt idx="18">
                  <c:v>3.9000000000000014E-2</c:v>
                </c:pt>
                <c:pt idx="19">
                  <c:v>4.2000000000000023E-2</c:v>
                </c:pt>
              </c:numCache>
            </c:numRef>
          </c:val>
        </c:ser>
        <c:ser>
          <c:idx val="2"/>
          <c:order val="2"/>
          <c:spPr>
            <a:ln>
              <a:solidFill>
                <a:schemeClr val="tx1"/>
              </a:solidFill>
              <a:prstDash val="dash"/>
            </a:ln>
          </c:spPr>
          <c:marker>
            <c:symbol val="none"/>
          </c:marker>
          <c:val>
            <c:numRef>
              <c:f>Лист1!$B$112:$U$112</c:f>
              <c:numCache>
                <c:formatCode>0.00%</c:formatCode>
                <c:ptCount val="20"/>
                <c:pt idx="0">
                  <c:v>0.10600000000000002</c:v>
                </c:pt>
                <c:pt idx="1">
                  <c:v>0.10600000000000002</c:v>
                </c:pt>
                <c:pt idx="2">
                  <c:v>0.10600000000000002</c:v>
                </c:pt>
                <c:pt idx="3">
                  <c:v>0.10600000000000002</c:v>
                </c:pt>
                <c:pt idx="4">
                  <c:v>0.10600000000000002</c:v>
                </c:pt>
                <c:pt idx="5">
                  <c:v>0.10600000000000002</c:v>
                </c:pt>
                <c:pt idx="6">
                  <c:v>0.10600000000000002</c:v>
                </c:pt>
                <c:pt idx="7">
                  <c:v>0.10600000000000002</c:v>
                </c:pt>
                <c:pt idx="8">
                  <c:v>0.10600000000000002</c:v>
                </c:pt>
                <c:pt idx="9">
                  <c:v>0.10600000000000002</c:v>
                </c:pt>
                <c:pt idx="10">
                  <c:v>0.10600000000000002</c:v>
                </c:pt>
                <c:pt idx="11">
                  <c:v>0.10600000000000002</c:v>
                </c:pt>
                <c:pt idx="12">
                  <c:v>0.10600000000000002</c:v>
                </c:pt>
                <c:pt idx="13">
                  <c:v>0.10600000000000002</c:v>
                </c:pt>
                <c:pt idx="14">
                  <c:v>0.10600000000000002</c:v>
                </c:pt>
                <c:pt idx="15">
                  <c:v>0.10600000000000002</c:v>
                </c:pt>
                <c:pt idx="16">
                  <c:v>0.10600000000000002</c:v>
                </c:pt>
                <c:pt idx="17">
                  <c:v>0.10600000000000002</c:v>
                </c:pt>
                <c:pt idx="18">
                  <c:v>0.10600000000000002</c:v>
                </c:pt>
                <c:pt idx="19">
                  <c:v>0.10600000000000002</c:v>
                </c:pt>
              </c:numCache>
            </c:numRef>
          </c:val>
        </c:ser>
        <c:ser>
          <c:idx val="3"/>
          <c:order val="3"/>
          <c:spPr>
            <a:ln>
              <a:solidFill>
                <a:srgbClr val="FF0000"/>
              </a:solidFill>
              <a:prstDash val="dash"/>
            </a:ln>
          </c:spPr>
          <c:marker>
            <c:symbol val="none"/>
          </c:marker>
          <c:val>
            <c:numRef>
              <c:f>Лист1!$B$113:$U$113</c:f>
              <c:numCache>
                <c:formatCode>0.00%</c:formatCode>
                <c:ptCount val="20"/>
                <c:pt idx="0">
                  <c:v>8.7000000000000022E-2</c:v>
                </c:pt>
                <c:pt idx="1">
                  <c:v>8.7000000000000022E-2</c:v>
                </c:pt>
                <c:pt idx="2">
                  <c:v>8.7000000000000022E-2</c:v>
                </c:pt>
                <c:pt idx="3">
                  <c:v>8.7000000000000022E-2</c:v>
                </c:pt>
                <c:pt idx="4">
                  <c:v>8.7000000000000022E-2</c:v>
                </c:pt>
                <c:pt idx="5">
                  <c:v>8.7000000000000022E-2</c:v>
                </c:pt>
                <c:pt idx="6">
                  <c:v>8.7000000000000022E-2</c:v>
                </c:pt>
                <c:pt idx="7">
                  <c:v>8.7000000000000022E-2</c:v>
                </c:pt>
                <c:pt idx="8">
                  <c:v>8.7000000000000022E-2</c:v>
                </c:pt>
                <c:pt idx="9">
                  <c:v>8.7000000000000022E-2</c:v>
                </c:pt>
                <c:pt idx="10">
                  <c:v>8.7000000000000022E-2</c:v>
                </c:pt>
                <c:pt idx="11">
                  <c:v>8.7000000000000022E-2</c:v>
                </c:pt>
                <c:pt idx="12">
                  <c:v>8.7000000000000022E-2</c:v>
                </c:pt>
                <c:pt idx="13">
                  <c:v>8.7000000000000022E-2</c:v>
                </c:pt>
                <c:pt idx="14">
                  <c:v>8.7000000000000022E-2</c:v>
                </c:pt>
                <c:pt idx="15">
                  <c:v>8.7000000000000022E-2</c:v>
                </c:pt>
                <c:pt idx="16">
                  <c:v>8.7000000000000022E-2</c:v>
                </c:pt>
                <c:pt idx="17">
                  <c:v>8.7000000000000022E-2</c:v>
                </c:pt>
                <c:pt idx="18">
                  <c:v>8.7000000000000022E-2</c:v>
                </c:pt>
                <c:pt idx="19">
                  <c:v>8.7000000000000022E-2</c:v>
                </c:pt>
              </c:numCache>
            </c:numRef>
          </c:val>
        </c:ser>
        <c:marker val="1"/>
        <c:axId val="264688000"/>
        <c:axId val="264689536"/>
      </c:lineChart>
      <c:catAx>
        <c:axId val="264688000"/>
        <c:scaling>
          <c:orientation val="minMax"/>
        </c:scaling>
        <c:axPos val="b"/>
        <c:numFmt formatCode="General" sourceLinked="1"/>
        <c:tickLblPos val="nextTo"/>
        <c:crossAx val="264689536"/>
        <c:crosses val="autoZero"/>
        <c:auto val="1"/>
        <c:lblAlgn val="ctr"/>
        <c:lblOffset val="100"/>
        <c:tickLblSkip val="2"/>
      </c:catAx>
      <c:valAx>
        <c:axId val="264689536"/>
        <c:scaling>
          <c:orientation val="minMax"/>
        </c:scaling>
        <c:axPos val="l"/>
        <c:majorGridlines/>
        <c:numFmt formatCode="0.00%" sourceLinked="1"/>
        <c:tickLblPos val="nextTo"/>
        <c:crossAx val="264688000"/>
        <c:crosses val="autoZero"/>
        <c:crossBetween val="between"/>
      </c:valAx>
    </c:plotArea>
    <c:legend>
      <c:legendPos val="r"/>
      <c:legendEntry>
        <c:idx val="2"/>
        <c:delete val="1"/>
      </c:legendEntry>
      <c:legendEntry>
        <c:idx val="3"/>
        <c:delete val="1"/>
      </c:legendEntry>
      <c:layout>
        <c:manualLayout>
          <c:xMode val="edge"/>
          <c:yMode val="edge"/>
          <c:x val="0.71764696970334618"/>
          <c:y val="0.83613557150662232"/>
          <c:w val="0.28004208453098894"/>
          <c:h val="0.16344216482350221"/>
        </c:manualLayout>
      </c:layout>
    </c:legend>
    <c:plotVisOnly val="1"/>
  </c:chart>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5403732765682052E-2"/>
          <c:y val="0.10323028688548397"/>
          <c:w val="0.77202655340700765"/>
          <c:h val="0.86953152919949861"/>
        </c:manualLayout>
      </c:layout>
      <c:scatterChart>
        <c:scatterStyle val="lineMarker"/>
        <c:ser>
          <c:idx val="2"/>
          <c:order val="0"/>
          <c:tx>
            <c:strRef>
              <c:f>Лист1!$A$114</c:f>
              <c:strCache>
                <c:ptCount val="1"/>
                <c:pt idx="0">
                  <c:v>Кврпм </c:v>
                </c:pt>
              </c:strCache>
            </c:strRef>
          </c:tx>
          <c:spPr>
            <a:ln w="28575">
              <a:noFill/>
            </a:ln>
          </c:spPr>
          <c:marker>
            <c:symbol val="circle"/>
            <c:size val="7"/>
            <c:spPr>
              <a:solidFill>
                <a:srgbClr val="FF0000"/>
              </a:solidFill>
              <a:ln>
                <a:solidFill>
                  <a:srgbClr val="FF0000"/>
                </a:solidFill>
              </a:ln>
            </c:spPr>
          </c:marker>
          <c:dLbls>
            <c:txPr>
              <a:bodyPr/>
              <a:lstStyle/>
              <a:p>
                <a:pPr>
                  <a:defRPr sz="1400" b="1">
                    <a:solidFill>
                      <a:srgbClr val="FF0000"/>
                    </a:solidFill>
                  </a:defRPr>
                </a:pPr>
                <a:endParaRPr lang="ru-RU"/>
              </a:p>
            </c:txPr>
            <c:dLblPos val="t"/>
            <c:showVal val="1"/>
          </c:dLbls>
          <c:xVal>
            <c:numRef>
              <c:f>Лист1!$B$109:$Q$109</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xVal>
          <c:yVal>
            <c:numRef>
              <c:f>Лист1!$B$114:$Q$114</c:f>
              <c:numCache>
                <c:formatCode>0.00</c:formatCode>
                <c:ptCount val="16"/>
                <c:pt idx="0">
                  <c:v>1.7619047619047634</c:v>
                </c:pt>
                <c:pt idx="1">
                  <c:v>-0.28691983122362963</c:v>
                </c:pt>
                <c:pt idx="2">
                  <c:v>1.7692307692307643</c:v>
                </c:pt>
                <c:pt idx="3">
                  <c:v>1.3034482758620678</c:v>
                </c:pt>
                <c:pt idx="4">
                  <c:v>-0.42253521126760696</c:v>
                </c:pt>
                <c:pt idx="5">
                  <c:v>1.2345679012345685</c:v>
                </c:pt>
                <c:pt idx="6">
                  <c:v>1.1578947368421078</c:v>
                </c:pt>
                <c:pt idx="7">
                  <c:v>0.51063829787234039</c:v>
                </c:pt>
                <c:pt idx="8">
                  <c:v>1.2135922330097078</c:v>
                </c:pt>
                <c:pt idx="9">
                  <c:v>0.70394736842105199</c:v>
                </c:pt>
                <c:pt idx="10">
                  <c:v>0.76146788990825509</c:v>
                </c:pt>
                <c:pt idx="11">
                  <c:v>3.0800000000000112</c:v>
                </c:pt>
                <c:pt idx="12">
                  <c:v>0.54237288135593031</c:v>
                </c:pt>
                <c:pt idx="13">
                  <c:v>-0.33333333333333481</c:v>
                </c:pt>
                <c:pt idx="14">
                  <c:v>0.55999999999999994</c:v>
                </c:pt>
                <c:pt idx="15">
                  <c:v>0.2352941176470589</c:v>
                </c:pt>
              </c:numCache>
            </c:numRef>
          </c:yVal>
        </c:ser>
        <c:axId val="264984448"/>
        <c:axId val="185606144"/>
      </c:scatterChart>
      <c:valAx>
        <c:axId val="264984448"/>
        <c:scaling>
          <c:orientation val="minMax"/>
        </c:scaling>
        <c:axPos val="b"/>
        <c:numFmt formatCode="General" sourceLinked="1"/>
        <c:tickLblPos val="nextTo"/>
        <c:crossAx val="185606144"/>
        <c:crosses val="autoZero"/>
        <c:crossBetween val="midCat"/>
        <c:majorUnit val="2"/>
      </c:valAx>
      <c:valAx>
        <c:axId val="185606144"/>
        <c:scaling>
          <c:orientation val="minMax"/>
        </c:scaling>
        <c:axPos val="l"/>
        <c:majorGridlines/>
        <c:numFmt formatCode="0.00" sourceLinked="1"/>
        <c:tickLblPos val="nextTo"/>
        <c:crossAx val="264984448"/>
        <c:crosses val="autoZero"/>
        <c:crossBetween val="midCat"/>
      </c:valAx>
    </c:plotArea>
    <c:legend>
      <c:legendPos val="r"/>
    </c:legend>
    <c:plotVisOnly val="1"/>
  </c:chart>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4944025576065467E-2"/>
          <c:y val="9.3063757042505482E-2"/>
          <c:w val="0.72182565117022524"/>
          <c:h val="0.84566036537195144"/>
        </c:manualLayout>
      </c:layout>
      <c:lineChart>
        <c:grouping val="standard"/>
        <c:ser>
          <c:idx val="0"/>
          <c:order val="0"/>
          <c:tx>
            <c:strRef>
              <c:f>Лист1!$A$119</c:f>
              <c:strCache>
                <c:ptCount val="1"/>
                <c:pt idx="0">
                  <c:v>Кврпм </c:v>
                </c:pt>
              </c:strCache>
            </c:strRef>
          </c:tx>
          <c:spPr>
            <a:ln>
              <a:noFill/>
            </a:ln>
          </c:spPr>
          <c:marker>
            <c:symbol val="circle"/>
            <c:size val="7"/>
            <c:spPr>
              <a:solidFill>
                <a:srgbClr val="FF0000"/>
              </a:solidFill>
              <a:ln>
                <a:solidFill>
                  <a:srgbClr val="FF0000"/>
                </a:solidFill>
              </a:ln>
            </c:spPr>
          </c:marker>
          <c:dLbls>
            <c:txPr>
              <a:bodyPr/>
              <a:lstStyle/>
              <a:p>
                <a:pPr>
                  <a:defRPr b="1">
                    <a:solidFill>
                      <a:srgbClr val="FF0000"/>
                    </a:solidFill>
                  </a:defRPr>
                </a:pPr>
                <a:endParaRPr lang="ru-RU"/>
              </a:p>
            </c:txPr>
            <c:dLblPos val="t"/>
            <c:showVal val="1"/>
          </c:dLbls>
          <c:cat>
            <c:numRef>
              <c:f>Лист1!$B$118:$Q$118</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Лист1!$B$119:$Q$119</c:f>
              <c:numCache>
                <c:formatCode>0.00</c:formatCode>
                <c:ptCount val="16"/>
                <c:pt idx="0">
                  <c:v>0.33000000000000107</c:v>
                </c:pt>
                <c:pt idx="1">
                  <c:v>0.33000000000000107</c:v>
                </c:pt>
                <c:pt idx="2">
                  <c:v>0.33000000000000107</c:v>
                </c:pt>
                <c:pt idx="3">
                  <c:v>1.3034482758620678</c:v>
                </c:pt>
                <c:pt idx="4">
                  <c:v>-0.42253521126760696</c:v>
                </c:pt>
                <c:pt idx="5">
                  <c:v>1.2345679012345685</c:v>
                </c:pt>
                <c:pt idx="6">
                  <c:v>1.1578947368421078</c:v>
                </c:pt>
                <c:pt idx="7">
                  <c:v>0.51063829787234039</c:v>
                </c:pt>
                <c:pt idx="8">
                  <c:v>1.2135922330097078</c:v>
                </c:pt>
                <c:pt idx="9">
                  <c:v>0.93</c:v>
                </c:pt>
                <c:pt idx="10">
                  <c:v>0.93</c:v>
                </c:pt>
                <c:pt idx="11">
                  <c:v>0.93</c:v>
                </c:pt>
                <c:pt idx="12">
                  <c:v>0.54237288135593031</c:v>
                </c:pt>
                <c:pt idx="13">
                  <c:v>-0.33333333333333481</c:v>
                </c:pt>
                <c:pt idx="14">
                  <c:v>0.55999999999999994</c:v>
                </c:pt>
                <c:pt idx="15">
                  <c:v>0.2352941176470589</c:v>
                </c:pt>
              </c:numCache>
            </c:numRef>
          </c:val>
        </c:ser>
        <c:ser>
          <c:idx val="1"/>
          <c:order val="1"/>
          <c:spPr>
            <a:ln w="28575">
              <a:solidFill>
                <a:srgbClr val="C00000"/>
              </a:solidFill>
              <a:prstDash val="dash"/>
            </a:ln>
          </c:spPr>
          <c:marker>
            <c:symbol val="none"/>
          </c:marker>
          <c:dLbls>
            <c:dLbl>
              <c:idx val="0"/>
              <c:layout>
                <c:manualLayout>
                  <c:x val="-2.8720702770482547E-2"/>
                  <c:y val="-2.3260387445709602E-2"/>
                </c:manualLayout>
              </c:layout>
              <c:spPr/>
              <c:txPr>
                <a:bodyPr/>
                <a:lstStyle/>
                <a:p>
                  <a:pPr>
                    <a:defRPr sz="1200" b="1">
                      <a:solidFill>
                        <a:srgbClr val="C00000"/>
                      </a:solidFill>
                    </a:defRPr>
                  </a:pPr>
                  <a:endParaRPr lang="ru-RU"/>
                </a:p>
              </c:txPr>
              <c:showVal val="1"/>
            </c:dLbl>
            <c:delete val="1"/>
          </c:dLbls>
          <c:val>
            <c:numRef>
              <c:f>Лист1!$B$124:$Q$124</c:f>
              <c:numCache>
                <c:formatCode>General</c:formatCode>
                <c:ptCount val="16"/>
                <c:pt idx="0">
                  <c:v>0.84000000000000064</c:v>
                </c:pt>
                <c:pt idx="1">
                  <c:v>0.84000000000000064</c:v>
                </c:pt>
                <c:pt idx="2">
                  <c:v>0.84000000000000064</c:v>
                </c:pt>
                <c:pt idx="3">
                  <c:v>0.84000000000000064</c:v>
                </c:pt>
                <c:pt idx="4">
                  <c:v>0.84000000000000064</c:v>
                </c:pt>
                <c:pt idx="5">
                  <c:v>0.84000000000000064</c:v>
                </c:pt>
                <c:pt idx="6">
                  <c:v>0.84000000000000064</c:v>
                </c:pt>
                <c:pt idx="7">
                  <c:v>0.84000000000000064</c:v>
                </c:pt>
                <c:pt idx="8">
                  <c:v>0.84000000000000064</c:v>
                </c:pt>
                <c:pt idx="9">
                  <c:v>0.84000000000000064</c:v>
                </c:pt>
                <c:pt idx="10">
                  <c:v>0.84000000000000064</c:v>
                </c:pt>
                <c:pt idx="11">
                  <c:v>0.84000000000000064</c:v>
                </c:pt>
              </c:numCache>
            </c:numRef>
          </c:val>
        </c:ser>
        <c:ser>
          <c:idx val="2"/>
          <c:order val="2"/>
          <c:spPr>
            <a:ln w="28575">
              <a:solidFill>
                <a:srgbClr val="FF0000"/>
              </a:solidFill>
              <a:prstDash val="dash"/>
            </a:ln>
          </c:spPr>
          <c:marker>
            <c:symbol val="none"/>
          </c:marker>
          <c:dLbls>
            <c:dLbl>
              <c:idx val="0"/>
              <c:layout>
                <c:manualLayout>
                  <c:x val="-3.476716651163677E-2"/>
                  <c:y val="3.4890581168564319E-2"/>
                </c:manualLayout>
              </c:layout>
              <c:spPr/>
              <c:txPr>
                <a:bodyPr/>
                <a:lstStyle/>
                <a:p>
                  <a:pPr>
                    <a:defRPr sz="1200" b="1">
                      <a:solidFill>
                        <a:srgbClr val="FF0000"/>
                      </a:solidFill>
                    </a:defRPr>
                  </a:pPr>
                  <a:endParaRPr lang="ru-RU"/>
                </a:p>
              </c:txPr>
              <c:showVal val="1"/>
            </c:dLbl>
            <c:delete val="1"/>
          </c:dLbls>
          <c:val>
            <c:numRef>
              <c:f>Лист1!$B$125:$Q$125</c:f>
              <c:numCache>
                <c:formatCode>General</c:formatCode>
                <c:ptCount val="16"/>
                <c:pt idx="0">
                  <c:v>0.77000000000000191</c:v>
                </c:pt>
                <c:pt idx="1">
                  <c:v>0.77000000000000191</c:v>
                </c:pt>
                <c:pt idx="2">
                  <c:v>0.77000000000000191</c:v>
                </c:pt>
                <c:pt idx="3">
                  <c:v>0.77000000000000191</c:v>
                </c:pt>
                <c:pt idx="4">
                  <c:v>0.77000000000000191</c:v>
                </c:pt>
                <c:pt idx="5">
                  <c:v>0.77000000000000191</c:v>
                </c:pt>
                <c:pt idx="6">
                  <c:v>0.77000000000000191</c:v>
                </c:pt>
                <c:pt idx="7">
                  <c:v>0.77000000000000191</c:v>
                </c:pt>
                <c:pt idx="8">
                  <c:v>0.77000000000000191</c:v>
                </c:pt>
                <c:pt idx="9">
                  <c:v>0.77000000000000191</c:v>
                </c:pt>
                <c:pt idx="10">
                  <c:v>0.77000000000000191</c:v>
                </c:pt>
                <c:pt idx="11">
                  <c:v>0.77000000000000191</c:v>
                </c:pt>
                <c:pt idx="12">
                  <c:v>0.77000000000000191</c:v>
                </c:pt>
                <c:pt idx="13">
                  <c:v>0.77000000000000191</c:v>
                </c:pt>
                <c:pt idx="14">
                  <c:v>0.77000000000000191</c:v>
                </c:pt>
                <c:pt idx="15">
                  <c:v>0.77000000000000191</c:v>
                </c:pt>
              </c:numCache>
            </c:numRef>
          </c:val>
        </c:ser>
        <c:marker val="1"/>
        <c:axId val="264964736"/>
        <c:axId val="185647488"/>
      </c:lineChart>
      <c:catAx>
        <c:axId val="264964736"/>
        <c:scaling>
          <c:orientation val="minMax"/>
        </c:scaling>
        <c:axPos val="b"/>
        <c:numFmt formatCode="General" sourceLinked="1"/>
        <c:tickLblPos val="nextTo"/>
        <c:crossAx val="185647488"/>
        <c:crosses val="autoZero"/>
        <c:auto val="1"/>
        <c:lblAlgn val="ctr"/>
        <c:lblOffset val="100"/>
      </c:catAx>
      <c:valAx>
        <c:axId val="185647488"/>
        <c:scaling>
          <c:orientation val="minMax"/>
        </c:scaling>
        <c:axPos val="l"/>
        <c:majorGridlines/>
        <c:numFmt formatCode="0.00" sourceLinked="1"/>
        <c:tickLblPos val="nextTo"/>
        <c:crossAx val="264964736"/>
        <c:crosses val="autoZero"/>
        <c:crossBetween val="between"/>
      </c:valAx>
    </c:plotArea>
    <c:legend>
      <c:legendPos val="r"/>
    </c:legend>
    <c:plotVisOnly val="1"/>
  </c:chart>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1049522138040264E-2"/>
          <c:y val="2.7825863872279345E-2"/>
          <c:w val="0.7063561076871665"/>
          <c:h val="0.85675645807432255"/>
        </c:manualLayout>
      </c:layout>
      <c:barChart>
        <c:barDir val="col"/>
        <c:grouping val="clustered"/>
        <c:ser>
          <c:idx val="0"/>
          <c:order val="0"/>
          <c:tx>
            <c:strRef>
              <c:f>Лист1!$A$51</c:f>
              <c:strCache>
                <c:ptCount val="1"/>
                <c:pt idx="0">
                  <c:v>ВРП</c:v>
                </c:pt>
              </c:strCache>
            </c:strRef>
          </c:tx>
          <c:dLbls>
            <c:txPr>
              <a:bodyPr/>
              <a:lstStyle/>
              <a:p>
                <a:pPr>
                  <a:defRPr b="1">
                    <a:solidFill>
                      <a:schemeClr val="accent1"/>
                    </a:solidFill>
                  </a:defRPr>
                </a:pPr>
                <a:endParaRPr lang="ru-RU"/>
              </a:p>
            </c:txPr>
            <c:showVal val="1"/>
          </c:dLbls>
          <c:cat>
            <c:numRef>
              <c:f>Лист1!$B$50:$L$50</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Лист1!$B$51:$L$51</c:f>
              <c:numCache>
                <c:formatCode>General</c:formatCode>
                <c:ptCount val="11"/>
                <c:pt idx="0">
                  <c:v>193.4</c:v>
                </c:pt>
                <c:pt idx="1">
                  <c:v>262.60000000000002</c:v>
                </c:pt>
                <c:pt idx="2">
                  <c:v>331.3</c:v>
                </c:pt>
                <c:pt idx="3">
                  <c:v>224.8</c:v>
                </c:pt>
                <c:pt idx="4">
                  <c:v>275.5</c:v>
                </c:pt>
                <c:pt idx="5">
                  <c:v>341.4</c:v>
                </c:pt>
                <c:pt idx="6">
                  <c:v>357.1</c:v>
                </c:pt>
                <c:pt idx="7">
                  <c:v>381.6</c:v>
                </c:pt>
                <c:pt idx="8">
                  <c:v>399.5</c:v>
                </c:pt>
                <c:pt idx="9">
                  <c:v>421</c:v>
                </c:pt>
                <c:pt idx="10">
                  <c:v>444.7</c:v>
                </c:pt>
              </c:numCache>
            </c:numRef>
          </c:val>
        </c:ser>
        <c:ser>
          <c:idx val="1"/>
          <c:order val="1"/>
          <c:tx>
            <c:strRef>
              <c:f>Лист1!$A$52</c:f>
              <c:strCache>
                <c:ptCount val="1"/>
                <c:pt idx="0">
                  <c:v>ИОК</c:v>
                </c:pt>
              </c:strCache>
            </c:strRef>
          </c:tx>
          <c:spPr>
            <a:solidFill>
              <a:srgbClr val="FF0000"/>
            </a:solidFill>
            <a:ln>
              <a:solidFill>
                <a:srgbClr val="FF0000"/>
              </a:solidFill>
            </a:ln>
          </c:spPr>
          <c:dLbls>
            <c:txPr>
              <a:bodyPr/>
              <a:lstStyle/>
              <a:p>
                <a:pPr>
                  <a:defRPr b="1">
                    <a:solidFill>
                      <a:srgbClr val="FF0000"/>
                    </a:solidFill>
                  </a:defRPr>
                </a:pPr>
                <a:endParaRPr lang="ru-RU"/>
              </a:p>
            </c:txPr>
            <c:showVal val="1"/>
          </c:dLbls>
          <c:cat>
            <c:numRef>
              <c:f>Лист1!$B$50:$L$50</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Лист1!$B$52:$L$52</c:f>
              <c:numCache>
                <c:formatCode>General</c:formatCode>
                <c:ptCount val="11"/>
                <c:pt idx="0">
                  <c:v>21.7</c:v>
                </c:pt>
                <c:pt idx="1">
                  <c:v>30.4</c:v>
                </c:pt>
                <c:pt idx="2">
                  <c:v>38.700000000000003</c:v>
                </c:pt>
                <c:pt idx="3">
                  <c:v>23.4</c:v>
                </c:pt>
                <c:pt idx="4">
                  <c:v>24.1</c:v>
                </c:pt>
                <c:pt idx="5">
                  <c:v>29.2</c:v>
                </c:pt>
                <c:pt idx="6">
                  <c:v>32.4</c:v>
                </c:pt>
                <c:pt idx="7">
                  <c:v>35.200000000000003</c:v>
                </c:pt>
                <c:pt idx="8">
                  <c:v>38</c:v>
                </c:pt>
                <c:pt idx="9">
                  <c:v>41.7</c:v>
                </c:pt>
                <c:pt idx="10">
                  <c:v>46.3</c:v>
                </c:pt>
              </c:numCache>
            </c:numRef>
          </c:val>
        </c:ser>
        <c:axId val="264641152"/>
        <c:axId val="185841920"/>
      </c:barChart>
      <c:lineChart>
        <c:grouping val="standard"/>
        <c:ser>
          <c:idx val="2"/>
          <c:order val="2"/>
          <c:tx>
            <c:strRef>
              <c:f>Лист1!$A$53</c:f>
              <c:strCache>
                <c:ptCount val="1"/>
                <c:pt idx="0">
                  <c:v>ВРП%</c:v>
                </c:pt>
              </c:strCache>
            </c:strRef>
          </c:tx>
          <c:spPr>
            <a:ln>
              <a:solidFill>
                <a:schemeClr val="accent1"/>
              </a:solidFill>
            </a:ln>
          </c:spPr>
          <c:marker>
            <c:symbol val="triangle"/>
            <c:size val="4"/>
            <c:spPr>
              <a:solidFill>
                <a:schemeClr val="accent1"/>
              </a:solidFill>
              <a:ln>
                <a:solidFill>
                  <a:srgbClr val="4F81BD"/>
                </a:solidFill>
              </a:ln>
            </c:spPr>
          </c:marker>
          <c:dLbls>
            <c:txPr>
              <a:bodyPr/>
              <a:lstStyle/>
              <a:p>
                <a:pPr>
                  <a:defRPr b="1">
                    <a:solidFill>
                      <a:schemeClr val="accent1">
                        <a:lumMod val="50000"/>
                      </a:schemeClr>
                    </a:solidFill>
                  </a:defRPr>
                </a:pPr>
                <a:endParaRPr lang="ru-RU"/>
              </a:p>
            </c:txPr>
            <c:showVal val="1"/>
          </c:dLbls>
          <c:cat>
            <c:numRef>
              <c:f>Лист1!$B$50:$L$50</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Лист1!$B$53:$L$53</c:f>
              <c:numCache>
                <c:formatCode>0.00%</c:formatCode>
                <c:ptCount val="11"/>
                <c:pt idx="0">
                  <c:v>1.323</c:v>
                </c:pt>
                <c:pt idx="1">
                  <c:v>1.3580000000000001</c:v>
                </c:pt>
                <c:pt idx="2">
                  <c:v>1.262</c:v>
                </c:pt>
                <c:pt idx="3">
                  <c:v>0.67900000000000216</c:v>
                </c:pt>
                <c:pt idx="4">
                  <c:v>1.2249999999999961</c:v>
                </c:pt>
                <c:pt idx="5">
                  <c:v>1.2389999999999961</c:v>
                </c:pt>
                <c:pt idx="6">
                  <c:v>1.046</c:v>
                </c:pt>
                <c:pt idx="7">
                  <c:v>1.069</c:v>
                </c:pt>
                <c:pt idx="8">
                  <c:v>1.0469999999999966</c:v>
                </c:pt>
                <c:pt idx="9">
                  <c:v>1.054</c:v>
                </c:pt>
                <c:pt idx="10">
                  <c:v>1.056</c:v>
                </c:pt>
              </c:numCache>
            </c:numRef>
          </c:val>
        </c:ser>
        <c:ser>
          <c:idx val="3"/>
          <c:order val="3"/>
          <c:tx>
            <c:strRef>
              <c:f>Лист1!$A$54</c:f>
              <c:strCache>
                <c:ptCount val="1"/>
                <c:pt idx="0">
                  <c:v>ИОК%</c:v>
                </c:pt>
              </c:strCache>
            </c:strRef>
          </c:tx>
          <c:spPr>
            <a:ln>
              <a:solidFill>
                <a:srgbClr val="FF0000"/>
              </a:solidFill>
            </a:ln>
          </c:spPr>
          <c:marker>
            <c:symbol val="x"/>
            <c:size val="4"/>
            <c:spPr>
              <a:solidFill>
                <a:srgbClr val="FF0000"/>
              </a:solidFill>
              <a:ln>
                <a:solidFill>
                  <a:srgbClr val="FF0000"/>
                </a:solidFill>
              </a:ln>
            </c:spPr>
          </c:marker>
          <c:dLbls>
            <c:txPr>
              <a:bodyPr/>
              <a:lstStyle/>
              <a:p>
                <a:pPr>
                  <a:defRPr b="1">
                    <a:solidFill>
                      <a:srgbClr val="FF0000"/>
                    </a:solidFill>
                  </a:defRPr>
                </a:pPr>
                <a:endParaRPr lang="ru-RU"/>
              </a:p>
            </c:txPr>
            <c:dLblPos val="t"/>
            <c:showVal val="1"/>
          </c:dLbls>
          <c:cat>
            <c:numRef>
              <c:f>Лист1!$B$50:$L$50</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Лист1!$B$54:$L$54</c:f>
              <c:numCache>
                <c:formatCode>0.00%</c:formatCode>
                <c:ptCount val="11"/>
                <c:pt idx="0">
                  <c:v>1.3460000000000001</c:v>
                </c:pt>
                <c:pt idx="1">
                  <c:v>1.4019999999999926</c:v>
                </c:pt>
                <c:pt idx="2">
                  <c:v>1.2709999999999964</c:v>
                </c:pt>
                <c:pt idx="3">
                  <c:v>0.60600000000000065</c:v>
                </c:pt>
                <c:pt idx="4">
                  <c:v>1.0289999999999964</c:v>
                </c:pt>
                <c:pt idx="5">
                  <c:v>1.2109999999999959</c:v>
                </c:pt>
                <c:pt idx="6">
                  <c:v>1.109</c:v>
                </c:pt>
                <c:pt idx="7">
                  <c:v>1.089</c:v>
                </c:pt>
                <c:pt idx="8">
                  <c:v>1.077</c:v>
                </c:pt>
                <c:pt idx="9">
                  <c:v>1.0980000000000001</c:v>
                </c:pt>
                <c:pt idx="10">
                  <c:v>1.1120000000000001</c:v>
                </c:pt>
              </c:numCache>
            </c:numRef>
          </c:val>
        </c:ser>
        <c:marker val="1"/>
        <c:axId val="185853440"/>
        <c:axId val="185851904"/>
      </c:lineChart>
      <c:catAx>
        <c:axId val="264641152"/>
        <c:scaling>
          <c:orientation val="minMax"/>
        </c:scaling>
        <c:axPos val="b"/>
        <c:numFmt formatCode="General" sourceLinked="1"/>
        <c:tickLblPos val="nextTo"/>
        <c:crossAx val="185841920"/>
        <c:crosses val="autoZero"/>
        <c:auto val="1"/>
        <c:lblAlgn val="ctr"/>
        <c:lblOffset val="100"/>
      </c:catAx>
      <c:valAx>
        <c:axId val="185841920"/>
        <c:scaling>
          <c:orientation val="minMax"/>
        </c:scaling>
        <c:axPos val="l"/>
        <c:majorGridlines/>
        <c:numFmt formatCode="General" sourceLinked="1"/>
        <c:tickLblPos val="nextTo"/>
        <c:crossAx val="264641152"/>
        <c:crosses val="autoZero"/>
        <c:crossBetween val="between"/>
      </c:valAx>
      <c:valAx>
        <c:axId val="185851904"/>
        <c:scaling>
          <c:orientation val="minMax"/>
          <c:min val="0.4"/>
        </c:scaling>
        <c:axPos val="r"/>
        <c:numFmt formatCode="0.00%" sourceLinked="1"/>
        <c:tickLblPos val="nextTo"/>
        <c:crossAx val="185853440"/>
        <c:crosses val="max"/>
        <c:crossBetween val="between"/>
      </c:valAx>
      <c:catAx>
        <c:axId val="185853440"/>
        <c:scaling>
          <c:orientation val="minMax"/>
        </c:scaling>
        <c:delete val="1"/>
        <c:axPos val="b"/>
        <c:numFmt formatCode="General" sourceLinked="1"/>
        <c:tickLblPos val="none"/>
        <c:crossAx val="185851904"/>
        <c:crosses val="autoZero"/>
        <c:auto val="1"/>
        <c:lblAlgn val="ctr"/>
        <c:lblOffset val="100"/>
      </c:catAx>
    </c:plotArea>
    <c:legend>
      <c:legendPos val="r"/>
    </c:legend>
    <c:plotVisOnly val="1"/>
    <c:dispBlanksAs val="gap"/>
  </c:chart>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2598603484612714E-2"/>
          <c:y val="0.16042715556077891"/>
          <c:w val="0.58208016488057557"/>
          <c:h val="0.75976526814745171"/>
        </c:manualLayout>
      </c:layout>
      <c:lineChart>
        <c:grouping val="standard"/>
        <c:ser>
          <c:idx val="0"/>
          <c:order val="0"/>
          <c:tx>
            <c:strRef>
              <c:f>Лист1!$A$75</c:f>
              <c:strCache>
                <c:ptCount val="1"/>
                <c:pt idx="0">
                  <c:v>Курс доллара, руб.</c:v>
                </c:pt>
              </c:strCache>
            </c:strRef>
          </c:tx>
          <c:spPr>
            <a:ln>
              <a:solidFill>
                <a:srgbClr val="00B050"/>
              </a:solidFill>
            </a:ln>
          </c:spPr>
          <c:marker>
            <c:spPr>
              <a:solidFill>
                <a:srgbClr val="00B050"/>
              </a:solidFill>
              <a:ln>
                <a:solidFill>
                  <a:srgbClr val="00B050"/>
                </a:solidFill>
              </a:ln>
            </c:spPr>
          </c:marker>
          <c:dLbls>
            <c:dLbl>
              <c:idx val="8"/>
              <c:layout>
                <c:manualLayout>
                  <c:x val="-7.7796021568713306E-2"/>
                  <c:y val="2.6567320875935285E-2"/>
                </c:manualLayout>
              </c:layout>
              <c:dLblPos val="r"/>
              <c:showVal val="1"/>
            </c:dLbl>
            <c:dLbl>
              <c:idx val="9"/>
              <c:layout>
                <c:manualLayout>
                  <c:x val="-5.3641436790779769E-2"/>
                  <c:y val="5.0447917890860734E-2"/>
                </c:manualLayout>
              </c:layout>
              <c:dLblPos val="r"/>
              <c:showVal val="1"/>
            </c:dLbl>
            <c:dLbl>
              <c:idx val="10"/>
              <c:layout>
                <c:manualLayout>
                  <c:x val="-3.4317768968433762E-2"/>
                  <c:y val="-4.9054569671328402E-2"/>
                </c:manualLayout>
              </c:layout>
              <c:dLblPos val="r"/>
              <c:showVal val="1"/>
            </c:dLbl>
            <c:txPr>
              <a:bodyPr/>
              <a:lstStyle/>
              <a:p>
                <a:pPr>
                  <a:defRPr sz="1200" b="1">
                    <a:solidFill>
                      <a:srgbClr val="00B050"/>
                    </a:solidFill>
                  </a:defRPr>
                </a:pPr>
                <a:endParaRPr lang="ru-RU"/>
              </a:p>
            </c:txPr>
            <c:dLblPos val="t"/>
            <c:showVal val="1"/>
          </c:dLbls>
          <c:cat>
            <c:numRef>
              <c:f>Лист1!$F$74:$P$74</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Лист1!$F$75:$P$75</c:f>
              <c:numCache>
                <c:formatCode>General</c:formatCode>
                <c:ptCount val="11"/>
                <c:pt idx="0">
                  <c:v>27.1</c:v>
                </c:pt>
                <c:pt idx="1">
                  <c:v>25.5</c:v>
                </c:pt>
                <c:pt idx="2">
                  <c:v>24.9</c:v>
                </c:pt>
                <c:pt idx="3">
                  <c:v>31.7</c:v>
                </c:pt>
                <c:pt idx="4">
                  <c:v>30.4</c:v>
                </c:pt>
                <c:pt idx="5">
                  <c:v>29.35</c:v>
                </c:pt>
                <c:pt idx="6">
                  <c:v>31.07</c:v>
                </c:pt>
                <c:pt idx="7">
                  <c:v>31.84</c:v>
                </c:pt>
                <c:pt idx="8">
                  <c:v>31.84</c:v>
                </c:pt>
                <c:pt idx="9">
                  <c:v>31.84</c:v>
                </c:pt>
                <c:pt idx="10">
                  <c:v>31.84</c:v>
                </c:pt>
              </c:numCache>
            </c:numRef>
          </c:val>
        </c:ser>
        <c:ser>
          <c:idx val="1"/>
          <c:order val="1"/>
          <c:tx>
            <c:strRef>
              <c:f>Лист1!$A$76</c:f>
              <c:strCache>
                <c:ptCount val="1"/>
                <c:pt idx="0">
                  <c:v>Прогноз Минэкономразвития</c:v>
                </c:pt>
              </c:strCache>
            </c:strRef>
          </c:tx>
          <c:spPr>
            <a:ln w="28575">
              <a:solidFill>
                <a:srgbClr val="336600"/>
              </a:solidFill>
            </a:ln>
          </c:spPr>
          <c:marker>
            <c:symbol val="square"/>
            <c:size val="5"/>
            <c:spPr>
              <a:solidFill>
                <a:srgbClr val="336600"/>
              </a:solidFill>
              <a:ln>
                <a:solidFill>
                  <a:srgbClr val="336600"/>
                </a:solidFill>
              </a:ln>
            </c:spPr>
          </c:marker>
          <c:dLbls>
            <c:dLbl>
              <c:idx val="8"/>
              <c:layout>
                <c:manualLayout>
                  <c:x val="-2.4154584777932721E-3"/>
                  <c:y val="2.3880597014925477E-2"/>
                </c:manualLayout>
              </c:layout>
              <c:showVal val="1"/>
            </c:dLbl>
            <c:dLbl>
              <c:idx val="9"/>
              <c:layout>
                <c:manualLayout>
                  <c:x val="-4.1062794122486063E-2"/>
                  <c:y val="-3.5820895522388096E-2"/>
                </c:manualLayout>
              </c:layout>
              <c:showVal val="1"/>
            </c:dLbl>
            <c:dLbl>
              <c:idx val="10"/>
              <c:layout>
                <c:manualLayout>
                  <c:x val="-1.4492750866759697E-2"/>
                  <c:y val="-5.9701492537313793E-2"/>
                </c:manualLayout>
              </c:layout>
              <c:showVal val="1"/>
            </c:dLbl>
            <c:delete val="1"/>
            <c:txPr>
              <a:bodyPr/>
              <a:lstStyle/>
              <a:p>
                <a:pPr>
                  <a:defRPr sz="1200" b="1">
                    <a:solidFill>
                      <a:srgbClr val="336600"/>
                    </a:solidFill>
                  </a:defRPr>
                </a:pPr>
                <a:endParaRPr lang="ru-RU"/>
              </a:p>
            </c:txPr>
          </c:dLbls>
          <c:val>
            <c:numRef>
              <c:f>Лист1!$F$76:$P$76</c:f>
              <c:numCache>
                <c:formatCode>General</c:formatCode>
                <c:ptCount val="11"/>
                <c:pt idx="7">
                  <c:v>31.84</c:v>
                </c:pt>
                <c:pt idx="8">
                  <c:v>33.9</c:v>
                </c:pt>
                <c:pt idx="9">
                  <c:v>34.800000000000004</c:v>
                </c:pt>
                <c:pt idx="10">
                  <c:v>35.4</c:v>
                </c:pt>
              </c:numCache>
            </c:numRef>
          </c:val>
        </c:ser>
        <c:marker val="1"/>
        <c:axId val="265509120"/>
        <c:axId val="265523200"/>
      </c:lineChart>
      <c:catAx>
        <c:axId val="265509120"/>
        <c:scaling>
          <c:orientation val="minMax"/>
        </c:scaling>
        <c:axPos val="b"/>
        <c:numFmt formatCode="General" sourceLinked="1"/>
        <c:tickLblPos val="nextTo"/>
        <c:crossAx val="265523200"/>
        <c:crosses val="autoZero"/>
        <c:auto val="1"/>
        <c:lblAlgn val="ctr"/>
        <c:lblOffset val="100"/>
      </c:catAx>
      <c:valAx>
        <c:axId val="265523200"/>
        <c:scaling>
          <c:orientation val="minMax"/>
          <c:min val="22"/>
        </c:scaling>
        <c:axPos val="l"/>
        <c:majorGridlines/>
        <c:numFmt formatCode="General" sourceLinked="1"/>
        <c:tickLblPos val="nextTo"/>
        <c:crossAx val="265509120"/>
        <c:crosses val="autoZero"/>
        <c:crossBetween val="between"/>
      </c:valAx>
    </c:plotArea>
    <c:legend>
      <c:legendPos val="r"/>
      <c:layout>
        <c:manualLayout>
          <c:xMode val="edge"/>
          <c:yMode val="edge"/>
          <c:x val="0.67153378380049"/>
          <c:y val="0.39618725271281535"/>
          <c:w val="0.30189617294378512"/>
          <c:h val="0.30712766874290165"/>
        </c:manualLayout>
      </c:layout>
    </c:legend>
    <c:plotVisOnly val="1"/>
  </c:chart>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6216533690260833E-2"/>
          <c:y val="2.4508869216792788E-2"/>
          <c:w val="0.73996312213961302"/>
          <c:h val="0.85837933316310877"/>
        </c:manualLayout>
      </c:layout>
      <c:barChart>
        <c:barDir val="col"/>
        <c:grouping val="clustered"/>
        <c:ser>
          <c:idx val="1"/>
          <c:order val="0"/>
          <c:tx>
            <c:strRef>
              <c:f>Лист1!$A$107</c:f>
              <c:strCache>
                <c:ptCount val="1"/>
                <c:pt idx="0">
                  <c:v>ВРП в текущих ценах по Докладу "Росстата"</c:v>
                </c:pt>
              </c:strCache>
            </c:strRef>
          </c:tx>
          <c:spPr>
            <a:solidFill>
              <a:srgbClr val="0066CC"/>
            </a:solidFill>
          </c:spPr>
          <c:cat>
            <c:numRef>
              <c:f>Лист1!$B$106:$L$106</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Лист1!$B$107:$L$107</c:f>
              <c:numCache>
                <c:formatCode>0.0</c:formatCode>
                <c:ptCount val="11"/>
                <c:pt idx="0">
                  <c:v>5260.2</c:v>
                </c:pt>
                <c:pt idx="1">
                  <c:v>6696.2</c:v>
                </c:pt>
                <c:pt idx="2">
                  <c:v>8248.6</c:v>
                </c:pt>
                <c:pt idx="3">
                  <c:v>7126.9</c:v>
                </c:pt>
                <c:pt idx="4">
                  <c:v>8401.7999999999975</c:v>
                </c:pt>
                <c:pt idx="5">
                  <c:v>10021.6</c:v>
                </c:pt>
                <c:pt idx="6">
                  <c:v>11095.1</c:v>
                </c:pt>
                <c:pt idx="7">
                  <c:v>11715.1</c:v>
                </c:pt>
                <c:pt idx="8">
                  <c:v>12720.08</c:v>
                </c:pt>
                <c:pt idx="9">
                  <c:v>13405</c:v>
                </c:pt>
                <c:pt idx="10">
                  <c:v>14159.2</c:v>
                </c:pt>
              </c:numCache>
            </c:numRef>
          </c:val>
        </c:ser>
        <c:ser>
          <c:idx val="3"/>
          <c:order val="3"/>
          <c:spPr>
            <a:solidFill>
              <a:schemeClr val="accent6">
                <a:lumMod val="50000"/>
              </a:schemeClr>
            </a:solidFill>
            <a:ln>
              <a:solidFill>
                <a:schemeClr val="accent6">
                  <a:lumMod val="50000"/>
                </a:schemeClr>
              </a:solidFill>
            </a:ln>
          </c:spPr>
          <c:val>
            <c:numRef>
              <c:f>Лист1!$B$108:$L$108</c:f>
              <c:numCache>
                <c:formatCode>0.0</c:formatCode>
                <c:ptCount val="11"/>
                <c:pt idx="0">
                  <c:v>590.16</c:v>
                </c:pt>
                <c:pt idx="1">
                  <c:v>775.6</c:v>
                </c:pt>
                <c:pt idx="2">
                  <c:v>962.4</c:v>
                </c:pt>
                <c:pt idx="3">
                  <c:v>742.4</c:v>
                </c:pt>
                <c:pt idx="4">
                  <c:v>732.7</c:v>
                </c:pt>
                <c:pt idx="5">
                  <c:v>843.1</c:v>
                </c:pt>
                <c:pt idx="6">
                  <c:v>994.6</c:v>
                </c:pt>
                <c:pt idx="7">
                  <c:v>1112.3</c:v>
                </c:pt>
                <c:pt idx="8">
                  <c:v>1181.2626</c:v>
                </c:pt>
                <c:pt idx="9">
                  <c:v>1258.0446690000001</c:v>
                </c:pt>
                <c:pt idx="10">
                  <c:v>1346.1077958300002</c:v>
                </c:pt>
              </c:numCache>
            </c:numRef>
          </c:val>
        </c:ser>
        <c:ser>
          <c:idx val="4"/>
          <c:order val="4"/>
          <c:tx>
            <c:strRef>
              <c:f>Лист1!$A$109</c:f>
              <c:strCache>
                <c:ptCount val="1"/>
                <c:pt idx="0">
                  <c:v>ВРП в постоянных ценах 2006г.</c:v>
                </c:pt>
              </c:strCache>
            </c:strRef>
          </c:tx>
          <c:spPr>
            <a:solidFill>
              <a:schemeClr val="tx2">
                <a:lumMod val="40000"/>
                <a:lumOff val="60000"/>
              </a:schemeClr>
            </a:solidFill>
            <a:ln>
              <a:solidFill>
                <a:schemeClr val="tx2">
                  <a:lumMod val="60000"/>
                  <a:lumOff val="40000"/>
                </a:schemeClr>
              </a:solidFill>
            </a:ln>
          </c:spPr>
          <c:val>
            <c:numRef>
              <c:f>Лист1!$B$109:$L$109</c:f>
              <c:numCache>
                <c:formatCode>0.0</c:formatCode>
                <c:ptCount val="11"/>
                <c:pt idx="1">
                  <c:v>5696.8</c:v>
                </c:pt>
                <c:pt idx="2">
                  <c:v>6135.4</c:v>
                </c:pt>
                <c:pt idx="3">
                  <c:v>5350.7</c:v>
                </c:pt>
                <c:pt idx="4">
                  <c:v>5425</c:v>
                </c:pt>
                <c:pt idx="5">
                  <c:v>5576.9</c:v>
                </c:pt>
                <c:pt idx="6">
                  <c:v>5688.45</c:v>
                </c:pt>
                <c:pt idx="7" formatCode="0.00">
                  <c:v>5893.2341999999999</c:v>
                </c:pt>
                <c:pt idx="8" formatCode="0.00">
                  <c:v>6111.2838653999997</c:v>
                </c:pt>
                <c:pt idx="9" formatCode="0.00">
                  <c:v>6349.6239361506014</c:v>
                </c:pt>
                <c:pt idx="10" formatCode="0.00">
                  <c:v>6616.3081414689259</c:v>
                </c:pt>
              </c:numCache>
            </c:numRef>
          </c:val>
        </c:ser>
        <c:ser>
          <c:idx val="7"/>
          <c:order val="7"/>
          <c:spPr>
            <a:solidFill>
              <a:schemeClr val="accent6">
                <a:lumMod val="75000"/>
              </a:schemeClr>
            </a:solidFill>
            <a:ln>
              <a:solidFill>
                <a:schemeClr val="accent6">
                  <a:lumMod val="75000"/>
                </a:schemeClr>
              </a:solidFill>
            </a:ln>
          </c:spPr>
          <c:val>
            <c:numRef>
              <c:f>Лист1!$B$110:$L$110</c:f>
              <c:numCache>
                <c:formatCode>0.0</c:formatCode>
                <c:ptCount val="11"/>
                <c:pt idx="1">
                  <c:v>654.5</c:v>
                </c:pt>
                <c:pt idx="2">
                  <c:v>670.9</c:v>
                </c:pt>
                <c:pt idx="3">
                  <c:v>512.6</c:v>
                </c:pt>
                <c:pt idx="4">
                  <c:v>491</c:v>
                </c:pt>
                <c:pt idx="5">
                  <c:v>515.6</c:v>
                </c:pt>
                <c:pt idx="6">
                  <c:v>553.4</c:v>
                </c:pt>
                <c:pt idx="7" formatCode="0.00">
                  <c:v>586.60400000000004</c:v>
                </c:pt>
                <c:pt idx="8" formatCode="0.00">
                  <c:v>623.20808960000022</c:v>
                </c:pt>
                <c:pt idx="9" formatCode="0.00">
                  <c:v>663.716615424</c:v>
                </c:pt>
                <c:pt idx="10" formatCode="0.00">
                  <c:v>710.17677850368034</c:v>
                </c:pt>
              </c:numCache>
            </c:numRef>
          </c:val>
        </c:ser>
        <c:axId val="265338880"/>
        <c:axId val="265340416"/>
      </c:barChart>
      <c:lineChart>
        <c:grouping val="standard"/>
        <c:ser>
          <c:idx val="2"/>
          <c:order val="1"/>
          <c:spPr>
            <a:ln>
              <a:solidFill>
                <a:srgbClr val="0066CC"/>
              </a:solidFill>
            </a:ln>
          </c:spPr>
          <c:marker>
            <c:symbol val="none"/>
          </c:marker>
          <c:dLbls>
            <c:dLbl>
              <c:idx val="0"/>
              <c:layout>
                <c:manualLayout>
                  <c:x val="-6.2917275746147985E-2"/>
                  <c:y val="-2.2130779156587219E-2"/>
                </c:manualLayout>
              </c:layout>
              <c:dLblPos val="r"/>
              <c:showVal val="1"/>
            </c:dLbl>
            <c:dLbl>
              <c:idx val="3"/>
              <c:layout>
                <c:manualLayout>
                  <c:x val="-5.3559062089350275E-2"/>
                  <c:y val="-2.8436812630059729E-2"/>
                </c:manualLayout>
              </c:layout>
              <c:dLblPos val="r"/>
              <c:showVal val="1"/>
            </c:dLbl>
            <c:dLbl>
              <c:idx val="4"/>
              <c:layout>
                <c:manualLayout>
                  <c:x val="-5.3559062089350282E-2"/>
                  <c:y val="-4.6013711562890802E-2"/>
                </c:manualLayout>
              </c:layout>
              <c:dLblPos val="r"/>
              <c:showVal val="1"/>
            </c:dLbl>
            <c:txPr>
              <a:bodyPr/>
              <a:lstStyle/>
              <a:p>
                <a:pPr>
                  <a:defRPr sz="1200" b="1">
                    <a:solidFill>
                      <a:srgbClr val="0066CC"/>
                    </a:solidFill>
                  </a:defRPr>
                </a:pPr>
                <a:endParaRPr lang="ru-RU"/>
              </a:p>
            </c:txPr>
            <c:dLblPos val="t"/>
            <c:showVal val="1"/>
          </c:dLbls>
          <c:val>
            <c:numRef>
              <c:f>Лист1!$B$107:$L$107</c:f>
              <c:numCache>
                <c:formatCode>0.0</c:formatCode>
                <c:ptCount val="11"/>
                <c:pt idx="0">
                  <c:v>5260.2</c:v>
                </c:pt>
                <c:pt idx="1">
                  <c:v>6696.2</c:v>
                </c:pt>
                <c:pt idx="2">
                  <c:v>8248.6</c:v>
                </c:pt>
                <c:pt idx="3">
                  <c:v>7126.9</c:v>
                </c:pt>
                <c:pt idx="4">
                  <c:v>8401.7999999999975</c:v>
                </c:pt>
                <c:pt idx="5">
                  <c:v>10021.6</c:v>
                </c:pt>
                <c:pt idx="6">
                  <c:v>11095.1</c:v>
                </c:pt>
                <c:pt idx="7">
                  <c:v>11715.1</c:v>
                </c:pt>
                <c:pt idx="8">
                  <c:v>12720.08</c:v>
                </c:pt>
                <c:pt idx="9">
                  <c:v>13405</c:v>
                </c:pt>
                <c:pt idx="10">
                  <c:v>14159.2</c:v>
                </c:pt>
              </c:numCache>
            </c:numRef>
          </c:val>
        </c:ser>
        <c:ser>
          <c:idx val="0"/>
          <c:order val="2"/>
          <c:tx>
            <c:strRef>
              <c:f>Лист1!$A$108</c:f>
              <c:strCache>
                <c:ptCount val="1"/>
                <c:pt idx="0">
                  <c:v>ИОК в текущих ценах по Докладу "Росстата"</c:v>
                </c:pt>
              </c:strCache>
            </c:strRef>
          </c:tx>
          <c:spPr>
            <a:ln>
              <a:solidFill>
                <a:srgbClr val="F79646">
                  <a:lumMod val="50000"/>
                </a:srgbClr>
              </a:solidFill>
            </a:ln>
          </c:spPr>
          <c:marker>
            <c:symbol val="none"/>
          </c:marker>
          <c:dLbls>
            <c:txPr>
              <a:bodyPr/>
              <a:lstStyle/>
              <a:p>
                <a:pPr>
                  <a:defRPr sz="1100" b="1">
                    <a:solidFill>
                      <a:schemeClr val="accent6">
                        <a:lumMod val="50000"/>
                      </a:schemeClr>
                    </a:solidFill>
                  </a:defRPr>
                </a:pPr>
                <a:endParaRPr lang="ru-RU"/>
              </a:p>
            </c:txPr>
            <c:dLblPos val="t"/>
            <c:showVal val="1"/>
          </c:dLbls>
          <c:val>
            <c:numRef>
              <c:f>Лист1!$B$108:$L$108</c:f>
              <c:numCache>
                <c:formatCode>0.0</c:formatCode>
                <c:ptCount val="11"/>
                <c:pt idx="0">
                  <c:v>590.16</c:v>
                </c:pt>
                <c:pt idx="1">
                  <c:v>775.6</c:v>
                </c:pt>
                <c:pt idx="2">
                  <c:v>962.4</c:v>
                </c:pt>
                <c:pt idx="3">
                  <c:v>742.4</c:v>
                </c:pt>
                <c:pt idx="4">
                  <c:v>732.7</c:v>
                </c:pt>
                <c:pt idx="5">
                  <c:v>843.1</c:v>
                </c:pt>
                <c:pt idx="6">
                  <c:v>994.6</c:v>
                </c:pt>
                <c:pt idx="7">
                  <c:v>1112.3</c:v>
                </c:pt>
                <c:pt idx="8">
                  <c:v>1181.2626</c:v>
                </c:pt>
                <c:pt idx="9">
                  <c:v>1258.0446690000001</c:v>
                </c:pt>
                <c:pt idx="10">
                  <c:v>1346.1077958300002</c:v>
                </c:pt>
              </c:numCache>
            </c:numRef>
          </c:val>
        </c:ser>
        <c:ser>
          <c:idx val="5"/>
          <c:order val="5"/>
          <c:spPr>
            <a:ln>
              <a:solidFill>
                <a:schemeClr val="tx2">
                  <a:lumMod val="40000"/>
                  <a:lumOff val="60000"/>
                </a:schemeClr>
              </a:solidFill>
            </a:ln>
          </c:spPr>
          <c:marker>
            <c:symbol val="none"/>
          </c:marker>
          <c:dLbls>
            <c:dLbl>
              <c:idx val="2"/>
              <c:layout>
                <c:manualLayout>
                  <c:x val="-2.9154562850958368E-2"/>
                  <c:y val="-2.8923879486906296E-2"/>
                </c:manualLayout>
              </c:layout>
              <c:dLblPos val="r"/>
              <c:showVal val="1"/>
            </c:dLbl>
            <c:dLbl>
              <c:idx val="5"/>
              <c:layout>
                <c:manualLayout>
                  <c:x val="-2.5613172855385179E-2"/>
                  <c:y val="-3.7753900027133282E-2"/>
                </c:manualLayout>
              </c:layout>
              <c:dLblPos val="r"/>
              <c:showVal val="1"/>
            </c:dLbl>
            <c:dLbl>
              <c:idx val="6"/>
              <c:layout>
                <c:manualLayout>
                  <c:x val="-2.3002702520581682E-2"/>
                  <c:y val="-3.7593215090912652E-2"/>
                </c:manualLayout>
              </c:layout>
              <c:dLblPos val="r"/>
              <c:showVal val="1"/>
            </c:dLbl>
            <c:dLbl>
              <c:idx val="7"/>
              <c:layout>
                <c:manualLayout>
                  <c:x val="-2.5764903477629608E-2"/>
                  <c:y val="-3.7650555119741004E-2"/>
                </c:manualLayout>
              </c:layout>
              <c:dLblPos val="r"/>
              <c:showVal val="1"/>
            </c:dLbl>
            <c:dLbl>
              <c:idx val="8"/>
              <c:layout>
                <c:manualLayout>
                  <c:x val="-1.9923356139132823E-2"/>
                  <c:y val="-3.2448995361737794E-2"/>
                </c:manualLayout>
              </c:layout>
              <c:dLblPos val="r"/>
              <c:showVal val="1"/>
            </c:dLbl>
            <c:dLbl>
              <c:idx val="9"/>
              <c:layout>
                <c:manualLayout>
                  <c:x val="-1.8462969304508626E-2"/>
                  <c:y val="-3.2448995361737794E-2"/>
                </c:manualLayout>
              </c:layout>
              <c:dLblPos val="r"/>
              <c:showVal val="1"/>
            </c:dLbl>
            <c:dLbl>
              <c:idx val="10"/>
              <c:layout>
                <c:manualLayout>
                  <c:x val="-2.2844129808381151E-2"/>
                  <c:y val="-2.8981288856402342E-2"/>
                </c:manualLayout>
              </c:layout>
              <c:dLblPos val="r"/>
              <c:showVal val="1"/>
            </c:dLbl>
            <c:txPr>
              <a:bodyPr/>
              <a:lstStyle/>
              <a:p>
                <a:pPr>
                  <a:defRPr sz="1100" b="1">
                    <a:solidFill>
                      <a:schemeClr val="tx1"/>
                    </a:solidFill>
                  </a:defRPr>
                </a:pPr>
                <a:endParaRPr lang="ru-RU"/>
              </a:p>
            </c:txPr>
            <c:dLblPos val="t"/>
            <c:showVal val="1"/>
          </c:dLbls>
          <c:val>
            <c:numRef>
              <c:f>Лист1!$B$109:$L$109</c:f>
              <c:numCache>
                <c:formatCode>0.0</c:formatCode>
                <c:ptCount val="11"/>
                <c:pt idx="1">
                  <c:v>5696.8</c:v>
                </c:pt>
                <c:pt idx="2">
                  <c:v>6135.4</c:v>
                </c:pt>
                <c:pt idx="3">
                  <c:v>5350.7</c:v>
                </c:pt>
                <c:pt idx="4">
                  <c:v>5425</c:v>
                </c:pt>
                <c:pt idx="5">
                  <c:v>5576.9</c:v>
                </c:pt>
                <c:pt idx="6">
                  <c:v>5688.45</c:v>
                </c:pt>
                <c:pt idx="7" formatCode="0.00">
                  <c:v>5893.2341999999999</c:v>
                </c:pt>
                <c:pt idx="8" formatCode="0.00">
                  <c:v>6111.2838653999997</c:v>
                </c:pt>
                <c:pt idx="9" formatCode="0.00">
                  <c:v>6349.6239361506014</c:v>
                </c:pt>
                <c:pt idx="10" formatCode="0.00">
                  <c:v>6616.3081414689259</c:v>
                </c:pt>
              </c:numCache>
            </c:numRef>
          </c:val>
        </c:ser>
        <c:ser>
          <c:idx val="6"/>
          <c:order val="6"/>
          <c:tx>
            <c:strRef>
              <c:f>Лист1!$A$110</c:f>
              <c:strCache>
                <c:ptCount val="1"/>
                <c:pt idx="0">
                  <c:v>ИОК в постоянных ценах 2006г.</c:v>
                </c:pt>
              </c:strCache>
            </c:strRef>
          </c:tx>
          <c:spPr>
            <a:ln>
              <a:solidFill>
                <a:schemeClr val="accent6">
                  <a:lumMod val="75000"/>
                </a:schemeClr>
              </a:solidFill>
            </a:ln>
          </c:spPr>
          <c:marker>
            <c:symbol val="none"/>
          </c:marker>
          <c:dLbls>
            <c:txPr>
              <a:bodyPr/>
              <a:lstStyle/>
              <a:p>
                <a:pPr>
                  <a:defRPr sz="1100" b="1">
                    <a:solidFill>
                      <a:schemeClr val="accent6">
                        <a:lumMod val="75000"/>
                      </a:schemeClr>
                    </a:solidFill>
                  </a:defRPr>
                </a:pPr>
                <a:endParaRPr lang="ru-RU"/>
              </a:p>
            </c:txPr>
            <c:dLblPos val="b"/>
            <c:showVal val="1"/>
          </c:dLbls>
          <c:val>
            <c:numRef>
              <c:f>Лист1!$B$110:$L$110</c:f>
              <c:numCache>
                <c:formatCode>0.0</c:formatCode>
                <c:ptCount val="11"/>
                <c:pt idx="1">
                  <c:v>654.5</c:v>
                </c:pt>
                <c:pt idx="2">
                  <c:v>670.9</c:v>
                </c:pt>
                <c:pt idx="3">
                  <c:v>512.6</c:v>
                </c:pt>
                <c:pt idx="4">
                  <c:v>491</c:v>
                </c:pt>
                <c:pt idx="5">
                  <c:v>515.6</c:v>
                </c:pt>
                <c:pt idx="6">
                  <c:v>553.4</c:v>
                </c:pt>
                <c:pt idx="7" formatCode="0.00">
                  <c:v>586.60400000000004</c:v>
                </c:pt>
                <c:pt idx="8" formatCode="0.00">
                  <c:v>623.20808960000022</c:v>
                </c:pt>
                <c:pt idx="9" formatCode="0.00">
                  <c:v>663.716615424</c:v>
                </c:pt>
                <c:pt idx="10" formatCode="0.00">
                  <c:v>710.17677850368034</c:v>
                </c:pt>
              </c:numCache>
            </c:numRef>
          </c:val>
        </c:ser>
        <c:ser>
          <c:idx val="8"/>
          <c:order val="8"/>
          <c:tx>
            <c:strRef>
              <c:f>Лист1!$A$111</c:f>
              <c:strCache>
                <c:ptCount val="1"/>
                <c:pt idx="0">
                  <c:v>Курс ЦБ по прогнозу Минэкономразвития</c:v>
                </c:pt>
              </c:strCache>
            </c:strRef>
          </c:tx>
          <c:spPr>
            <a:ln>
              <a:solidFill>
                <a:srgbClr val="1F497D">
                  <a:lumMod val="40000"/>
                  <a:lumOff val="60000"/>
                  <a:alpha val="0"/>
                </a:srgbClr>
              </a:solidFill>
            </a:ln>
          </c:spPr>
          <c:marker>
            <c:symbol val="square"/>
            <c:size val="2"/>
            <c:spPr>
              <a:solidFill>
                <a:schemeClr val="bg1"/>
              </a:solidFill>
              <a:ln>
                <a:solidFill>
                  <a:srgbClr val="1F497D">
                    <a:lumMod val="40000"/>
                    <a:lumOff val="60000"/>
                    <a:alpha val="0"/>
                  </a:srgbClr>
                </a:solidFill>
              </a:ln>
            </c:spPr>
          </c:marker>
          <c:dLbls>
            <c:dLbl>
              <c:idx val="7"/>
              <c:delete val="1"/>
            </c:dLbl>
            <c:dLbl>
              <c:idx val="8"/>
              <c:layout>
                <c:manualLayout>
                  <c:x val="-7.3658907066986926E-2"/>
                  <c:y val="-2.8818823115598566E-2"/>
                </c:manualLayout>
              </c:layout>
              <c:dLblPos val="r"/>
              <c:showVal val="1"/>
            </c:dLbl>
            <c:dLbl>
              <c:idx val="9"/>
              <c:layout>
                <c:manualLayout>
                  <c:x val="-8.4639297867617994E-2"/>
                  <c:y val="-2.8818823115598566E-2"/>
                </c:manualLayout>
              </c:layout>
              <c:dLblPos val="r"/>
              <c:showVal val="1"/>
            </c:dLbl>
            <c:dLbl>
              <c:idx val="10"/>
              <c:layout>
                <c:manualLayout>
                  <c:x val="-6.8953025295287906E-2"/>
                  <c:y val="-1.2711442835146938E-2"/>
                </c:manualLayout>
              </c:layout>
              <c:dLblPos val="r"/>
              <c:showVal val="1"/>
            </c:dLbl>
            <c:txPr>
              <a:bodyPr/>
              <a:lstStyle/>
              <a:p>
                <a:pPr>
                  <a:defRPr sz="1200" b="1">
                    <a:solidFill>
                      <a:schemeClr val="tx2">
                        <a:lumMod val="60000"/>
                        <a:lumOff val="40000"/>
                      </a:schemeClr>
                    </a:solidFill>
                  </a:defRPr>
                </a:pPr>
                <a:endParaRPr lang="ru-RU"/>
              </a:p>
            </c:txPr>
            <c:dLblPos val="t"/>
            <c:showVal val="1"/>
          </c:dLbls>
          <c:val>
            <c:numRef>
              <c:f>Лист1!$B$111:$L$111</c:f>
              <c:numCache>
                <c:formatCode>General</c:formatCode>
                <c:ptCount val="11"/>
                <c:pt idx="7" formatCode="0.0">
                  <c:v>11715.1</c:v>
                </c:pt>
                <c:pt idx="8" formatCode="0.0">
                  <c:v>13543</c:v>
                </c:pt>
                <c:pt idx="9" formatCode="0.0">
                  <c:v>14651</c:v>
                </c:pt>
                <c:pt idx="10" formatCode="0.0">
                  <c:v>15742.4</c:v>
                </c:pt>
              </c:numCache>
            </c:numRef>
          </c:val>
        </c:ser>
        <c:marker val="1"/>
        <c:axId val="265338880"/>
        <c:axId val="265340416"/>
      </c:lineChart>
      <c:catAx>
        <c:axId val="265338880"/>
        <c:scaling>
          <c:orientation val="minMax"/>
        </c:scaling>
        <c:axPos val="b"/>
        <c:numFmt formatCode="General" sourceLinked="1"/>
        <c:tickLblPos val="nextTo"/>
        <c:crossAx val="265340416"/>
        <c:crosses val="autoZero"/>
        <c:auto val="1"/>
        <c:lblAlgn val="ctr"/>
        <c:lblOffset val="100"/>
      </c:catAx>
      <c:valAx>
        <c:axId val="265340416"/>
        <c:scaling>
          <c:orientation val="minMax"/>
        </c:scaling>
        <c:axPos val="l"/>
        <c:majorGridlines/>
        <c:numFmt formatCode="0.0" sourceLinked="1"/>
        <c:tickLblPos val="nextTo"/>
        <c:crossAx val="265338880"/>
        <c:crosses val="autoZero"/>
        <c:crossBetween val="between"/>
      </c:valAx>
    </c:plotArea>
    <c:legend>
      <c:legendPos val="t"/>
      <c:legendEntry>
        <c:idx val="1"/>
        <c:delete val="1"/>
      </c:legendEntry>
      <c:legendEntry>
        <c:idx val="3"/>
        <c:delete val="1"/>
      </c:legendEntry>
      <c:legendEntry>
        <c:idx val="4"/>
        <c:delete val="1"/>
      </c:legendEntry>
      <c:legendEntry>
        <c:idx val="6"/>
        <c:delete val="1"/>
      </c:legendEntry>
      <c:layout>
        <c:manualLayout>
          <c:xMode val="edge"/>
          <c:yMode val="edge"/>
          <c:x val="9.3681706323371042E-2"/>
          <c:y val="3.0852691014317257E-2"/>
          <c:w val="0.39661978290155236"/>
          <c:h val="0.2754977122103589"/>
        </c:manualLayout>
      </c:layout>
      <c:txPr>
        <a:bodyPr/>
        <a:lstStyle/>
        <a:p>
          <a:pPr>
            <a:defRPr sz="800"/>
          </a:pPr>
          <a:endParaRPr lang="ru-RU"/>
        </a:p>
      </c:txPr>
    </c:legend>
    <c:plotVisOnly val="1"/>
    <c:dispBlanksAs val="gap"/>
  </c:chart>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306000148972607E-2"/>
          <c:y val="5.4219394450693702E-2"/>
          <c:w val="0.92768260753957865"/>
          <c:h val="0.83394833948340152"/>
        </c:manualLayout>
      </c:layout>
      <c:lineChart>
        <c:grouping val="standard"/>
        <c:ser>
          <c:idx val="1"/>
          <c:order val="0"/>
          <c:spPr>
            <a:ln w="25400">
              <a:solidFill>
                <a:srgbClr val="FFFFFF"/>
              </a:solidFill>
              <a:prstDash val="solid"/>
            </a:ln>
          </c:spPr>
          <c:marker>
            <c:symbol val="circle"/>
            <c:size val="7"/>
            <c:spPr>
              <a:solidFill>
                <a:srgbClr val="FF0000"/>
              </a:solidFill>
              <a:ln>
                <a:solidFill>
                  <a:srgbClr val="FF0000"/>
                </a:solidFill>
                <a:prstDash val="solid"/>
              </a:ln>
            </c:spPr>
          </c:marker>
          <c:dPt>
            <c:idx val="20"/>
            <c:marker>
              <c:spPr>
                <a:solidFill>
                  <a:srgbClr val="000000"/>
                </a:solidFill>
                <a:ln>
                  <a:solidFill>
                    <a:srgbClr val="000000"/>
                  </a:solidFill>
                  <a:prstDash val="solid"/>
                </a:ln>
              </c:spPr>
            </c:marker>
            <c:spPr>
              <a:ln w="25400">
                <a:solidFill>
                  <a:srgbClr val="FFFFFF"/>
                </a:solidFill>
                <a:prstDash val="solid"/>
              </a:ln>
            </c:spPr>
          </c:dPt>
          <c:dPt>
            <c:idx val="21"/>
            <c:marker>
              <c:spPr>
                <a:solidFill>
                  <a:srgbClr val="000000"/>
                </a:solidFill>
                <a:ln>
                  <a:solidFill>
                    <a:srgbClr val="000000"/>
                  </a:solidFill>
                  <a:prstDash val="solid"/>
                </a:ln>
              </c:spPr>
            </c:marker>
            <c:spPr>
              <a:ln w="25400">
                <a:solidFill>
                  <a:srgbClr val="FFFFFF"/>
                </a:solidFill>
                <a:prstDash val="solid"/>
              </a:ln>
            </c:spPr>
          </c:dPt>
          <c:dPt>
            <c:idx val="22"/>
            <c:marker>
              <c:spPr>
                <a:solidFill>
                  <a:srgbClr val="000000"/>
                </a:solidFill>
                <a:ln>
                  <a:solidFill>
                    <a:srgbClr val="000000"/>
                  </a:solidFill>
                  <a:prstDash val="solid"/>
                </a:ln>
              </c:spPr>
            </c:marker>
            <c:spPr>
              <a:ln w="25400">
                <a:solidFill>
                  <a:srgbClr val="FFFFFF"/>
                </a:solidFill>
                <a:prstDash val="solid"/>
              </a:ln>
            </c:spPr>
          </c:dPt>
          <c:dPt>
            <c:idx val="23"/>
            <c:marker>
              <c:spPr>
                <a:solidFill>
                  <a:srgbClr val="000000"/>
                </a:solidFill>
                <a:ln>
                  <a:solidFill>
                    <a:srgbClr val="000000"/>
                  </a:solidFill>
                  <a:prstDash val="solid"/>
                </a:ln>
              </c:spPr>
            </c:marker>
            <c:spPr>
              <a:ln w="25400">
                <a:solidFill>
                  <a:srgbClr val="FFFFFF"/>
                </a:solidFill>
                <a:prstDash val="solid"/>
              </a:ln>
            </c:spPr>
          </c:dPt>
          <c:dPt>
            <c:idx val="24"/>
            <c:marker>
              <c:spPr>
                <a:solidFill>
                  <a:srgbClr val="000000"/>
                </a:solidFill>
                <a:ln>
                  <a:solidFill>
                    <a:srgbClr val="000000"/>
                  </a:solidFill>
                  <a:prstDash val="solid"/>
                </a:ln>
              </c:spPr>
            </c:marker>
            <c:spPr>
              <a:ln w="25400">
                <a:solidFill>
                  <a:srgbClr val="FFFFFF"/>
                </a:solidFill>
                <a:prstDash val="solid"/>
              </a:ln>
            </c:spPr>
          </c:dPt>
          <c:dPt>
            <c:idx val="25"/>
            <c:marker>
              <c:spPr>
                <a:solidFill>
                  <a:srgbClr val="000000"/>
                </a:solidFill>
                <a:ln>
                  <a:solidFill>
                    <a:srgbClr val="000000"/>
                  </a:solidFill>
                  <a:prstDash val="solid"/>
                </a:ln>
              </c:spPr>
            </c:marker>
            <c:spPr>
              <a:ln w="25400">
                <a:solidFill>
                  <a:srgbClr val="FFFFFF"/>
                </a:solidFill>
                <a:prstDash val="solid"/>
              </a:ln>
            </c:spPr>
          </c:dPt>
          <c:dPt>
            <c:idx val="26"/>
            <c:marker>
              <c:spPr>
                <a:solidFill>
                  <a:srgbClr val="000000"/>
                </a:solidFill>
                <a:ln>
                  <a:solidFill>
                    <a:srgbClr val="000000"/>
                  </a:solidFill>
                  <a:prstDash val="solid"/>
                </a:ln>
              </c:spPr>
            </c:marker>
            <c:spPr>
              <a:ln w="25400">
                <a:solidFill>
                  <a:srgbClr val="FFFFFF"/>
                </a:solidFill>
                <a:prstDash val="solid"/>
              </a:ln>
            </c:spPr>
          </c:dPt>
          <c:dPt>
            <c:idx val="27"/>
            <c:marker>
              <c:spPr>
                <a:solidFill>
                  <a:srgbClr val="000000"/>
                </a:solidFill>
                <a:ln>
                  <a:solidFill>
                    <a:srgbClr val="000000"/>
                  </a:solidFill>
                  <a:prstDash val="solid"/>
                </a:ln>
              </c:spPr>
            </c:marker>
            <c:spPr>
              <a:ln w="25400">
                <a:solidFill>
                  <a:srgbClr val="FFFFFF"/>
                </a:solidFill>
                <a:prstDash val="solid"/>
              </a:ln>
            </c:spPr>
          </c:dPt>
          <c:dPt>
            <c:idx val="38"/>
            <c:marker>
              <c:spPr>
                <a:solidFill>
                  <a:srgbClr val="000000"/>
                </a:solidFill>
                <a:ln>
                  <a:solidFill>
                    <a:srgbClr val="000000"/>
                  </a:solidFill>
                  <a:prstDash val="solid"/>
                </a:ln>
              </c:spPr>
            </c:marker>
            <c:spPr>
              <a:ln w="25400">
                <a:solidFill>
                  <a:srgbClr val="FFFFFF"/>
                </a:solidFill>
                <a:prstDash val="solid"/>
              </a:ln>
            </c:spPr>
          </c:dPt>
          <c:cat>
            <c:numRef>
              <c:f>'МЭР Inn'!$A$6:$A$47</c:f>
              <c:numCache>
                <c:formatCode>General</c:formatCode>
                <c:ptCount val="42"/>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pt idx="41">
                  <c:v>2012</c:v>
                </c:pt>
              </c:numCache>
            </c:numRef>
          </c:cat>
          <c:val>
            <c:numRef>
              <c:f>'МЭР Inn'!$K$6:$K$47</c:f>
              <c:numCache>
                <c:formatCode>_-* #,##0.00_р_._-;\-* #,##0.00_р_._-;_-* "-"??_р_._-;_-@_-</c:formatCode>
                <c:ptCount val="42"/>
                <c:pt idx="0">
                  <c:v>0.67901234567901281</c:v>
                </c:pt>
                <c:pt idx="1">
                  <c:v>0.52054794520547942</c:v>
                </c:pt>
                <c:pt idx="2">
                  <c:v>2.1739130434782634</c:v>
                </c:pt>
                <c:pt idx="3">
                  <c:v>0.77333333333333365</c:v>
                </c:pt>
                <c:pt idx="4">
                  <c:v>0.53921568627451189</c:v>
                </c:pt>
                <c:pt idx="5">
                  <c:v>0.98000000000000009</c:v>
                </c:pt>
                <c:pt idx="6">
                  <c:v>1.3823529411764754</c:v>
                </c:pt>
                <c:pt idx="7">
                  <c:v>0.83606557377049262</c:v>
                </c:pt>
                <c:pt idx="8">
                  <c:v>2.8</c:v>
                </c:pt>
                <c:pt idx="9">
                  <c:v>1.5172413793103419</c:v>
                </c:pt>
                <c:pt idx="10">
                  <c:v>0.77500000000000235</c:v>
                </c:pt>
                <c:pt idx="11">
                  <c:v>0.83783783783783783</c:v>
                </c:pt>
                <c:pt idx="12">
                  <c:v>0.7380952380952408</c:v>
                </c:pt>
                <c:pt idx="13">
                  <c:v>1.5833333333333333</c:v>
                </c:pt>
                <c:pt idx="14">
                  <c:v>1.0294117647058807</c:v>
                </c:pt>
                <c:pt idx="15">
                  <c:v>0.47826086956521874</c:v>
                </c:pt>
                <c:pt idx="16">
                  <c:v>0.28333333333333333</c:v>
                </c:pt>
                <c:pt idx="17">
                  <c:v>0.54545454545454541</c:v>
                </c:pt>
                <c:pt idx="18">
                  <c:v>0.63414634146341564</c:v>
                </c:pt>
                <c:pt idx="20">
                  <c:v>0.33557046979866084</c:v>
                </c:pt>
                <c:pt idx="21">
                  <c:v>0.36523929471032729</c:v>
                </c:pt>
                <c:pt idx="22">
                  <c:v>0.7350427350427351</c:v>
                </c:pt>
                <c:pt idx="23">
                  <c:v>0.5267489711934179</c:v>
                </c:pt>
                <c:pt idx="24">
                  <c:v>0.39603960396039706</c:v>
                </c:pt>
                <c:pt idx="25">
                  <c:v>0.22099447513812226</c:v>
                </c:pt>
                <c:pt idx="26">
                  <c:v>0.4</c:v>
                </c:pt>
                <c:pt idx="27">
                  <c:v>0.62500000000000211</c:v>
                </c:pt>
                <c:pt idx="28">
                  <c:v>1.2075471698113263</c:v>
                </c:pt>
                <c:pt idx="29">
                  <c:v>0.57471264367816299</c:v>
                </c:pt>
                <c:pt idx="30">
                  <c:v>0.51</c:v>
                </c:pt>
                <c:pt idx="31">
                  <c:v>1.6428571428571441</c:v>
                </c:pt>
                <c:pt idx="32">
                  <c:v>0.58399999999999996</c:v>
                </c:pt>
                <c:pt idx="33">
                  <c:v>0.5255474452554747</c:v>
                </c:pt>
                <c:pt idx="34">
                  <c:v>0.58715596330275033</c:v>
                </c:pt>
                <c:pt idx="35">
                  <c:v>0.44311377245508976</c:v>
                </c:pt>
                <c:pt idx="36">
                  <c:v>0.35682819383260184</c:v>
                </c:pt>
                <c:pt idx="37">
                  <c:v>0.5656565656565653</c:v>
                </c:pt>
                <c:pt idx="38">
                  <c:v>0.49681528662420554</c:v>
                </c:pt>
                <c:pt idx="39">
                  <c:v>0.71666666666666667</c:v>
                </c:pt>
                <c:pt idx="40">
                  <c:v>0.51807228915662396</c:v>
                </c:pt>
                <c:pt idx="41">
                  <c:v>0.65454545454545821</c:v>
                </c:pt>
              </c:numCache>
            </c:numRef>
          </c:val>
        </c:ser>
        <c:ser>
          <c:idx val="0"/>
          <c:order val="1"/>
          <c:spPr>
            <a:ln w="38100">
              <a:solidFill>
                <a:srgbClr val="FF0000"/>
              </a:solidFill>
              <a:prstDash val="dash"/>
            </a:ln>
          </c:spPr>
          <c:marker>
            <c:symbol val="diamond"/>
            <c:size val="9"/>
            <c:spPr>
              <a:noFill/>
              <a:ln w="9525">
                <a:noFill/>
              </a:ln>
            </c:spPr>
          </c:marker>
          <c:dLbls>
            <c:dLbl>
              <c:idx val="0"/>
              <c:layout>
                <c:manualLayout>
                  <c:x val="-6.6242269702111695E-2"/>
                  <c:y val="-3.2520325203252036E-2"/>
                </c:manualLayout>
              </c:layout>
              <c:spPr/>
              <c:txPr>
                <a:bodyPr/>
                <a:lstStyle/>
                <a:p>
                  <a:pPr>
                    <a:defRPr sz="2400" b="1">
                      <a:solidFill>
                        <a:srgbClr val="FF0000"/>
                      </a:solidFill>
                    </a:defRPr>
                  </a:pPr>
                  <a:endParaRPr lang="ru-RU"/>
                </a:p>
              </c:txPr>
              <c:dLblPos val="r"/>
              <c:showVal val="1"/>
            </c:dLbl>
            <c:dLbl>
              <c:idx val="17"/>
              <c:layout>
                <c:manualLayout>
                  <c:x val="-0.43802445479097712"/>
                  <c:y val="-1.8626023580954422E-2"/>
                </c:manualLayout>
              </c:layout>
              <c:numFmt formatCode="_-* #,##0.00_р_._-;\-* #,##0.00_р_._-;_-* &quot;-&quot;??_р_._-;_-@_-" sourceLinked="0"/>
              <c:spPr>
                <a:noFill/>
                <a:ln w="25400">
                  <a:noFill/>
                </a:ln>
              </c:spPr>
              <c:txPr>
                <a:bodyPr/>
                <a:lstStyle/>
                <a:p>
                  <a:pPr>
                    <a:defRPr sz="1475" b="1" i="0" u="none" strike="noStrike" baseline="0">
                      <a:solidFill>
                        <a:srgbClr val="FF0000"/>
                      </a:solidFill>
                      <a:latin typeface="Arial Cyr"/>
                      <a:ea typeface="Arial Cyr"/>
                      <a:cs typeface="Arial Cyr"/>
                    </a:defRPr>
                  </a:pPr>
                  <a:endParaRPr lang="ru-RU"/>
                </a:p>
              </c:txPr>
              <c:dLblPos val="r"/>
              <c:showVal val="1"/>
            </c:dLbl>
            <c:dLbl>
              <c:idx val="21"/>
              <c:layout>
                <c:manualLayout>
                  <c:x val="-0.52601758783367458"/>
                  <c:y val="9.2250922509225248E-3"/>
                </c:manualLayout>
              </c:layout>
              <c:numFmt formatCode="_-* #,##0.00_р_._-;\-* #,##0.00_р_._-;_-* &quot;-&quot;??_р_._-;_-@_-" sourceLinked="0"/>
              <c:spPr>
                <a:noFill/>
                <a:ln w="25400">
                  <a:noFill/>
                </a:ln>
              </c:spPr>
              <c:txPr>
                <a:bodyPr/>
                <a:lstStyle/>
                <a:p>
                  <a:pPr>
                    <a:defRPr sz="1475" b="0" i="0" u="none" strike="noStrike" baseline="0">
                      <a:solidFill>
                        <a:srgbClr val="000000"/>
                      </a:solidFill>
                      <a:latin typeface="Arial Cyr"/>
                      <a:ea typeface="Arial Cyr"/>
                      <a:cs typeface="Arial Cyr"/>
                    </a:defRPr>
                  </a:pPr>
                  <a:endParaRPr lang="ru-RU"/>
                </a:p>
              </c:txPr>
              <c:dLblPos val="r"/>
              <c:showVal val="1"/>
            </c:dLbl>
            <c:delete val="1"/>
          </c:dLbls>
          <c:cat>
            <c:numRef>
              <c:f>'МЭР Inn'!$A$6:$A$46</c:f>
              <c:numCache>
                <c:formatCode>General</c:formatCode>
                <c:ptCount val="41"/>
                <c:pt idx="0">
                  <c:v>1971</c:v>
                </c:pt>
                <c:pt idx="1">
                  <c:v>1972</c:v>
                </c:pt>
                <c:pt idx="2">
                  <c:v>1973</c:v>
                </c:pt>
                <c:pt idx="3">
                  <c:v>1974</c:v>
                </c:pt>
                <c:pt idx="4">
                  <c:v>1975</c:v>
                </c:pt>
                <c:pt idx="5">
                  <c:v>1976</c:v>
                </c:pt>
                <c:pt idx="6">
                  <c:v>1977</c:v>
                </c:pt>
                <c:pt idx="7">
                  <c:v>1978</c:v>
                </c:pt>
                <c:pt idx="8">
                  <c:v>1979</c:v>
                </c:pt>
                <c:pt idx="9">
                  <c:v>1980</c:v>
                </c:pt>
                <c:pt idx="10">
                  <c:v>1981</c:v>
                </c:pt>
                <c:pt idx="11">
                  <c:v>1982</c:v>
                </c:pt>
                <c:pt idx="12">
                  <c:v>1983</c:v>
                </c:pt>
                <c:pt idx="13">
                  <c:v>1984</c:v>
                </c:pt>
                <c:pt idx="14">
                  <c:v>1985</c:v>
                </c:pt>
                <c:pt idx="15">
                  <c:v>1986</c:v>
                </c:pt>
                <c:pt idx="16">
                  <c:v>1987</c:v>
                </c:pt>
                <c:pt idx="17">
                  <c:v>1988</c:v>
                </c:pt>
                <c:pt idx="18">
                  <c:v>1989</c:v>
                </c:pt>
                <c:pt idx="19">
                  <c:v>1990</c:v>
                </c:pt>
                <c:pt idx="20">
                  <c:v>1991</c:v>
                </c:pt>
                <c:pt idx="21">
                  <c:v>1992</c:v>
                </c:pt>
                <c:pt idx="22">
                  <c:v>1993</c:v>
                </c:pt>
                <c:pt idx="23">
                  <c:v>1994</c:v>
                </c:pt>
                <c:pt idx="24">
                  <c:v>1995</c:v>
                </c:pt>
                <c:pt idx="25">
                  <c:v>1996</c:v>
                </c:pt>
                <c:pt idx="26">
                  <c:v>1997</c:v>
                </c:pt>
                <c:pt idx="27">
                  <c:v>1998</c:v>
                </c:pt>
                <c:pt idx="28">
                  <c:v>1999</c:v>
                </c:pt>
                <c:pt idx="29">
                  <c:v>2000</c:v>
                </c:pt>
                <c:pt idx="30">
                  <c:v>2001</c:v>
                </c:pt>
                <c:pt idx="31">
                  <c:v>2002</c:v>
                </c:pt>
                <c:pt idx="32">
                  <c:v>2003</c:v>
                </c:pt>
                <c:pt idx="33">
                  <c:v>2004</c:v>
                </c:pt>
                <c:pt idx="34">
                  <c:v>2005</c:v>
                </c:pt>
                <c:pt idx="35">
                  <c:v>2006</c:v>
                </c:pt>
                <c:pt idx="36">
                  <c:v>2007</c:v>
                </c:pt>
                <c:pt idx="37">
                  <c:v>2008</c:v>
                </c:pt>
                <c:pt idx="38">
                  <c:v>2009</c:v>
                </c:pt>
                <c:pt idx="39">
                  <c:v>2010</c:v>
                </c:pt>
                <c:pt idx="40">
                  <c:v>2011</c:v>
                </c:pt>
              </c:numCache>
            </c:numRef>
          </c:cat>
          <c:val>
            <c:numRef>
              <c:f>'МЭР Inn'!$L$6:$L$46</c:f>
              <c:numCache>
                <c:formatCode>_-* #,##0.00_р_._-;\-* #,##0.00_р_._-;_-* "-"??_р_._-;_-@_-</c:formatCode>
                <c:ptCount val="41"/>
                <c:pt idx="0">
                  <c:v>1.1399999999999955</c:v>
                </c:pt>
                <c:pt idx="1">
                  <c:v>1.1399999999999955</c:v>
                </c:pt>
                <c:pt idx="2">
                  <c:v>1.1399999999999955</c:v>
                </c:pt>
                <c:pt idx="3">
                  <c:v>1.1399999999999955</c:v>
                </c:pt>
                <c:pt idx="4">
                  <c:v>1.1399999999999955</c:v>
                </c:pt>
                <c:pt idx="5">
                  <c:v>1.1399999999999955</c:v>
                </c:pt>
                <c:pt idx="6">
                  <c:v>1.1399999999999955</c:v>
                </c:pt>
                <c:pt idx="7">
                  <c:v>1.1399999999999955</c:v>
                </c:pt>
                <c:pt idx="8">
                  <c:v>1.1399999999999955</c:v>
                </c:pt>
                <c:pt idx="9">
                  <c:v>1.1399999999999955</c:v>
                </c:pt>
                <c:pt idx="10">
                  <c:v>1.1399999999999955</c:v>
                </c:pt>
                <c:pt idx="11">
                  <c:v>1.1399999999999955</c:v>
                </c:pt>
                <c:pt idx="12">
                  <c:v>1.1399999999999955</c:v>
                </c:pt>
                <c:pt idx="13">
                  <c:v>1.1399999999999955</c:v>
                </c:pt>
                <c:pt idx="14">
                  <c:v>1.1399999999999955</c:v>
                </c:pt>
                <c:pt idx="15">
                  <c:v>1.1399999999999955</c:v>
                </c:pt>
              </c:numCache>
            </c:numRef>
          </c:val>
        </c:ser>
        <c:ser>
          <c:idx val="2"/>
          <c:order val="2"/>
          <c:spPr>
            <a:ln w="38100">
              <a:solidFill>
                <a:srgbClr val="FF0000"/>
              </a:solidFill>
              <a:prstDash val="solid"/>
            </a:ln>
          </c:spPr>
          <c:marker>
            <c:symbol val="triangle"/>
            <c:size val="9"/>
            <c:spPr>
              <a:noFill/>
              <a:ln w="9525">
                <a:noFill/>
              </a:ln>
            </c:spPr>
          </c:marker>
          <c:val>
            <c:numRef>
              <c:f>'МЭР Inn'!$M$6:$M$46</c:f>
              <c:numCache>
                <c:formatCode>General</c:formatCode>
                <c:ptCount val="41"/>
                <c:pt idx="18" formatCode="_-* #,##0.000_р_._-;\-* #,##0.000_р_._-;_-* &quot;-&quot;??_р_._-;_-@_-">
                  <c:v>0.56999999999999995</c:v>
                </c:pt>
                <c:pt idx="19" formatCode="_-* #,##0.000_р_._-;\-* #,##0.000_р_._-;_-* &quot;-&quot;??_р_._-;_-@_-">
                  <c:v>0.56999999999999995</c:v>
                </c:pt>
                <c:pt idx="20" formatCode="_-* #,##0.000_р_._-;\-* #,##0.000_р_._-;_-* &quot;-&quot;??_р_._-;_-@_-">
                  <c:v>0.56999999999999995</c:v>
                </c:pt>
                <c:pt idx="21" formatCode="_-* #,##0.000_р_._-;\-* #,##0.000_р_._-;_-* &quot;-&quot;??_р_._-;_-@_-">
                  <c:v>0.56999999999999995</c:v>
                </c:pt>
                <c:pt idx="22" formatCode="_-* #,##0.000_р_._-;\-* #,##0.000_р_._-;_-* &quot;-&quot;??_р_._-;_-@_-">
                  <c:v>0.56999999999999995</c:v>
                </c:pt>
                <c:pt idx="23" formatCode="_-* #,##0.000_р_._-;\-* #,##0.000_р_._-;_-* &quot;-&quot;??_р_._-;_-@_-">
                  <c:v>0.56999999999999995</c:v>
                </c:pt>
                <c:pt idx="24" formatCode="_-* #,##0.000_р_._-;\-* #,##0.000_р_._-;_-* &quot;-&quot;??_р_._-;_-@_-">
                  <c:v>0.56999999999999995</c:v>
                </c:pt>
                <c:pt idx="25" formatCode="_-* #,##0.000_р_._-;\-* #,##0.000_р_._-;_-* &quot;-&quot;??_р_._-;_-@_-">
                  <c:v>0.56999999999999995</c:v>
                </c:pt>
                <c:pt idx="26" formatCode="_-* #,##0.000_р_._-;\-* #,##0.000_р_._-;_-* &quot;-&quot;??_р_._-;_-@_-">
                  <c:v>0.56999999999999995</c:v>
                </c:pt>
                <c:pt idx="27" formatCode="_-* #,##0.000_р_._-;\-* #,##0.000_р_._-;_-* &quot;-&quot;??_р_._-;_-@_-">
                  <c:v>0.56999999999999995</c:v>
                </c:pt>
                <c:pt idx="28" formatCode="_-* #,##0.000_р_._-;\-* #,##0.000_р_._-;_-* &quot;-&quot;??_р_._-;_-@_-">
                  <c:v>0.56999999999999995</c:v>
                </c:pt>
                <c:pt idx="29" formatCode="_-* #,##0.000_р_._-;\-* #,##0.000_р_._-;_-* &quot;-&quot;??_р_._-;_-@_-">
                  <c:v>0.56999999999999995</c:v>
                </c:pt>
                <c:pt idx="30" formatCode="_-* #,##0.000_р_._-;\-* #,##0.000_р_._-;_-* &quot;-&quot;??_р_._-;_-@_-">
                  <c:v>0.56999999999999995</c:v>
                </c:pt>
                <c:pt idx="31" formatCode="_-* #,##0.000_р_._-;\-* #,##0.000_р_._-;_-* &quot;-&quot;??_р_._-;_-@_-">
                  <c:v>0.56999999999999995</c:v>
                </c:pt>
                <c:pt idx="32" formatCode="_-* #,##0.000_р_._-;\-* #,##0.000_р_._-;_-* &quot;-&quot;??_р_._-;_-@_-">
                  <c:v>0.56999999999999995</c:v>
                </c:pt>
                <c:pt idx="33" formatCode="_-* #,##0.000_р_._-;\-* #,##0.000_р_._-;_-* &quot;-&quot;??_р_._-;_-@_-">
                  <c:v>0.56999999999999995</c:v>
                </c:pt>
                <c:pt idx="34" formatCode="_-* #,##0.000_р_._-;\-* #,##0.000_р_._-;_-* &quot;-&quot;??_р_._-;_-@_-">
                  <c:v>0.56999999999999995</c:v>
                </c:pt>
                <c:pt idx="35" formatCode="_-* #,##0.000_р_._-;\-* #,##0.000_р_._-;_-* &quot;-&quot;??_р_._-;_-@_-">
                  <c:v>0.56999999999999995</c:v>
                </c:pt>
                <c:pt idx="36" formatCode="_-* #,##0.000_р_._-;\-* #,##0.000_р_._-;_-* &quot;-&quot;??_р_._-;_-@_-">
                  <c:v>0.56999999999999995</c:v>
                </c:pt>
                <c:pt idx="37" formatCode="_-* #,##0.000_р_._-;\-* #,##0.000_р_._-;_-* &quot;-&quot;??_р_._-;_-@_-">
                  <c:v>0.56999999999999995</c:v>
                </c:pt>
                <c:pt idx="38" formatCode="_-* #,##0.000_р_._-;\-* #,##0.000_р_._-;_-* &quot;-&quot;??_р_._-;_-@_-">
                  <c:v>0.56999999999999995</c:v>
                </c:pt>
                <c:pt idx="39" formatCode="_-* #,##0.000_р_._-;\-* #,##0.000_р_._-;_-* &quot;-&quot;??_р_._-;_-@_-">
                  <c:v>0.56999999999999995</c:v>
                </c:pt>
                <c:pt idx="40" formatCode="_-* #,##0.000_р_._-;\-* #,##0.000_р_._-;_-* &quot;-&quot;??_р_._-;_-@_-">
                  <c:v>0.56999999999999995</c:v>
                </c:pt>
              </c:numCache>
            </c:numRef>
          </c:val>
        </c:ser>
        <c:ser>
          <c:idx val="3"/>
          <c:order val="3"/>
          <c:spPr>
            <a:ln w="25400">
              <a:solidFill>
                <a:srgbClr val="FF0000"/>
              </a:solidFill>
              <a:prstDash val="lgDash"/>
            </a:ln>
          </c:spPr>
          <c:marker>
            <c:symbol val="x"/>
            <c:size val="7"/>
            <c:spPr>
              <a:noFill/>
              <a:ln w="9525">
                <a:noFill/>
              </a:ln>
            </c:spPr>
          </c:marker>
          <c:dLbls>
            <c:dLbl>
              <c:idx val="3"/>
              <c:layout>
                <c:manualLayout>
                  <c:x val="-0.12842579124346853"/>
                  <c:y val="5.4384116619568892E-2"/>
                </c:manualLayout>
              </c:layout>
              <c:tx>
                <c:rich>
                  <a:bodyPr/>
                  <a:lstStyle/>
                  <a:p>
                    <a:pPr>
                      <a:defRPr sz="2400" b="1" i="0" u="none" strike="noStrike" baseline="0">
                        <a:solidFill>
                          <a:srgbClr val="FF0000"/>
                        </a:solidFill>
                        <a:latin typeface="Arial Cyr"/>
                        <a:ea typeface="Arial Cyr"/>
                        <a:cs typeface="Arial Cyr"/>
                      </a:defRPr>
                    </a:pPr>
                    <a:r>
                      <a:rPr lang="ru-RU"/>
                      <a:t>0,39</a:t>
                    </a:r>
                  </a:p>
                </c:rich>
              </c:tx>
              <c:numFmt formatCode="0.00" sourceLinked="0"/>
              <c:spPr>
                <a:noFill/>
                <a:ln w="25400">
                  <a:noFill/>
                </a:ln>
              </c:spPr>
              <c:dLblPos val="r"/>
            </c:dLbl>
            <c:delete val="1"/>
          </c:dLbls>
          <c:val>
            <c:numRef>
              <c:f>'МЭР Inn'!$N$6:$N$46</c:f>
              <c:numCache>
                <c:formatCode>_-* #,##0.000_р_._-;\-* #,##0.000_р_._-;_-* "-"??_р_._-;_-@_-</c:formatCode>
                <c:ptCount val="41"/>
                <c:pt idx="0">
                  <c:v>0.56999999999999995</c:v>
                </c:pt>
                <c:pt idx="1">
                  <c:v>0.56999999999999995</c:v>
                </c:pt>
                <c:pt idx="2">
                  <c:v>0.56999999999999995</c:v>
                </c:pt>
                <c:pt idx="3">
                  <c:v>0.56999999999999995</c:v>
                </c:pt>
                <c:pt idx="4">
                  <c:v>0.56999999999999995</c:v>
                </c:pt>
                <c:pt idx="5">
                  <c:v>0.56999999999999995</c:v>
                </c:pt>
                <c:pt idx="6">
                  <c:v>0.56999999999999995</c:v>
                </c:pt>
                <c:pt idx="7">
                  <c:v>0.56999999999999995</c:v>
                </c:pt>
                <c:pt idx="8">
                  <c:v>0.56999999999999995</c:v>
                </c:pt>
                <c:pt idx="9">
                  <c:v>0.56999999999999995</c:v>
                </c:pt>
                <c:pt idx="10">
                  <c:v>0.56999999999999995</c:v>
                </c:pt>
                <c:pt idx="11">
                  <c:v>0.56999999999999995</c:v>
                </c:pt>
                <c:pt idx="12">
                  <c:v>0.56999999999999995</c:v>
                </c:pt>
                <c:pt idx="13">
                  <c:v>0.56999999999999995</c:v>
                </c:pt>
                <c:pt idx="14">
                  <c:v>0.56999999999999995</c:v>
                </c:pt>
                <c:pt idx="15">
                  <c:v>0.56999999999999995</c:v>
                </c:pt>
                <c:pt idx="16">
                  <c:v>0.56999999999999995</c:v>
                </c:pt>
                <c:pt idx="17">
                  <c:v>0.56999999999999995</c:v>
                </c:pt>
                <c:pt idx="18">
                  <c:v>0.56999999999999995</c:v>
                </c:pt>
              </c:numCache>
            </c:numRef>
          </c:val>
        </c:ser>
        <c:ser>
          <c:idx val="4"/>
          <c:order val="4"/>
          <c:spPr>
            <a:ln w="38100">
              <a:solidFill>
                <a:srgbClr val="FF0000"/>
              </a:solidFill>
              <a:prstDash val="solid"/>
            </a:ln>
          </c:spPr>
          <c:marker>
            <c:symbol val="star"/>
            <c:size val="5"/>
            <c:spPr>
              <a:noFill/>
              <a:ln w="9525">
                <a:noFill/>
              </a:ln>
            </c:spPr>
          </c:marker>
          <c:dLbls>
            <c:dLbl>
              <c:idx val="40"/>
              <c:layout>
                <c:manualLayout>
                  <c:x val="0"/>
                  <c:y val="-3.3475449715127212E-2"/>
                </c:manualLayout>
              </c:layout>
              <c:tx>
                <c:rich>
                  <a:bodyPr/>
                  <a:lstStyle/>
                  <a:p>
                    <a:pPr>
                      <a:defRPr sz="2400" b="1" i="0" u="none" strike="noStrike" baseline="0">
                        <a:solidFill>
                          <a:srgbClr val="FF0000"/>
                        </a:solidFill>
                        <a:latin typeface="Arial Cyr"/>
                        <a:ea typeface="Arial Cyr"/>
                        <a:cs typeface="Arial Cyr"/>
                      </a:defRPr>
                    </a:pPr>
                    <a:r>
                      <a:rPr lang="ru-RU" sz="2400" b="1" dirty="0"/>
                      <a:t> </a:t>
                    </a:r>
                    <a:r>
                      <a:rPr lang="ru-RU" sz="2400" b="1" dirty="0" smtClean="0"/>
                      <a:t>0,60   </a:t>
                    </a:r>
                    <a:endParaRPr lang="ru-RU" sz="2400" b="1" dirty="0"/>
                  </a:p>
                </c:rich>
              </c:tx>
              <c:spPr>
                <a:noFill/>
                <a:ln w="25400">
                  <a:noFill/>
                </a:ln>
              </c:spPr>
              <c:dLblPos val="r"/>
            </c:dLbl>
            <c:delete val="1"/>
          </c:dLbls>
          <c:val>
            <c:numRef>
              <c:f>'МЭР Inn'!$O$6:$O$46</c:f>
              <c:numCache>
                <c:formatCode>General</c:formatCode>
                <c:ptCount val="41"/>
                <c:pt idx="28" formatCode="_-* #,##0.000_р_._-;\-* #,##0.000_р_._-;_-* &quot;-&quot;??_р_._-;_-@_-">
                  <c:v>0.39000000000000112</c:v>
                </c:pt>
                <c:pt idx="29" formatCode="_-* #,##0.000_р_._-;\-* #,##0.000_р_._-;_-* &quot;-&quot;??_р_._-;_-@_-">
                  <c:v>0.39000000000000112</c:v>
                </c:pt>
                <c:pt idx="30" formatCode="_-* #,##0.000_р_._-;\-* #,##0.000_р_._-;_-* &quot;-&quot;??_р_._-;_-@_-">
                  <c:v>0.39000000000000112</c:v>
                </c:pt>
                <c:pt idx="31" formatCode="_-* #,##0.000_р_._-;\-* #,##0.000_р_._-;_-* &quot;-&quot;??_р_._-;_-@_-">
                  <c:v>0.39000000000000112</c:v>
                </c:pt>
                <c:pt idx="32" formatCode="_-* #,##0.000_р_._-;\-* #,##0.000_р_._-;_-* &quot;-&quot;??_р_._-;_-@_-">
                  <c:v>0.39000000000000112</c:v>
                </c:pt>
                <c:pt idx="33" formatCode="_-* #,##0.000_р_._-;\-* #,##0.000_р_._-;_-* &quot;-&quot;??_р_._-;_-@_-">
                  <c:v>0.39000000000000112</c:v>
                </c:pt>
                <c:pt idx="34" formatCode="_-* #,##0.000_р_._-;\-* #,##0.000_р_._-;_-* &quot;-&quot;??_р_._-;_-@_-">
                  <c:v>0.39000000000000112</c:v>
                </c:pt>
                <c:pt idx="35" formatCode="_-* #,##0.000_р_._-;\-* #,##0.000_р_._-;_-* &quot;-&quot;??_р_._-;_-@_-">
                  <c:v>0.39000000000000112</c:v>
                </c:pt>
                <c:pt idx="36" formatCode="_-* #,##0.000_р_._-;\-* #,##0.000_р_._-;_-* &quot;-&quot;??_р_._-;_-@_-">
                  <c:v>0.39000000000000112</c:v>
                </c:pt>
                <c:pt idx="37" formatCode="_-* #,##0.000_р_._-;\-* #,##0.000_р_._-;_-* &quot;-&quot;??_р_._-;_-@_-">
                  <c:v>0.39000000000000112</c:v>
                </c:pt>
                <c:pt idx="38" formatCode="_-* #,##0.000_р_._-;\-* #,##0.000_р_._-;_-* &quot;-&quot;??_р_._-;_-@_-">
                  <c:v>0.39000000000000112</c:v>
                </c:pt>
                <c:pt idx="39" formatCode="_-* #,##0.000_р_._-;\-* #,##0.000_р_._-;_-* &quot;-&quot;??_р_._-;_-@_-">
                  <c:v>0.39000000000000112</c:v>
                </c:pt>
                <c:pt idx="40" formatCode="_-* #,##0.000_р_._-;\-* #,##0.000_р_._-;_-* &quot;-&quot;??_р_._-;_-@_-">
                  <c:v>0.39000000000000112</c:v>
                </c:pt>
              </c:numCache>
            </c:numRef>
          </c:val>
        </c:ser>
        <c:ser>
          <c:idx val="5"/>
          <c:order val="5"/>
          <c:spPr>
            <a:ln w="25400">
              <a:solidFill>
                <a:srgbClr val="FF0000"/>
              </a:solidFill>
              <a:prstDash val="lgDash"/>
            </a:ln>
          </c:spPr>
          <c:marker>
            <c:symbol val="circle"/>
            <c:size val="7"/>
            <c:spPr>
              <a:noFill/>
              <a:ln w="9525">
                <a:noFill/>
              </a:ln>
            </c:spPr>
          </c:marker>
          <c:val>
            <c:numRef>
              <c:f>'МЭР Inn'!$P$6:$P$46</c:f>
              <c:numCache>
                <c:formatCode>_-* #,##0.000_р_._-;\-* #,##0.000_р_._-;_-* "-"??_р_._-;_-@_-</c:formatCode>
                <c:ptCount val="41"/>
                <c:pt idx="0">
                  <c:v>0.39000000000000112</c:v>
                </c:pt>
                <c:pt idx="1">
                  <c:v>0.39000000000000112</c:v>
                </c:pt>
                <c:pt idx="2">
                  <c:v>0.39000000000000112</c:v>
                </c:pt>
                <c:pt idx="3">
                  <c:v>0.39000000000000112</c:v>
                </c:pt>
                <c:pt idx="4">
                  <c:v>0.39000000000000112</c:v>
                </c:pt>
                <c:pt idx="5">
                  <c:v>0.39000000000000112</c:v>
                </c:pt>
                <c:pt idx="6">
                  <c:v>0.39000000000000112</c:v>
                </c:pt>
                <c:pt idx="7">
                  <c:v>0.39000000000000112</c:v>
                </c:pt>
                <c:pt idx="8">
                  <c:v>0.39000000000000112</c:v>
                </c:pt>
                <c:pt idx="9">
                  <c:v>0.39000000000000112</c:v>
                </c:pt>
                <c:pt idx="10">
                  <c:v>0.39000000000000112</c:v>
                </c:pt>
                <c:pt idx="11">
                  <c:v>0.39000000000000112</c:v>
                </c:pt>
                <c:pt idx="12">
                  <c:v>0.39000000000000112</c:v>
                </c:pt>
                <c:pt idx="13">
                  <c:v>0.39000000000000112</c:v>
                </c:pt>
                <c:pt idx="14">
                  <c:v>0.39000000000000112</c:v>
                </c:pt>
                <c:pt idx="15">
                  <c:v>0.39000000000000112</c:v>
                </c:pt>
                <c:pt idx="16">
                  <c:v>0.39000000000000112</c:v>
                </c:pt>
                <c:pt idx="17">
                  <c:v>0.39000000000000112</c:v>
                </c:pt>
                <c:pt idx="18">
                  <c:v>0.39000000000000112</c:v>
                </c:pt>
                <c:pt idx="19">
                  <c:v>0.39000000000000112</c:v>
                </c:pt>
                <c:pt idx="20">
                  <c:v>0.39000000000000112</c:v>
                </c:pt>
                <c:pt idx="21">
                  <c:v>0.39000000000000112</c:v>
                </c:pt>
                <c:pt idx="22">
                  <c:v>0.39000000000000112</c:v>
                </c:pt>
                <c:pt idx="23">
                  <c:v>0.39000000000000112</c:v>
                </c:pt>
                <c:pt idx="24">
                  <c:v>0.39000000000000112</c:v>
                </c:pt>
                <c:pt idx="25">
                  <c:v>0.39000000000000112</c:v>
                </c:pt>
                <c:pt idx="26">
                  <c:v>0.39000000000000112</c:v>
                </c:pt>
                <c:pt idx="27">
                  <c:v>0.39000000000000112</c:v>
                </c:pt>
                <c:pt idx="28">
                  <c:v>0.39000000000000112</c:v>
                </c:pt>
              </c:numCache>
            </c:numRef>
          </c:val>
        </c:ser>
        <c:ser>
          <c:idx val="6"/>
          <c:order val="6"/>
          <c:spPr>
            <a:ln w="41275">
              <a:solidFill>
                <a:schemeClr val="tx1"/>
              </a:solidFill>
            </a:ln>
          </c:spPr>
          <c:marker>
            <c:symbol val="none"/>
          </c:marker>
          <c:dLbls>
            <c:dLbl>
              <c:idx val="21"/>
              <c:layout>
                <c:manualLayout>
                  <c:x val="2.2473345277292084E-2"/>
                  <c:y val="-7.6463560334528113E-2"/>
                </c:manualLayout>
              </c:layout>
              <c:tx>
                <c:rich>
                  <a:bodyPr/>
                  <a:lstStyle/>
                  <a:p>
                    <a:r>
                      <a:rPr lang="en-US"/>
                      <a:t> 0,47   </a:t>
                    </a:r>
                  </a:p>
                </c:rich>
              </c:tx>
              <c:showVal val="1"/>
            </c:dLbl>
            <c:delete val="1"/>
            <c:txPr>
              <a:bodyPr/>
              <a:lstStyle/>
              <a:p>
                <a:pPr>
                  <a:defRPr sz="2400" b="1"/>
                </a:pPr>
                <a:endParaRPr lang="ru-RU"/>
              </a:p>
            </c:txPr>
          </c:dLbls>
          <c:val>
            <c:numRef>
              <c:f>'МЭР Inn'!$M$6:$M$47</c:f>
              <c:numCache>
                <c:formatCode>General</c:formatCode>
                <c:ptCount val="42"/>
                <c:pt idx="18" formatCode="_-* #,##0.000_р_._-;\-* #,##0.000_р_._-;_-* &quot;-&quot;??_р_._-;_-@_-">
                  <c:v>0.56999999999999995</c:v>
                </c:pt>
                <c:pt idx="19" formatCode="_-* #,##0.000_р_._-;\-* #,##0.000_р_._-;_-* &quot;-&quot;??_р_._-;_-@_-">
                  <c:v>0.56999999999999995</c:v>
                </c:pt>
                <c:pt idx="20" formatCode="_-* #,##0.000_р_._-;\-* #,##0.000_р_._-;_-* &quot;-&quot;??_р_._-;_-@_-">
                  <c:v>0.56999999999999995</c:v>
                </c:pt>
                <c:pt idx="21" formatCode="_-* #,##0.000_р_._-;\-* #,##0.000_р_._-;_-* &quot;-&quot;??_р_._-;_-@_-">
                  <c:v>0.56999999999999995</c:v>
                </c:pt>
                <c:pt idx="22" formatCode="_-* #,##0.000_р_._-;\-* #,##0.000_р_._-;_-* &quot;-&quot;??_р_._-;_-@_-">
                  <c:v>0.56999999999999995</c:v>
                </c:pt>
                <c:pt idx="23" formatCode="_-* #,##0.000_р_._-;\-* #,##0.000_р_._-;_-* &quot;-&quot;??_р_._-;_-@_-">
                  <c:v>0.56999999999999995</c:v>
                </c:pt>
                <c:pt idx="24" formatCode="_-* #,##0.000_р_._-;\-* #,##0.000_р_._-;_-* &quot;-&quot;??_р_._-;_-@_-">
                  <c:v>0.56999999999999995</c:v>
                </c:pt>
                <c:pt idx="25" formatCode="_-* #,##0.000_р_._-;\-* #,##0.000_р_._-;_-* &quot;-&quot;??_р_._-;_-@_-">
                  <c:v>0.56999999999999995</c:v>
                </c:pt>
                <c:pt idx="26" formatCode="_-* #,##0.000_р_._-;\-* #,##0.000_р_._-;_-* &quot;-&quot;??_р_._-;_-@_-">
                  <c:v>0.56999999999999995</c:v>
                </c:pt>
                <c:pt idx="27" formatCode="_-* #,##0.000_р_._-;\-* #,##0.000_р_._-;_-* &quot;-&quot;??_р_._-;_-@_-">
                  <c:v>0.56999999999999995</c:v>
                </c:pt>
                <c:pt idx="28" formatCode="_-* #,##0.000_р_._-;\-* #,##0.000_р_._-;_-* &quot;-&quot;??_р_._-;_-@_-">
                  <c:v>0.56999999999999995</c:v>
                </c:pt>
                <c:pt idx="29" formatCode="_-* #,##0.000_р_._-;\-* #,##0.000_р_._-;_-* &quot;-&quot;??_р_._-;_-@_-">
                  <c:v>0.56999999999999995</c:v>
                </c:pt>
                <c:pt idx="30" formatCode="_-* #,##0.000_р_._-;\-* #,##0.000_р_._-;_-* &quot;-&quot;??_р_._-;_-@_-">
                  <c:v>0.56999999999999995</c:v>
                </c:pt>
                <c:pt idx="31" formatCode="_-* #,##0.000_р_._-;\-* #,##0.000_р_._-;_-* &quot;-&quot;??_р_._-;_-@_-">
                  <c:v>0.56999999999999995</c:v>
                </c:pt>
                <c:pt idx="32" formatCode="_-* #,##0.000_р_._-;\-* #,##0.000_р_._-;_-* &quot;-&quot;??_р_._-;_-@_-">
                  <c:v>0.56999999999999995</c:v>
                </c:pt>
                <c:pt idx="33" formatCode="_-* #,##0.000_р_._-;\-* #,##0.000_р_._-;_-* &quot;-&quot;??_р_._-;_-@_-">
                  <c:v>0.56999999999999995</c:v>
                </c:pt>
                <c:pt idx="34" formatCode="_-* #,##0.000_р_._-;\-* #,##0.000_р_._-;_-* &quot;-&quot;??_р_._-;_-@_-">
                  <c:v>0.56999999999999995</c:v>
                </c:pt>
                <c:pt idx="35" formatCode="_-* #,##0.000_р_._-;\-* #,##0.000_р_._-;_-* &quot;-&quot;??_р_._-;_-@_-">
                  <c:v>0.56999999999999995</c:v>
                </c:pt>
                <c:pt idx="36" formatCode="_-* #,##0.000_р_._-;\-* #,##0.000_р_._-;_-* &quot;-&quot;??_р_._-;_-@_-">
                  <c:v>0.56999999999999995</c:v>
                </c:pt>
                <c:pt idx="37" formatCode="_-* #,##0.000_р_._-;\-* #,##0.000_р_._-;_-* &quot;-&quot;??_р_._-;_-@_-">
                  <c:v>0.56999999999999995</c:v>
                </c:pt>
                <c:pt idx="38" formatCode="_-* #,##0.000_р_._-;\-* #,##0.000_р_._-;_-* &quot;-&quot;??_р_._-;_-@_-">
                  <c:v>0.56999999999999995</c:v>
                </c:pt>
                <c:pt idx="39" formatCode="_-* #,##0.000_р_._-;\-* #,##0.000_р_._-;_-* &quot;-&quot;??_р_._-;_-@_-">
                  <c:v>0.56999999999999995</c:v>
                </c:pt>
                <c:pt idx="40" formatCode="_-* #,##0.000_р_._-;\-* #,##0.000_р_._-;_-* &quot;-&quot;??_р_._-;_-@_-">
                  <c:v>0.56999999999999995</c:v>
                </c:pt>
              </c:numCache>
            </c:numRef>
          </c:val>
        </c:ser>
        <c:ser>
          <c:idx val="7"/>
          <c:order val="7"/>
          <c:spPr>
            <a:ln w="41275">
              <a:solidFill>
                <a:srgbClr val="FF0000"/>
              </a:solidFill>
            </a:ln>
          </c:spPr>
          <c:marker>
            <c:symbol val="none"/>
          </c:marker>
          <c:val>
            <c:numRef>
              <c:f>'МЭР Inn'!$O$6:$O$47</c:f>
              <c:numCache>
                <c:formatCode>General</c:formatCode>
                <c:ptCount val="42"/>
                <c:pt idx="28" formatCode="_-* #,##0.000_р_._-;\-* #,##0.000_р_._-;_-* &quot;-&quot;??_р_._-;_-@_-">
                  <c:v>0.39000000000000112</c:v>
                </c:pt>
                <c:pt idx="29" formatCode="_-* #,##0.000_р_._-;\-* #,##0.000_р_._-;_-* &quot;-&quot;??_р_._-;_-@_-">
                  <c:v>0.39000000000000112</c:v>
                </c:pt>
                <c:pt idx="30" formatCode="_-* #,##0.000_р_._-;\-* #,##0.000_р_._-;_-* &quot;-&quot;??_р_._-;_-@_-">
                  <c:v>0.39000000000000112</c:v>
                </c:pt>
                <c:pt idx="31" formatCode="_-* #,##0.000_р_._-;\-* #,##0.000_р_._-;_-* &quot;-&quot;??_р_._-;_-@_-">
                  <c:v>0.39000000000000112</c:v>
                </c:pt>
                <c:pt idx="32" formatCode="_-* #,##0.000_р_._-;\-* #,##0.000_р_._-;_-* &quot;-&quot;??_р_._-;_-@_-">
                  <c:v>0.39000000000000112</c:v>
                </c:pt>
                <c:pt idx="33" formatCode="_-* #,##0.000_р_._-;\-* #,##0.000_р_._-;_-* &quot;-&quot;??_р_._-;_-@_-">
                  <c:v>0.39000000000000112</c:v>
                </c:pt>
                <c:pt idx="34" formatCode="_-* #,##0.000_р_._-;\-* #,##0.000_р_._-;_-* &quot;-&quot;??_р_._-;_-@_-">
                  <c:v>0.39000000000000112</c:v>
                </c:pt>
                <c:pt idx="35" formatCode="_-* #,##0.000_р_._-;\-* #,##0.000_р_._-;_-* &quot;-&quot;??_р_._-;_-@_-">
                  <c:v>0.39000000000000112</c:v>
                </c:pt>
                <c:pt idx="36" formatCode="_-* #,##0.000_р_._-;\-* #,##0.000_р_._-;_-* &quot;-&quot;??_р_._-;_-@_-">
                  <c:v>0.39000000000000112</c:v>
                </c:pt>
                <c:pt idx="37" formatCode="_-* #,##0.000_р_._-;\-* #,##0.000_р_._-;_-* &quot;-&quot;??_р_._-;_-@_-">
                  <c:v>0.39000000000000112</c:v>
                </c:pt>
                <c:pt idx="38" formatCode="_-* #,##0.000_р_._-;\-* #,##0.000_р_._-;_-* &quot;-&quot;??_р_._-;_-@_-">
                  <c:v>0.39000000000000112</c:v>
                </c:pt>
                <c:pt idx="39" formatCode="_-* #,##0.000_р_._-;\-* #,##0.000_р_._-;_-* &quot;-&quot;??_р_._-;_-@_-">
                  <c:v>0.39000000000000112</c:v>
                </c:pt>
                <c:pt idx="40" formatCode="_-* #,##0.000_р_._-;\-* #,##0.000_р_._-;_-* &quot;-&quot;??_р_._-;_-@_-">
                  <c:v>0.39000000000000112</c:v>
                </c:pt>
              </c:numCache>
            </c:numRef>
          </c:val>
        </c:ser>
        <c:marker val="1"/>
        <c:axId val="247702272"/>
        <c:axId val="247703808"/>
      </c:lineChart>
      <c:catAx>
        <c:axId val="247702272"/>
        <c:scaling>
          <c:orientation val="minMax"/>
        </c:scaling>
        <c:axPos val="b"/>
        <c:numFmt formatCode="General" sourceLinked="1"/>
        <c:tickLblPos val="nextTo"/>
        <c:spPr>
          <a:ln w="3175">
            <a:solidFill>
              <a:srgbClr val="000000"/>
            </a:solidFill>
            <a:prstDash val="solid"/>
          </a:ln>
        </c:spPr>
        <c:txPr>
          <a:bodyPr rot="0" vert="horz"/>
          <a:lstStyle/>
          <a:p>
            <a:pPr>
              <a:defRPr sz="1475" b="0" i="0" u="none" strike="noStrike" baseline="0">
                <a:solidFill>
                  <a:srgbClr val="000000"/>
                </a:solidFill>
                <a:latin typeface="Arial Cyr"/>
                <a:ea typeface="Arial Cyr"/>
                <a:cs typeface="Arial Cyr"/>
              </a:defRPr>
            </a:pPr>
            <a:endParaRPr lang="ru-RU"/>
          </a:p>
        </c:txPr>
        <c:crossAx val="247703808"/>
        <c:crosses val="autoZero"/>
        <c:auto val="1"/>
        <c:lblAlgn val="ctr"/>
        <c:lblOffset val="100"/>
        <c:tickLblSkip val="5"/>
        <c:tickMarkSkip val="1"/>
      </c:catAx>
      <c:valAx>
        <c:axId val="247703808"/>
        <c:scaling>
          <c:orientation val="minMax"/>
        </c:scaling>
        <c:axPos val="l"/>
        <c:majorGridlines>
          <c:spPr>
            <a:ln w="3175">
              <a:solidFill>
                <a:srgbClr val="000000"/>
              </a:solidFill>
              <a:prstDash val="solid"/>
            </a:ln>
          </c:spPr>
        </c:majorGridlines>
        <c:numFmt formatCode="0.0" sourceLinked="0"/>
        <c:tickLblPos val="nextTo"/>
        <c:spPr>
          <a:ln w="3175">
            <a:solidFill>
              <a:srgbClr val="000000"/>
            </a:solidFill>
            <a:prstDash val="solid"/>
          </a:ln>
        </c:spPr>
        <c:txPr>
          <a:bodyPr rot="0" vert="horz"/>
          <a:lstStyle/>
          <a:p>
            <a:pPr>
              <a:defRPr sz="1475" b="0" i="0" u="none" strike="noStrike" baseline="0">
                <a:solidFill>
                  <a:srgbClr val="000000"/>
                </a:solidFill>
                <a:latin typeface="Arial Cyr"/>
                <a:ea typeface="Arial Cyr"/>
                <a:cs typeface="Arial Cyr"/>
              </a:defRPr>
            </a:pPr>
            <a:endParaRPr lang="ru-RU"/>
          </a:p>
        </c:txPr>
        <c:crossAx val="247702272"/>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475" b="0" i="0" u="none" strike="noStrike" baseline="0">
          <a:solidFill>
            <a:srgbClr val="000000"/>
          </a:solidFill>
          <a:latin typeface="Arial Cyr"/>
          <a:ea typeface="Arial Cyr"/>
          <a:cs typeface="Arial Cyr"/>
        </a:defRPr>
      </a:pPr>
      <a:endParaRPr lang="ru-RU"/>
    </a:p>
  </c:txPr>
  <c:externalData r:id="rId1"/>
  <c:userShapes r:id="rId2"/>
</c:chartSpace>
</file>

<file path=word/charts/chart40.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278548826014022"/>
          <c:y val="1.9653845629648874E-2"/>
          <c:w val="0.85287326345353698"/>
          <c:h val="0.84701692288463937"/>
        </c:manualLayout>
      </c:layout>
      <c:barChart>
        <c:barDir val="col"/>
        <c:grouping val="clustered"/>
        <c:ser>
          <c:idx val="0"/>
          <c:order val="0"/>
          <c:tx>
            <c:strRef>
              <c:f>Лист1!$A$4</c:f>
              <c:strCache>
                <c:ptCount val="1"/>
                <c:pt idx="0">
                  <c:v>ИОК в текущих ценах по Докладу "Росстата"</c:v>
                </c:pt>
              </c:strCache>
            </c:strRef>
          </c:tx>
          <c:spPr>
            <a:solidFill>
              <a:srgbClr val="874107"/>
            </a:solidFill>
            <a:ln>
              <a:solidFill>
                <a:schemeClr val="accent6">
                  <a:lumMod val="60000"/>
                  <a:lumOff val="40000"/>
                </a:schemeClr>
              </a:solidFill>
            </a:ln>
          </c:spPr>
          <c:dLbls>
            <c:dLbl>
              <c:idx val="0"/>
              <c:layout>
                <c:manualLayout>
                  <c:x val="0"/>
                  <c:y val="2.2649100634531572E-2"/>
                </c:manualLayout>
              </c:layout>
              <c:showVal val="1"/>
            </c:dLbl>
            <c:txPr>
              <a:bodyPr/>
              <a:lstStyle/>
              <a:p>
                <a:pPr>
                  <a:defRPr sz="1200" b="1">
                    <a:solidFill>
                      <a:schemeClr val="accent6">
                        <a:lumMod val="50000"/>
                      </a:schemeClr>
                    </a:solidFill>
                  </a:defRPr>
                </a:pPr>
                <a:endParaRPr lang="ru-RU"/>
              </a:p>
            </c:txPr>
            <c:showVal val="1"/>
          </c:dLbls>
          <c:cat>
            <c:numRef>
              <c:f>Лист1!$B$2:$L$2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Лист1!$B$4:$L$4</c:f>
              <c:numCache>
                <c:formatCode>0.0</c:formatCode>
                <c:ptCount val="11"/>
                <c:pt idx="0">
                  <c:v>590.16</c:v>
                </c:pt>
                <c:pt idx="1">
                  <c:v>775.6</c:v>
                </c:pt>
                <c:pt idx="2">
                  <c:v>962.4</c:v>
                </c:pt>
                <c:pt idx="3">
                  <c:v>742.4</c:v>
                </c:pt>
                <c:pt idx="4">
                  <c:v>732.7</c:v>
                </c:pt>
                <c:pt idx="5">
                  <c:v>843.1</c:v>
                </c:pt>
                <c:pt idx="6">
                  <c:v>1005.4</c:v>
                </c:pt>
                <c:pt idx="7">
                  <c:v>1120.7</c:v>
                </c:pt>
                <c:pt idx="8">
                  <c:v>1190.1833999999997</c:v>
                </c:pt>
                <c:pt idx="9">
                  <c:v>1267.5453210000001</c:v>
                </c:pt>
                <c:pt idx="10">
                  <c:v>1356.2734934700002</c:v>
                </c:pt>
              </c:numCache>
            </c:numRef>
          </c:val>
        </c:ser>
        <c:ser>
          <c:idx val="2"/>
          <c:order val="2"/>
          <c:tx>
            <c:strRef>
              <c:f>Лист1!$A$10</c:f>
              <c:strCache>
                <c:ptCount val="1"/>
                <c:pt idx="0">
                  <c:v>ИОК в постоянных ценах 2006г.</c:v>
                </c:pt>
              </c:strCache>
            </c:strRef>
          </c:tx>
          <c:spPr>
            <a:solidFill>
              <a:schemeClr val="accent6">
                <a:lumMod val="75000"/>
              </a:schemeClr>
            </a:solidFill>
            <a:ln>
              <a:solidFill>
                <a:schemeClr val="accent6">
                  <a:lumMod val="75000"/>
                </a:schemeClr>
              </a:solidFill>
            </a:ln>
          </c:spPr>
          <c:dLbls>
            <c:txPr>
              <a:bodyPr/>
              <a:lstStyle/>
              <a:p>
                <a:pPr>
                  <a:defRPr sz="1200" b="1">
                    <a:solidFill>
                      <a:schemeClr val="accent6">
                        <a:lumMod val="75000"/>
                      </a:schemeClr>
                    </a:solidFill>
                  </a:defRPr>
                </a:pPr>
                <a:endParaRPr lang="ru-RU"/>
              </a:p>
            </c:txPr>
            <c:showVal val="1"/>
          </c:dLbls>
          <c:val>
            <c:numRef>
              <c:f>Лист1!$B$10:$L$10</c:f>
              <c:numCache>
                <c:formatCode>0.0</c:formatCode>
                <c:ptCount val="11"/>
                <c:pt idx="1">
                  <c:v>654.5</c:v>
                </c:pt>
                <c:pt idx="2">
                  <c:v>670.9</c:v>
                </c:pt>
                <c:pt idx="3">
                  <c:v>512.6</c:v>
                </c:pt>
                <c:pt idx="4">
                  <c:v>491</c:v>
                </c:pt>
                <c:pt idx="5">
                  <c:v>515.6</c:v>
                </c:pt>
                <c:pt idx="6">
                  <c:v>553.4</c:v>
                </c:pt>
                <c:pt idx="7" formatCode="0.00">
                  <c:v>586.60400000000004</c:v>
                </c:pt>
                <c:pt idx="8" formatCode="0.00">
                  <c:v>623.20808960000022</c:v>
                </c:pt>
                <c:pt idx="9" formatCode="0.00">
                  <c:v>663.716615424</c:v>
                </c:pt>
                <c:pt idx="10" formatCode="0.00">
                  <c:v>710.17677850368034</c:v>
                </c:pt>
              </c:numCache>
            </c:numRef>
          </c:val>
        </c:ser>
        <c:axId val="238459904"/>
        <c:axId val="238473984"/>
      </c:barChart>
      <c:lineChart>
        <c:grouping val="standard"/>
        <c:ser>
          <c:idx val="1"/>
          <c:order val="1"/>
          <c:spPr>
            <a:ln w="19050">
              <a:solidFill>
                <a:schemeClr val="accent6">
                  <a:lumMod val="50000"/>
                </a:schemeClr>
              </a:solidFill>
            </a:ln>
          </c:spPr>
          <c:marker>
            <c:symbol val="none"/>
          </c:marker>
          <c:val>
            <c:numRef>
              <c:f>Лист1!$B$6:$L$6</c:f>
              <c:numCache>
                <c:formatCode>0.0</c:formatCode>
                <c:ptCount val="11"/>
                <c:pt idx="0">
                  <c:v>590.16</c:v>
                </c:pt>
                <c:pt idx="1">
                  <c:v>775.6</c:v>
                </c:pt>
                <c:pt idx="2">
                  <c:v>962.4</c:v>
                </c:pt>
                <c:pt idx="3">
                  <c:v>742.4</c:v>
                </c:pt>
                <c:pt idx="4">
                  <c:v>732.7</c:v>
                </c:pt>
                <c:pt idx="5">
                  <c:v>843.1</c:v>
                </c:pt>
                <c:pt idx="6">
                  <c:v>1005.4</c:v>
                </c:pt>
                <c:pt idx="7">
                  <c:v>1120.7</c:v>
                </c:pt>
                <c:pt idx="8">
                  <c:v>1190.1833999999997</c:v>
                </c:pt>
                <c:pt idx="9">
                  <c:v>1267.5453210000001</c:v>
                </c:pt>
                <c:pt idx="10">
                  <c:v>1356.2734934700002</c:v>
                </c:pt>
              </c:numCache>
            </c:numRef>
          </c:val>
        </c:ser>
        <c:ser>
          <c:idx val="3"/>
          <c:order val="3"/>
          <c:spPr>
            <a:ln w="22225">
              <a:solidFill>
                <a:schemeClr val="accent6">
                  <a:lumMod val="75000"/>
                </a:schemeClr>
              </a:solidFill>
            </a:ln>
          </c:spPr>
          <c:marker>
            <c:symbol val="none"/>
          </c:marker>
          <c:val>
            <c:numRef>
              <c:f>Лист1!$B$10:$L$10</c:f>
              <c:numCache>
                <c:formatCode>0.0</c:formatCode>
                <c:ptCount val="11"/>
                <c:pt idx="1">
                  <c:v>654.5</c:v>
                </c:pt>
                <c:pt idx="2">
                  <c:v>670.9</c:v>
                </c:pt>
                <c:pt idx="3">
                  <c:v>512.6</c:v>
                </c:pt>
                <c:pt idx="4">
                  <c:v>491</c:v>
                </c:pt>
                <c:pt idx="5">
                  <c:v>515.6</c:v>
                </c:pt>
                <c:pt idx="6">
                  <c:v>553.4</c:v>
                </c:pt>
                <c:pt idx="7" formatCode="0.00">
                  <c:v>586.60400000000004</c:v>
                </c:pt>
                <c:pt idx="8" formatCode="0.00">
                  <c:v>623.20808960000022</c:v>
                </c:pt>
                <c:pt idx="9" formatCode="0.00">
                  <c:v>663.716615424</c:v>
                </c:pt>
                <c:pt idx="10" formatCode="0.00">
                  <c:v>710.17677850368034</c:v>
                </c:pt>
              </c:numCache>
            </c:numRef>
          </c:val>
        </c:ser>
        <c:ser>
          <c:idx val="4"/>
          <c:order val="4"/>
          <c:tx>
            <c:strRef>
              <c:f>Лист1!$A$18</c:f>
              <c:strCache>
                <c:ptCount val="1"/>
                <c:pt idx="0">
                  <c:v>Курс $ ЦБ по прогнозу Минэкономразвития</c:v>
                </c:pt>
              </c:strCache>
            </c:strRef>
          </c:tx>
          <c:spPr>
            <a:ln>
              <a:solidFill>
                <a:schemeClr val="accent6"/>
              </a:solidFill>
            </a:ln>
          </c:spPr>
          <c:marker>
            <c:symbol val="none"/>
          </c:marker>
          <c:dLbls>
            <c:dLbl>
              <c:idx val="1"/>
              <c:delete val="1"/>
            </c:dLbl>
            <c:dLbl>
              <c:idx val="7"/>
              <c:delete val="1"/>
            </c:dLbl>
            <c:txPr>
              <a:bodyPr/>
              <a:lstStyle/>
              <a:p>
                <a:pPr>
                  <a:defRPr sz="1100" b="1">
                    <a:solidFill>
                      <a:schemeClr val="accent6"/>
                    </a:solidFill>
                  </a:defRPr>
                </a:pPr>
                <a:endParaRPr lang="ru-RU"/>
              </a:p>
            </c:txPr>
            <c:dLblPos val="t"/>
            <c:showVal val="1"/>
          </c:dLbls>
          <c:val>
            <c:numRef>
              <c:f>Лист1!$B$18:$L$18</c:f>
              <c:numCache>
                <c:formatCode>General</c:formatCode>
                <c:ptCount val="11"/>
                <c:pt idx="1">
                  <c:v>0</c:v>
                </c:pt>
                <c:pt idx="7">
                  <c:v>1120.7</c:v>
                </c:pt>
                <c:pt idx="8">
                  <c:v>1288.2</c:v>
                </c:pt>
                <c:pt idx="9">
                  <c:v>1451.2</c:v>
                </c:pt>
                <c:pt idx="10">
                  <c:v>1639</c:v>
                </c:pt>
              </c:numCache>
            </c:numRef>
          </c:val>
        </c:ser>
        <c:marker val="1"/>
        <c:axId val="238459904"/>
        <c:axId val="238473984"/>
      </c:lineChart>
      <c:catAx>
        <c:axId val="238459904"/>
        <c:scaling>
          <c:orientation val="minMax"/>
        </c:scaling>
        <c:axPos val="b"/>
        <c:numFmt formatCode="General" sourceLinked="1"/>
        <c:tickLblPos val="nextTo"/>
        <c:crossAx val="238473984"/>
        <c:crosses val="autoZero"/>
        <c:auto val="1"/>
        <c:lblAlgn val="ctr"/>
        <c:lblOffset val="100"/>
        <c:tickLblSkip val="2"/>
      </c:catAx>
      <c:valAx>
        <c:axId val="238473984"/>
        <c:scaling>
          <c:orientation val="minMax"/>
        </c:scaling>
        <c:axPos val="l"/>
        <c:majorGridlines/>
        <c:numFmt formatCode="0.0" sourceLinked="1"/>
        <c:tickLblPos val="nextTo"/>
        <c:crossAx val="238459904"/>
        <c:crosses val="autoZero"/>
        <c:crossBetween val="between"/>
      </c:valAx>
    </c:plotArea>
    <c:legend>
      <c:legendPos val="b"/>
      <c:legendEntry>
        <c:idx val="2"/>
        <c:delete val="1"/>
      </c:legendEntry>
      <c:legendEntry>
        <c:idx val="3"/>
        <c:delete val="1"/>
      </c:legendEntry>
      <c:layout>
        <c:manualLayout>
          <c:xMode val="edge"/>
          <c:yMode val="edge"/>
          <c:x val="0.10066554473202553"/>
          <c:y val="2.7350126561509862E-2"/>
          <c:w val="0.31816952678107124"/>
          <c:h val="0.25542835334499286"/>
        </c:manualLayout>
      </c:layout>
      <c:txPr>
        <a:bodyPr/>
        <a:lstStyle/>
        <a:p>
          <a:pPr>
            <a:defRPr sz="800"/>
          </a:pPr>
          <a:endParaRPr lang="ru-RU"/>
        </a:p>
      </c:txPr>
    </c:legend>
    <c:plotVisOnly val="1"/>
    <c:dispBlanksAs val="gap"/>
  </c:chart>
  <c:externalData r:id="rId1"/>
  <c:userShapes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460386698098578E-2"/>
          <c:y val="5.1400554097404488E-2"/>
          <c:w val="0.84121985770108765"/>
          <c:h val="0.78570392242636333"/>
        </c:manualLayout>
      </c:layout>
      <c:lineChart>
        <c:grouping val="standard"/>
        <c:ser>
          <c:idx val="0"/>
          <c:order val="0"/>
          <c:tx>
            <c:strRef>
              <c:f>Лист1!$A$78</c:f>
              <c:strCache>
                <c:ptCount val="1"/>
                <c:pt idx="0">
                  <c:v>Кврпм, текущие цены (Доклад)</c:v>
                </c:pt>
              </c:strCache>
            </c:strRef>
          </c:tx>
          <c:spPr>
            <a:ln>
              <a:noFill/>
            </a:ln>
          </c:spPr>
          <c:marker>
            <c:symbol val="circle"/>
            <c:size val="7"/>
            <c:spPr>
              <a:solidFill>
                <a:schemeClr val="accent6">
                  <a:lumMod val="75000"/>
                </a:schemeClr>
              </a:solidFill>
              <a:ln>
                <a:solidFill>
                  <a:schemeClr val="accent6">
                    <a:lumMod val="75000"/>
                  </a:schemeClr>
                </a:solidFill>
              </a:ln>
            </c:spPr>
          </c:marker>
          <c:dPt>
            <c:idx val="10"/>
            <c:marker>
              <c:spPr>
                <a:solidFill>
                  <a:srgbClr val="F79646">
                    <a:lumMod val="75000"/>
                  </a:srgbClr>
                </a:solidFill>
                <a:ln>
                  <a:solidFill>
                    <a:schemeClr val="accent6">
                      <a:lumMod val="75000"/>
                    </a:schemeClr>
                  </a:solidFill>
                </a:ln>
              </c:spPr>
            </c:marker>
          </c:dPt>
          <c:dPt>
            <c:idx val="11"/>
            <c:marker>
              <c:spPr>
                <a:solidFill>
                  <a:srgbClr val="F79646">
                    <a:lumMod val="75000"/>
                    <a:alpha val="0"/>
                  </a:srgbClr>
                </a:solidFill>
                <a:ln>
                  <a:solidFill>
                    <a:schemeClr val="accent6">
                      <a:lumMod val="75000"/>
                    </a:schemeClr>
                  </a:solidFill>
                </a:ln>
              </c:spPr>
            </c:marker>
          </c:dPt>
          <c:dPt>
            <c:idx val="13"/>
            <c:marker>
              <c:spPr>
                <a:solidFill>
                  <a:srgbClr val="F79646">
                    <a:lumMod val="75000"/>
                    <a:alpha val="0"/>
                  </a:srgbClr>
                </a:solidFill>
                <a:ln>
                  <a:solidFill>
                    <a:schemeClr val="accent6">
                      <a:lumMod val="75000"/>
                    </a:schemeClr>
                  </a:solidFill>
                </a:ln>
              </c:spPr>
            </c:marker>
          </c:dPt>
          <c:dPt>
            <c:idx val="14"/>
            <c:marker>
              <c:spPr>
                <a:solidFill>
                  <a:srgbClr val="F79646">
                    <a:lumMod val="75000"/>
                    <a:alpha val="0"/>
                  </a:srgbClr>
                </a:solidFill>
                <a:ln>
                  <a:solidFill>
                    <a:schemeClr val="accent6">
                      <a:lumMod val="75000"/>
                    </a:schemeClr>
                  </a:solidFill>
                </a:ln>
              </c:spPr>
            </c:marker>
          </c:dPt>
          <c:dLbls>
            <c:dLbl>
              <c:idx val="12"/>
              <c:layout>
                <c:manualLayout>
                  <c:x val="-5.3875109361329665E-2"/>
                  <c:y val="-4.6770924467774859E-2"/>
                </c:manualLayout>
              </c:layout>
              <c:dLblPos val="r"/>
              <c:showVal val="1"/>
            </c:dLbl>
            <c:dLbl>
              <c:idx val="13"/>
              <c:layout>
                <c:manualLayout>
                  <c:x val="-5.1097331583552064E-2"/>
                  <c:y val="-4.6770924467774859E-2"/>
                </c:manualLayout>
              </c:layout>
              <c:dLblPos val="r"/>
              <c:showVal val="1"/>
            </c:dLbl>
            <c:dLbl>
              <c:idx val="14"/>
              <c:layout>
                <c:manualLayout>
                  <c:x val="-3.1178696412948386E-2"/>
                  <c:y val="5.0451297754447455E-2"/>
                </c:manualLayout>
              </c:layout>
              <c:dLblPos val="r"/>
              <c:showVal val="1"/>
            </c:dLbl>
            <c:txPr>
              <a:bodyPr/>
              <a:lstStyle/>
              <a:p>
                <a:pPr>
                  <a:defRPr b="1">
                    <a:solidFill>
                      <a:schemeClr val="accent6">
                        <a:lumMod val="75000"/>
                      </a:schemeClr>
                    </a:solidFill>
                  </a:defRPr>
                </a:pPr>
                <a:endParaRPr lang="ru-RU"/>
              </a:p>
            </c:txPr>
            <c:dLblPos val="t"/>
            <c:showVal val="1"/>
          </c:dLbls>
          <c:cat>
            <c:numRef>
              <c:f>Лист1!$B$74:$P$74</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Лист1!$B$78:$P$78</c:f>
              <c:numCache>
                <c:formatCode>General</c:formatCode>
                <c:ptCount val="15"/>
                <c:pt idx="4" formatCode="0.00">
                  <c:v>0.93352601156069337</c:v>
                </c:pt>
                <c:pt idx="5" formatCode="0.00">
                  <c:v>0.89054726368159254</c:v>
                </c:pt>
                <c:pt idx="6" formatCode="0.00">
                  <c:v>0.96678966789667942</c:v>
                </c:pt>
                <c:pt idx="7" formatCode="0.00">
                  <c:v>0.81472081218274106</c:v>
                </c:pt>
                <c:pt idx="9" formatCode="0.00">
                  <c:v>1.1327014218009481</c:v>
                </c:pt>
                <c:pt idx="10" formatCode="0.00">
                  <c:v>0.42201834862385368</c:v>
                </c:pt>
                <c:pt idx="11">
                  <c:v>0.78</c:v>
                </c:pt>
                <c:pt idx="12">
                  <c:v>0.6100000000000001</c:v>
                </c:pt>
                <c:pt idx="13">
                  <c:v>0.55000000000000004</c:v>
                </c:pt>
                <c:pt idx="14">
                  <c:v>0.5</c:v>
                </c:pt>
              </c:numCache>
            </c:numRef>
          </c:val>
        </c:ser>
        <c:ser>
          <c:idx val="1"/>
          <c:order val="1"/>
          <c:tx>
            <c:strRef>
              <c:f>Лист1!$A$79</c:f>
              <c:strCache>
                <c:ptCount val="1"/>
                <c:pt idx="0">
                  <c:v>Кврпм, постоянные цены (Росстат)</c:v>
                </c:pt>
              </c:strCache>
            </c:strRef>
          </c:tx>
          <c:spPr>
            <a:ln>
              <a:noFill/>
            </a:ln>
          </c:spPr>
          <c:marker>
            <c:symbol val="circle"/>
            <c:size val="8"/>
            <c:spPr>
              <a:solidFill>
                <a:srgbClr val="FF0000"/>
              </a:solidFill>
              <a:ln>
                <a:solidFill>
                  <a:srgbClr val="FF0000"/>
                </a:solidFill>
              </a:ln>
            </c:spPr>
          </c:marker>
          <c:dLbls>
            <c:txPr>
              <a:bodyPr/>
              <a:lstStyle/>
              <a:p>
                <a:pPr>
                  <a:defRPr b="1">
                    <a:solidFill>
                      <a:srgbClr val="FF0000"/>
                    </a:solidFill>
                  </a:defRPr>
                </a:pPr>
                <a:endParaRPr lang="ru-RU"/>
              </a:p>
            </c:txPr>
            <c:dLblPos val="b"/>
            <c:showVal val="1"/>
          </c:dLbls>
          <c:val>
            <c:numRef>
              <c:f>Лист1!$B$79:$P$79</c:f>
              <c:numCache>
                <c:formatCode>0.00</c:formatCode>
                <c:ptCount val="15"/>
                <c:pt idx="0">
                  <c:v>1.2345679012345685</c:v>
                </c:pt>
                <c:pt idx="1">
                  <c:v>1.1578947368421078</c:v>
                </c:pt>
                <c:pt idx="2">
                  <c:v>0.51063829787234039</c:v>
                </c:pt>
                <c:pt idx="3">
                  <c:v>1.2135922330097086</c:v>
                </c:pt>
                <c:pt idx="4" formatCode="General">
                  <c:v>0.93</c:v>
                </c:pt>
                <c:pt idx="5" formatCode="General">
                  <c:v>0.93</c:v>
                </c:pt>
                <c:pt idx="6" formatCode="General">
                  <c:v>0.93</c:v>
                </c:pt>
                <c:pt idx="7" formatCode="General">
                  <c:v>0.54</c:v>
                </c:pt>
                <c:pt idx="8" formatCode="General">
                  <c:v>-0.33000000000000007</c:v>
                </c:pt>
                <c:pt idx="9" formatCode="General">
                  <c:v>0.56000000000000005</c:v>
                </c:pt>
                <c:pt idx="10" formatCode="General">
                  <c:v>0.24000000000000002</c:v>
                </c:pt>
              </c:numCache>
            </c:numRef>
          </c:val>
        </c:ser>
        <c:ser>
          <c:idx val="2"/>
          <c:order val="2"/>
          <c:tx>
            <c:strRef>
              <c:f>Лист1!$A$82</c:f>
              <c:strCache>
                <c:ptCount val="1"/>
                <c:pt idx="0">
                  <c:v>Среднее значение</c:v>
                </c:pt>
              </c:strCache>
            </c:strRef>
          </c:tx>
          <c:spPr>
            <a:ln w="47625">
              <a:solidFill>
                <a:schemeClr val="accent6">
                  <a:lumMod val="75000"/>
                </a:schemeClr>
              </a:solidFill>
              <a:prstDash val="dash"/>
            </a:ln>
          </c:spPr>
          <c:marker>
            <c:symbol val="none"/>
          </c:marker>
          <c:dLbls>
            <c:dLbl>
              <c:idx val="2"/>
              <c:layout>
                <c:manualLayout>
                  <c:x val="-0.24722244094488191"/>
                  <c:y val="5.0925925925925923E-2"/>
                </c:manualLayout>
              </c:layout>
              <c:showVal val="1"/>
            </c:dLbl>
            <c:dLbl>
              <c:idx val="11"/>
              <c:layout>
                <c:manualLayout>
                  <c:x val="0.21471462706672892"/>
                  <c:y val="4.6296296296296389E-3"/>
                </c:manualLayout>
              </c:layout>
              <c:showVal val="1"/>
            </c:dLbl>
            <c:delete val="1"/>
            <c:txPr>
              <a:bodyPr/>
              <a:lstStyle/>
              <a:p>
                <a:pPr>
                  <a:defRPr sz="1400" b="1">
                    <a:solidFill>
                      <a:schemeClr val="accent6">
                        <a:lumMod val="75000"/>
                      </a:schemeClr>
                    </a:solidFill>
                  </a:defRPr>
                </a:pPr>
                <a:endParaRPr lang="ru-RU"/>
              </a:p>
            </c:txPr>
          </c:dLbls>
          <c:val>
            <c:numRef>
              <c:f>Лист1!$B$82:$Q$82</c:f>
              <c:numCache>
                <c:formatCode>General</c:formatCode>
                <c:ptCount val="16"/>
                <c:pt idx="0">
                  <c:v>0.85000000000000009</c:v>
                </c:pt>
                <c:pt idx="1">
                  <c:v>0.85000000000000009</c:v>
                </c:pt>
                <c:pt idx="2">
                  <c:v>0.85000000000000009</c:v>
                </c:pt>
                <c:pt idx="3">
                  <c:v>0.85000000000000009</c:v>
                </c:pt>
                <c:pt idx="4">
                  <c:v>0.85000000000000009</c:v>
                </c:pt>
                <c:pt idx="5">
                  <c:v>0.85000000000000009</c:v>
                </c:pt>
                <c:pt idx="6">
                  <c:v>0.85000000000000009</c:v>
                </c:pt>
                <c:pt idx="9" formatCode="0.00">
                  <c:v>0.75000000000000011</c:v>
                </c:pt>
                <c:pt idx="10" formatCode="0.00">
                  <c:v>0.75000000000000011</c:v>
                </c:pt>
                <c:pt idx="11">
                  <c:v>0.75000000000000011</c:v>
                </c:pt>
                <c:pt idx="12">
                  <c:v>0.75000000000000011</c:v>
                </c:pt>
                <c:pt idx="13">
                  <c:v>0.75000000000000011</c:v>
                </c:pt>
                <c:pt idx="14">
                  <c:v>0.75000000000000011</c:v>
                </c:pt>
                <c:pt idx="15">
                  <c:v>0.75000000000000011</c:v>
                </c:pt>
              </c:numCache>
            </c:numRef>
          </c:val>
        </c:ser>
        <c:marker val="1"/>
        <c:axId val="265696384"/>
        <c:axId val="265697920"/>
      </c:lineChart>
      <c:catAx>
        <c:axId val="265696384"/>
        <c:scaling>
          <c:orientation val="minMax"/>
        </c:scaling>
        <c:axPos val="b"/>
        <c:numFmt formatCode="General" sourceLinked="1"/>
        <c:tickLblPos val="nextTo"/>
        <c:crossAx val="265697920"/>
        <c:crosses val="autoZero"/>
        <c:auto val="1"/>
        <c:lblAlgn val="ctr"/>
        <c:lblOffset val="100"/>
        <c:tickLblSkip val="2"/>
      </c:catAx>
      <c:valAx>
        <c:axId val="265697920"/>
        <c:scaling>
          <c:orientation val="minMax"/>
        </c:scaling>
        <c:axPos val="l"/>
        <c:majorGridlines/>
        <c:numFmt formatCode="General" sourceLinked="1"/>
        <c:tickLblPos val="nextTo"/>
        <c:crossAx val="265696384"/>
        <c:crosses val="autoZero"/>
        <c:crossBetween val="between"/>
      </c:valAx>
      <c:spPr>
        <a:noFill/>
        <a:ln w="25400">
          <a:noFill/>
        </a:ln>
      </c:spPr>
    </c:plotArea>
    <c:legend>
      <c:legendPos val="b"/>
      <c:legendEntry>
        <c:idx val="2"/>
        <c:delete val="1"/>
      </c:legendEntry>
    </c:legend>
    <c:plotVisOnly val="1"/>
  </c:chart>
  <c:externalData r:id="rId1"/>
  <c:userShapes r:id="rId2"/>
</c:chartSpace>
</file>

<file path=word/charts/chart42.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10950826537963923"/>
          <c:y val="1.9135789765792211E-2"/>
          <c:w val="0.80153899709904686"/>
          <c:h val="0.89836724671370338"/>
        </c:manualLayout>
      </c:layout>
      <c:lineChart>
        <c:grouping val="standard"/>
        <c:ser>
          <c:idx val="0"/>
          <c:order val="0"/>
          <c:tx>
            <c:strRef>
              <c:f>Лист1!$B$78</c:f>
              <c:strCache>
                <c:ptCount val="1"/>
                <c:pt idx="0">
                  <c:v>Темпы ВРП</c:v>
                </c:pt>
              </c:strCache>
            </c:strRef>
          </c:tx>
          <c:spPr>
            <a:ln>
              <a:solidFill>
                <a:srgbClr val="FF0000"/>
              </a:solidFill>
            </a:ln>
          </c:spPr>
          <c:marker>
            <c:symbol val="square"/>
            <c:size val="7"/>
            <c:spPr>
              <a:solidFill>
                <a:srgbClr val="FF0000"/>
              </a:solidFill>
              <a:ln>
                <a:solidFill>
                  <a:srgbClr val="FF0000"/>
                </a:solidFill>
              </a:ln>
            </c:spPr>
          </c:marker>
          <c:dPt>
            <c:idx val="19"/>
            <c:spPr>
              <a:ln>
                <a:solidFill>
                  <a:srgbClr val="FF0000"/>
                </a:solidFill>
                <a:prstDash val="dash"/>
              </a:ln>
            </c:spPr>
          </c:dPt>
          <c:dPt>
            <c:idx val="20"/>
            <c:spPr>
              <a:ln>
                <a:solidFill>
                  <a:srgbClr val="FF0000"/>
                </a:solidFill>
                <a:prstDash val="dash"/>
              </a:ln>
            </c:spPr>
          </c:dPt>
          <c:dLbls>
            <c:dLbl>
              <c:idx val="17"/>
              <c:layout>
                <c:manualLayout>
                  <c:x val="-2.6864355981455756E-2"/>
                  <c:y val="-2.7085173604858768E-2"/>
                </c:manualLayout>
              </c:layout>
              <c:dLblPos val="r"/>
              <c:showVal val="1"/>
            </c:dLbl>
            <c:dLbl>
              <c:idx val="18"/>
              <c:layout>
                <c:manualLayout>
                  <c:x val="-2.6864355981455756E-2"/>
                  <c:y val="-2.2095568615253795E-2"/>
                </c:manualLayout>
              </c:layout>
              <c:dLblPos val="r"/>
              <c:showVal val="1"/>
            </c:dLbl>
            <c:dLbl>
              <c:idx val="19"/>
              <c:layout>
                <c:manualLayout>
                  <c:x val="-2.6864355981455756E-2"/>
                  <c:y val="-2.2095568615253795E-2"/>
                </c:manualLayout>
              </c:layout>
              <c:dLblPos val="r"/>
              <c:showVal val="1"/>
            </c:dLbl>
            <c:dLbl>
              <c:idx val="20"/>
              <c:layout>
                <c:manualLayout>
                  <c:x val="-2.5602526203087627E-2"/>
                  <c:y val="-2.0432366952052049E-2"/>
                </c:manualLayout>
              </c:layout>
              <c:dLblPos val="r"/>
              <c:showVal val="1"/>
            </c:dLbl>
            <c:txPr>
              <a:bodyPr/>
              <a:lstStyle/>
              <a:p>
                <a:pPr>
                  <a:defRPr sz="1100" b="1">
                    <a:solidFill>
                      <a:srgbClr val="FF0000"/>
                    </a:solidFill>
                  </a:defRPr>
                </a:pPr>
                <a:endParaRPr lang="ru-RU"/>
              </a:p>
            </c:txPr>
            <c:dLblPos val="b"/>
            <c:showVal val="1"/>
          </c:dLbls>
          <c:cat>
            <c:numRef>
              <c:f>Лист1!$C$77:$W$77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Лист1!$C$78:$W$78</c:f>
              <c:numCache>
                <c:formatCode>General</c:formatCode>
                <c:ptCount val="21"/>
                <c:pt idx="2" formatCode="0.00%">
                  <c:v>8.2000000000000003E-2</c:v>
                </c:pt>
                <c:pt idx="3" formatCode="0.00%">
                  <c:v>-2.3E-2</c:v>
                </c:pt>
                <c:pt idx="4" formatCode="0.00%">
                  <c:v>4.900000000000003E-2</c:v>
                </c:pt>
                <c:pt idx="5" formatCode="0.00%">
                  <c:v>6.6000000000000003E-2</c:v>
                </c:pt>
                <c:pt idx="6" formatCode="0%">
                  <c:v>7.0000000000000021E-2</c:v>
                </c:pt>
                <c:pt idx="7" formatCode="0.00%">
                  <c:v>4.900000000000003E-2</c:v>
                </c:pt>
                <c:pt idx="8" formatCode="0.00%">
                  <c:v>0.12200000000000004</c:v>
                </c:pt>
                <c:pt idx="9" formatCode="0.00%">
                  <c:v>0.13400000000000001</c:v>
                </c:pt>
                <c:pt idx="10" formatCode="0.00%">
                  <c:v>7.5999999999999998E-2</c:v>
                </c:pt>
                <c:pt idx="11" formatCode="0.00%">
                  <c:v>8.7000000000000022E-2</c:v>
                </c:pt>
                <c:pt idx="12" formatCode="0.00%">
                  <c:v>0.10500000000000002</c:v>
                </c:pt>
                <c:pt idx="13" formatCode="0.00%">
                  <c:v>8.2000000000000003E-2</c:v>
                </c:pt>
                <c:pt idx="14" formatCode="0.00%">
                  <c:v>-9.6000000000000002E-2</c:v>
                </c:pt>
                <c:pt idx="15" formatCode="0.00%">
                  <c:v>7.6999999999999999E-2</c:v>
                </c:pt>
                <c:pt idx="16" formatCode="0%">
                  <c:v>7.0000000000000021E-2</c:v>
                </c:pt>
                <c:pt idx="17" formatCode="0.00%">
                  <c:v>3.5999999999999997E-2</c:v>
                </c:pt>
                <c:pt idx="18" formatCode="0.00%">
                  <c:v>6.8000000000000019E-2</c:v>
                </c:pt>
                <c:pt idx="19" formatCode="0.00%">
                  <c:v>6.9000000000000034E-2</c:v>
                </c:pt>
                <c:pt idx="20" formatCode="0.00%">
                  <c:v>7.0000000000000021E-2</c:v>
                </c:pt>
              </c:numCache>
            </c:numRef>
          </c:val>
        </c:ser>
        <c:ser>
          <c:idx val="1"/>
          <c:order val="1"/>
          <c:tx>
            <c:strRef>
              <c:f>Лист1!$B$79</c:f>
              <c:strCache>
                <c:ptCount val="1"/>
                <c:pt idx="0">
                  <c:v>Темпы изменения ИОК</c:v>
                </c:pt>
              </c:strCache>
            </c:strRef>
          </c:tx>
          <c:spPr>
            <a:ln>
              <a:solidFill>
                <a:schemeClr val="tx1"/>
              </a:solidFill>
            </a:ln>
          </c:spPr>
          <c:marker>
            <c:symbol val="square"/>
            <c:size val="7"/>
            <c:spPr>
              <a:solidFill>
                <a:schemeClr val="tx1"/>
              </a:solidFill>
              <a:ln>
                <a:solidFill>
                  <a:schemeClr val="tx1"/>
                </a:solidFill>
              </a:ln>
            </c:spPr>
          </c:marker>
          <c:dPt>
            <c:idx val="19"/>
            <c:spPr>
              <a:ln>
                <a:solidFill>
                  <a:schemeClr val="tx1"/>
                </a:solidFill>
                <a:prstDash val="dash"/>
              </a:ln>
            </c:spPr>
          </c:dPt>
          <c:dPt>
            <c:idx val="20"/>
            <c:spPr>
              <a:ln>
                <a:solidFill>
                  <a:schemeClr val="tx1"/>
                </a:solidFill>
                <a:prstDash val="dash"/>
              </a:ln>
            </c:spPr>
          </c:dPt>
          <c:dLbls>
            <c:dLbl>
              <c:idx val="17"/>
              <c:layout>
                <c:manualLayout>
                  <c:x val="-2.8444822618030552E-2"/>
                  <c:y val="2.6070751551066598E-2"/>
                </c:manualLayout>
              </c:layout>
              <c:dLblPos val="r"/>
              <c:showVal val="1"/>
            </c:dLbl>
            <c:dLbl>
              <c:idx val="18"/>
              <c:layout>
                <c:manualLayout>
                  <c:x val="-2.3397503504558336E-2"/>
                  <c:y val="3.2723558203873196E-2"/>
                </c:manualLayout>
              </c:layout>
              <c:dLblPos val="r"/>
              <c:showVal val="1"/>
            </c:dLbl>
            <c:dLbl>
              <c:idx val="19"/>
              <c:layout>
                <c:manualLayout>
                  <c:x val="-2.4659333282926597E-2"/>
                  <c:y val="2.6070751551066598E-2"/>
                </c:manualLayout>
              </c:layout>
              <c:dLblPos val="r"/>
              <c:showVal val="1"/>
            </c:dLbl>
            <c:dLbl>
              <c:idx val="20"/>
              <c:layout>
                <c:manualLayout>
                  <c:x val="-1.2041035499245943E-2"/>
                  <c:y val="2.9397154877469842E-2"/>
                </c:manualLayout>
              </c:layout>
              <c:dLblPos val="r"/>
              <c:showVal val="1"/>
            </c:dLbl>
            <c:txPr>
              <a:bodyPr/>
              <a:lstStyle/>
              <a:p>
                <a:pPr>
                  <a:defRPr sz="1200" b="1"/>
                </a:pPr>
                <a:endParaRPr lang="ru-RU"/>
              </a:p>
            </c:txPr>
            <c:dLblPos val="t"/>
            <c:showVal val="1"/>
          </c:dLbls>
          <c:cat>
            <c:numRef>
              <c:f>Лист1!$C$77:$W$77</c:f>
              <c:numCache>
                <c:formatCode>General</c:formatCode>
                <c:ptCount val="21"/>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numCache>
            </c:numRef>
          </c:cat>
          <c:val>
            <c:numRef>
              <c:f>Лист1!$C$79:$W$79</c:f>
              <c:numCache>
                <c:formatCode>0.00%</c:formatCode>
                <c:ptCount val="21"/>
                <c:pt idx="0">
                  <c:v>-0.14800000000000008</c:v>
                </c:pt>
                <c:pt idx="1">
                  <c:v>-0.30400000000000021</c:v>
                </c:pt>
                <c:pt idx="2">
                  <c:v>-6.8000000000000019E-2</c:v>
                </c:pt>
                <c:pt idx="3">
                  <c:v>0.501</c:v>
                </c:pt>
                <c:pt idx="4">
                  <c:v>0.129</c:v>
                </c:pt>
                <c:pt idx="5">
                  <c:v>1.4999999999999998E-2</c:v>
                </c:pt>
                <c:pt idx="6">
                  <c:v>-0.17300000000000001</c:v>
                </c:pt>
                <c:pt idx="7">
                  <c:v>0.18800000000000008</c:v>
                </c:pt>
                <c:pt idx="8">
                  <c:v>0.26800000000000002</c:v>
                </c:pt>
                <c:pt idx="9">
                  <c:v>0.26800000000000002</c:v>
                </c:pt>
                <c:pt idx="10">
                  <c:v>-1.4999999999999998E-2</c:v>
                </c:pt>
                <c:pt idx="11">
                  <c:v>0.12200000000000004</c:v>
                </c:pt>
                <c:pt idx="12">
                  <c:v>0.45800000000000002</c:v>
                </c:pt>
                <c:pt idx="13">
                  <c:v>8.0000000000000071E-3</c:v>
                </c:pt>
                <c:pt idx="14">
                  <c:v>-0.26700000000000002</c:v>
                </c:pt>
                <c:pt idx="15">
                  <c:v>-1.7000000000000001E-2</c:v>
                </c:pt>
                <c:pt idx="16">
                  <c:v>-8.1000000000000003E-2</c:v>
                </c:pt>
                <c:pt idx="17">
                  <c:v>4.0000000000000027E-3</c:v>
                </c:pt>
                <c:pt idx="18">
                  <c:v>3.4000000000000002E-2</c:v>
                </c:pt>
                <c:pt idx="19">
                  <c:v>3.7999999999999999E-2</c:v>
                </c:pt>
                <c:pt idx="20">
                  <c:v>4.3999999999999997E-2</c:v>
                </c:pt>
              </c:numCache>
            </c:numRef>
          </c:val>
        </c:ser>
        <c:marker val="1"/>
        <c:axId val="265579520"/>
        <c:axId val="265741056"/>
      </c:lineChart>
      <c:catAx>
        <c:axId val="265579520"/>
        <c:scaling>
          <c:orientation val="minMax"/>
        </c:scaling>
        <c:axPos val="b"/>
        <c:numFmt formatCode="General" sourceLinked="1"/>
        <c:tickLblPos val="nextTo"/>
        <c:crossAx val="265741056"/>
        <c:crosses val="autoZero"/>
        <c:auto val="1"/>
        <c:lblAlgn val="ctr"/>
        <c:lblOffset val="100"/>
        <c:tickLblSkip val="2"/>
      </c:catAx>
      <c:valAx>
        <c:axId val="265741056"/>
        <c:scaling>
          <c:orientation val="minMax"/>
        </c:scaling>
        <c:axPos val="l"/>
        <c:majorGridlines/>
        <c:numFmt formatCode="General" sourceLinked="1"/>
        <c:tickLblPos val="nextTo"/>
        <c:crossAx val="265579520"/>
        <c:crosses val="autoZero"/>
        <c:crossBetween val="between"/>
      </c:valAx>
    </c:plotArea>
    <c:legend>
      <c:legendPos val="b"/>
    </c:legend>
    <c:plotVisOnly val="1"/>
  </c:chart>
  <c:externalData r:id="rId1"/>
  <c:userShapes r:id="rId2"/>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621733569777846E-2"/>
          <c:y val="2.2316622482491201E-2"/>
          <c:w val="0.85104595391324322"/>
          <c:h val="0.95536675503501756"/>
        </c:manualLayout>
      </c:layout>
      <c:scatterChart>
        <c:scatterStyle val="lineMarker"/>
        <c:ser>
          <c:idx val="0"/>
          <c:order val="0"/>
          <c:tx>
            <c:strRef>
              <c:f>Лист1!$D$84</c:f>
              <c:strCache>
                <c:ptCount val="1"/>
                <c:pt idx="0">
                  <c:v>Кврпмо</c:v>
                </c:pt>
              </c:strCache>
            </c:strRef>
          </c:tx>
          <c:spPr>
            <a:ln w="28575">
              <a:noFill/>
            </a:ln>
          </c:spPr>
          <c:marker>
            <c:symbol val="circle"/>
            <c:size val="7"/>
            <c:spPr>
              <a:solidFill>
                <a:srgbClr val="FF0000"/>
              </a:solidFill>
              <a:ln>
                <a:solidFill>
                  <a:srgbClr val="FF0000"/>
                </a:solidFill>
              </a:ln>
            </c:spPr>
          </c:marker>
          <c:dPt>
            <c:idx val="0"/>
            <c:marker>
              <c:spPr>
                <a:solidFill>
                  <a:schemeClr val="tx1"/>
                </a:solidFill>
                <a:ln>
                  <a:solidFill>
                    <a:schemeClr val="tx1">
                      <a:lumMod val="95000"/>
                      <a:lumOff val="5000"/>
                    </a:schemeClr>
                  </a:solidFill>
                </a:ln>
              </c:spPr>
            </c:marker>
          </c:dPt>
          <c:dPt>
            <c:idx val="4"/>
            <c:marker>
              <c:spPr>
                <a:solidFill>
                  <a:schemeClr val="tx1"/>
                </a:solidFill>
                <a:ln>
                  <a:solidFill>
                    <a:schemeClr val="tx1"/>
                  </a:solidFill>
                </a:ln>
              </c:spPr>
            </c:marker>
          </c:dPt>
          <c:dPt>
            <c:idx val="8"/>
            <c:marker>
              <c:spPr>
                <a:solidFill>
                  <a:schemeClr val="tx1"/>
                </a:solidFill>
                <a:ln>
                  <a:solidFill>
                    <a:schemeClr val="tx1"/>
                  </a:solidFill>
                </a:ln>
              </c:spPr>
            </c:marker>
          </c:dPt>
          <c:dPt>
            <c:idx val="12"/>
            <c:marker>
              <c:spPr>
                <a:solidFill>
                  <a:schemeClr val="tx1"/>
                </a:solidFill>
                <a:ln>
                  <a:solidFill>
                    <a:schemeClr val="tx1"/>
                  </a:solidFill>
                </a:ln>
              </c:spPr>
            </c:marker>
          </c:dPt>
          <c:dPt>
            <c:idx val="13"/>
            <c:marker>
              <c:spPr>
                <a:solidFill>
                  <a:schemeClr val="tx1"/>
                </a:solidFill>
                <a:ln>
                  <a:solidFill>
                    <a:schemeClr val="tx1"/>
                  </a:solidFill>
                </a:ln>
              </c:spPr>
            </c:marker>
          </c:dPt>
          <c:dPt>
            <c:idx val="14"/>
            <c:marker>
              <c:spPr>
                <a:solidFill>
                  <a:schemeClr val="tx1"/>
                </a:solidFill>
                <a:ln>
                  <a:solidFill>
                    <a:schemeClr val="tx1"/>
                  </a:solidFill>
                </a:ln>
              </c:spPr>
            </c:marker>
          </c:dPt>
          <c:dPt>
            <c:idx val="16"/>
            <c:marker>
              <c:spPr>
                <a:solidFill>
                  <a:srgbClr val="FF0000">
                    <a:alpha val="0"/>
                  </a:srgbClr>
                </a:solidFill>
                <a:ln>
                  <a:solidFill>
                    <a:srgbClr val="FF0000"/>
                  </a:solidFill>
                </a:ln>
              </c:spPr>
            </c:marker>
          </c:dPt>
          <c:dPt>
            <c:idx val="17"/>
            <c:marker>
              <c:spPr>
                <a:solidFill>
                  <a:srgbClr val="FF0000">
                    <a:alpha val="0"/>
                  </a:srgbClr>
                </a:solidFill>
                <a:ln>
                  <a:solidFill>
                    <a:srgbClr val="FF0000"/>
                  </a:solidFill>
                </a:ln>
              </c:spPr>
            </c:marker>
          </c:dPt>
          <c:dPt>
            <c:idx val="18"/>
            <c:marker>
              <c:spPr>
                <a:solidFill>
                  <a:srgbClr val="FF0000">
                    <a:alpha val="0"/>
                  </a:srgbClr>
                </a:solidFill>
                <a:ln>
                  <a:solidFill>
                    <a:srgbClr val="FF0000"/>
                  </a:solidFill>
                </a:ln>
              </c:spPr>
            </c:marker>
          </c:dPt>
          <c:dLbls>
            <c:dLbl>
              <c:idx val="0"/>
              <c:spPr/>
              <c:txPr>
                <a:bodyPr/>
                <a:lstStyle/>
                <a:p>
                  <a:pPr>
                    <a:defRPr sz="1100" b="1">
                      <a:solidFill>
                        <a:sysClr val="windowText" lastClr="000000"/>
                      </a:solidFill>
                    </a:defRPr>
                  </a:pPr>
                  <a:endParaRPr lang="ru-RU"/>
                </a:p>
              </c:txPr>
            </c:dLbl>
            <c:dLbl>
              <c:idx val="4"/>
              <c:spPr/>
              <c:txPr>
                <a:bodyPr/>
                <a:lstStyle/>
                <a:p>
                  <a:pPr>
                    <a:defRPr sz="1100" b="1">
                      <a:solidFill>
                        <a:sysClr val="windowText" lastClr="000000"/>
                      </a:solidFill>
                    </a:defRPr>
                  </a:pPr>
                  <a:endParaRPr lang="ru-RU"/>
                </a:p>
              </c:txPr>
            </c:dLbl>
            <c:dLbl>
              <c:idx val="8"/>
              <c:spPr/>
              <c:txPr>
                <a:bodyPr/>
                <a:lstStyle/>
                <a:p>
                  <a:pPr>
                    <a:defRPr sz="1100" b="1">
                      <a:solidFill>
                        <a:sysClr val="windowText" lastClr="000000"/>
                      </a:solidFill>
                    </a:defRPr>
                  </a:pPr>
                  <a:endParaRPr lang="ru-RU"/>
                </a:p>
              </c:txPr>
            </c:dLbl>
            <c:dLbl>
              <c:idx val="12"/>
              <c:spPr/>
              <c:txPr>
                <a:bodyPr/>
                <a:lstStyle/>
                <a:p>
                  <a:pPr>
                    <a:defRPr sz="1100" b="1">
                      <a:solidFill>
                        <a:sysClr val="windowText" lastClr="000000"/>
                      </a:solidFill>
                    </a:defRPr>
                  </a:pPr>
                  <a:endParaRPr lang="ru-RU"/>
                </a:p>
              </c:txPr>
            </c:dLbl>
            <c:dLbl>
              <c:idx val="13"/>
              <c:spPr/>
              <c:txPr>
                <a:bodyPr/>
                <a:lstStyle/>
                <a:p>
                  <a:pPr>
                    <a:defRPr sz="1100" b="1">
                      <a:solidFill>
                        <a:sysClr val="windowText" lastClr="000000"/>
                      </a:solidFill>
                    </a:defRPr>
                  </a:pPr>
                  <a:endParaRPr lang="ru-RU"/>
                </a:p>
              </c:txPr>
            </c:dLbl>
            <c:dLbl>
              <c:idx val="14"/>
              <c:spPr/>
              <c:txPr>
                <a:bodyPr/>
                <a:lstStyle/>
                <a:p>
                  <a:pPr>
                    <a:defRPr sz="1100" b="1">
                      <a:solidFill>
                        <a:sysClr val="windowText" lastClr="000000"/>
                      </a:solidFill>
                    </a:defRPr>
                  </a:pPr>
                  <a:endParaRPr lang="ru-RU"/>
                </a:p>
              </c:txPr>
            </c:dLbl>
            <c:txPr>
              <a:bodyPr/>
              <a:lstStyle/>
              <a:p>
                <a:pPr>
                  <a:defRPr sz="1100" b="1">
                    <a:solidFill>
                      <a:srgbClr val="FF0000"/>
                    </a:solidFill>
                  </a:defRPr>
                </a:pPr>
                <a:endParaRPr lang="ru-RU"/>
              </a:p>
            </c:txPr>
            <c:dLblPos val="t"/>
            <c:showVal val="1"/>
          </c:dLbls>
          <c:xVal>
            <c:numRef>
              <c:f>Лист1!$E$83:$W$83</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xVal>
          <c:yVal>
            <c:numRef>
              <c:f>Лист1!$E$84:$W$84</c:f>
              <c:numCache>
                <c:formatCode>0.00</c:formatCode>
                <c:ptCount val="19"/>
                <c:pt idx="0">
                  <c:v>-1.2058823529411757</c:v>
                </c:pt>
                <c:pt idx="1">
                  <c:v>-4.5908183632734516E-2</c:v>
                </c:pt>
                <c:pt idx="2">
                  <c:v>0.37984496124031053</c:v>
                </c:pt>
                <c:pt idx="3">
                  <c:v>4.4000000000000004</c:v>
                </c:pt>
                <c:pt idx="4">
                  <c:v>-0.40462427745664775</c:v>
                </c:pt>
                <c:pt idx="5">
                  <c:v>0.26063829787234061</c:v>
                </c:pt>
                <c:pt idx="6">
                  <c:v>0.45522388059701491</c:v>
                </c:pt>
                <c:pt idx="7">
                  <c:v>0.5</c:v>
                </c:pt>
                <c:pt idx="8">
                  <c:v>-5.0666666666666664</c:v>
                </c:pt>
                <c:pt idx="9">
                  <c:v>0.71311475409836067</c:v>
                </c:pt>
                <c:pt idx="10">
                  <c:v>0.22925764192139741</c:v>
                </c:pt>
                <c:pt idx="11">
                  <c:v>10.25</c:v>
                </c:pt>
                <c:pt idx="12">
                  <c:v>0.35955056179775313</c:v>
                </c:pt>
                <c:pt idx="13">
                  <c:v>-4.5294117647058805</c:v>
                </c:pt>
                <c:pt idx="14">
                  <c:v>-0.86419753086419804</c:v>
                </c:pt>
                <c:pt idx="15">
                  <c:v>9</c:v>
                </c:pt>
                <c:pt idx="16">
                  <c:v>2</c:v>
                </c:pt>
                <c:pt idx="17">
                  <c:v>1.8157894736842106</c:v>
                </c:pt>
                <c:pt idx="18">
                  <c:v>1.5909090909090904</c:v>
                </c:pt>
              </c:numCache>
            </c:numRef>
          </c:yVal>
        </c:ser>
        <c:ser>
          <c:idx val="1"/>
          <c:order val="1"/>
          <c:tx>
            <c:strRef>
              <c:f>Лист1!$D$85</c:f>
              <c:strCache>
                <c:ptCount val="1"/>
                <c:pt idx="0">
                  <c:v>Кврпмо 0,34</c:v>
                </c:pt>
              </c:strCache>
            </c:strRef>
          </c:tx>
          <c:spPr>
            <a:ln w="28575">
              <a:noFill/>
            </a:ln>
          </c:spPr>
          <c:marker>
            <c:symbol val="circle"/>
            <c:size val="8"/>
            <c:spPr>
              <a:noFill/>
              <a:ln w="25400">
                <a:solidFill>
                  <a:srgbClr val="FF0000"/>
                </a:solidFill>
              </a:ln>
            </c:spPr>
          </c:marker>
          <c:xVal>
            <c:numRef>
              <c:f>Лист1!$E$83:$W$83</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xVal>
          <c:yVal>
            <c:numRef>
              <c:f>Лист1!$E$85:$W$85</c:f>
              <c:numCache>
                <c:formatCode>General</c:formatCode>
                <c:ptCount val="19"/>
                <c:pt idx="16">
                  <c:v>0.34</c:v>
                </c:pt>
                <c:pt idx="17">
                  <c:v>0.34</c:v>
                </c:pt>
                <c:pt idx="18">
                  <c:v>0.34</c:v>
                </c:pt>
              </c:numCache>
            </c:numRef>
          </c:yVal>
        </c:ser>
        <c:axId val="265454720"/>
        <c:axId val="265456640"/>
      </c:scatterChart>
      <c:valAx>
        <c:axId val="265454720"/>
        <c:scaling>
          <c:orientation val="minMax"/>
        </c:scaling>
        <c:axPos val="b"/>
        <c:numFmt formatCode="General" sourceLinked="1"/>
        <c:tickLblPos val="nextTo"/>
        <c:crossAx val="265456640"/>
        <c:crosses val="autoZero"/>
        <c:crossBetween val="midCat"/>
      </c:valAx>
      <c:valAx>
        <c:axId val="265456640"/>
        <c:scaling>
          <c:orientation val="minMax"/>
        </c:scaling>
        <c:axPos val="l"/>
        <c:majorGridlines/>
        <c:numFmt formatCode="0.00" sourceLinked="1"/>
        <c:tickLblPos val="nextTo"/>
        <c:crossAx val="265454720"/>
        <c:crosses val="autoZero"/>
        <c:crossBetween val="midCat"/>
      </c:valAx>
    </c:plotArea>
    <c:legend>
      <c:legendPos val="r"/>
      <c:legendEntry>
        <c:idx val="1"/>
        <c:delete val="1"/>
      </c:legendEntry>
    </c:legend>
    <c:plotVisOnly val="1"/>
  </c:chart>
  <c:externalData r:id="rId1"/>
  <c:userShapes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0.2708377747139008"/>
          <c:y val="1.813351579172217E-2"/>
        </c:manualLayout>
      </c:layout>
    </c:title>
    <c:plotArea>
      <c:layout>
        <c:manualLayout>
          <c:layoutTarget val="inner"/>
          <c:xMode val="edge"/>
          <c:yMode val="edge"/>
          <c:x val="5.3032123660752287E-2"/>
          <c:y val="0.15694997460945734"/>
          <c:w val="0.81288568991219567"/>
          <c:h val="0.80163744771736156"/>
        </c:manualLayout>
      </c:layout>
      <c:scatterChart>
        <c:scatterStyle val="lineMarker"/>
        <c:ser>
          <c:idx val="0"/>
          <c:order val="0"/>
          <c:tx>
            <c:strRef>
              <c:f>Лист1!$D$87</c:f>
              <c:strCache>
                <c:ptCount val="1"/>
                <c:pt idx="0">
                  <c:v>Кврпмо оср.</c:v>
                </c:pt>
              </c:strCache>
            </c:strRef>
          </c:tx>
          <c:spPr>
            <a:ln w="25400">
              <a:noFill/>
            </a:ln>
          </c:spPr>
          <c:marker>
            <c:symbol val="circle"/>
            <c:size val="7"/>
            <c:spPr>
              <a:solidFill>
                <a:srgbClr val="FF0000"/>
              </a:solidFill>
              <a:ln>
                <a:solidFill>
                  <a:srgbClr val="FF0000"/>
                </a:solidFill>
              </a:ln>
            </c:spPr>
          </c:marker>
          <c:dPt>
            <c:idx val="16"/>
            <c:marker>
              <c:spPr>
                <a:noFill/>
                <a:ln>
                  <a:solidFill>
                    <a:srgbClr val="FF0000"/>
                  </a:solidFill>
                </a:ln>
              </c:spPr>
            </c:marker>
          </c:dPt>
          <c:dPt>
            <c:idx val="17"/>
            <c:marker>
              <c:spPr>
                <a:noFill/>
                <a:ln>
                  <a:solidFill>
                    <a:srgbClr val="FF0000"/>
                  </a:solidFill>
                </a:ln>
              </c:spPr>
            </c:marker>
          </c:dPt>
          <c:dPt>
            <c:idx val="18"/>
            <c:marker>
              <c:spPr>
                <a:noFill/>
                <a:ln>
                  <a:solidFill>
                    <a:srgbClr val="FF0000"/>
                  </a:solidFill>
                </a:ln>
              </c:spPr>
            </c:marker>
          </c:dPt>
          <c:dLbls>
            <c:txPr>
              <a:bodyPr/>
              <a:lstStyle/>
              <a:p>
                <a:pPr>
                  <a:defRPr sz="1100" b="1">
                    <a:solidFill>
                      <a:srgbClr val="FF0000"/>
                    </a:solidFill>
                  </a:defRPr>
                </a:pPr>
                <a:endParaRPr lang="ru-RU"/>
              </a:p>
            </c:txPr>
            <c:dLblPos val="t"/>
            <c:showVal val="1"/>
          </c:dLbls>
          <c:xVal>
            <c:numRef>
              <c:f>Лист1!$E$86:$W$86</c:f>
              <c:numCache>
                <c:formatCode>General</c:formatCode>
                <c:ptCount val="19"/>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numCache>
            </c:numRef>
          </c:xVal>
          <c:yVal>
            <c:numRef>
              <c:f>Лист1!$E$87:$W$87</c:f>
              <c:numCache>
                <c:formatCode>0.00</c:formatCode>
                <c:ptCount val="19"/>
                <c:pt idx="0">
                  <c:v>-1.2058823529411757</c:v>
                </c:pt>
                <c:pt idx="1">
                  <c:v>0.14000000000000001</c:v>
                </c:pt>
                <c:pt idx="2">
                  <c:v>0.14000000000000001</c:v>
                </c:pt>
                <c:pt idx="3">
                  <c:v>0.14000000000000001</c:v>
                </c:pt>
                <c:pt idx="4">
                  <c:v>-0.40462427745664775</c:v>
                </c:pt>
                <c:pt idx="5">
                  <c:v>0.26063829787234061</c:v>
                </c:pt>
                <c:pt idx="6">
                  <c:v>0.45522388059701491</c:v>
                </c:pt>
                <c:pt idx="7">
                  <c:v>0.5</c:v>
                </c:pt>
                <c:pt idx="9">
                  <c:v>0.47000000000000008</c:v>
                </c:pt>
                <c:pt idx="10">
                  <c:v>0.47000000000000008</c:v>
                </c:pt>
                <c:pt idx="11">
                  <c:v>0.47000000000000008</c:v>
                </c:pt>
                <c:pt idx="12">
                  <c:v>0.35955056179775313</c:v>
                </c:pt>
                <c:pt idx="14">
                  <c:v>-0.86419753086419804</c:v>
                </c:pt>
                <c:pt idx="16">
                  <c:v>2</c:v>
                </c:pt>
                <c:pt idx="17">
                  <c:v>1.8157894736842106</c:v>
                </c:pt>
                <c:pt idx="18">
                  <c:v>1.5909090909090904</c:v>
                </c:pt>
              </c:numCache>
            </c:numRef>
          </c:yVal>
        </c:ser>
        <c:axId val="265482624"/>
        <c:axId val="265484160"/>
      </c:scatterChart>
      <c:valAx>
        <c:axId val="265482624"/>
        <c:scaling>
          <c:orientation val="minMax"/>
        </c:scaling>
        <c:axPos val="b"/>
        <c:numFmt formatCode="General" sourceLinked="1"/>
        <c:tickLblPos val="nextTo"/>
        <c:crossAx val="265484160"/>
        <c:crosses val="autoZero"/>
        <c:crossBetween val="midCat"/>
      </c:valAx>
      <c:valAx>
        <c:axId val="265484160"/>
        <c:scaling>
          <c:orientation val="minMax"/>
        </c:scaling>
        <c:axPos val="l"/>
        <c:majorGridlines/>
        <c:numFmt formatCode="0.00" sourceLinked="1"/>
        <c:tickLblPos val="nextTo"/>
        <c:crossAx val="265482624"/>
        <c:crosses val="autoZero"/>
        <c:crossBetween val="midCat"/>
      </c:valAx>
    </c:plotArea>
    <c:plotVisOnly val="1"/>
  </c:chart>
  <c:externalData r:id="rId1"/>
  <c:userShapes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4.5751070454468884E-2"/>
          <c:y val="0.10432066060682368"/>
          <c:w val="0.86791024567571662"/>
          <c:h val="0.80589141871863756"/>
        </c:manualLayout>
      </c:layout>
      <c:lineChart>
        <c:grouping val="standard"/>
        <c:ser>
          <c:idx val="0"/>
          <c:order val="0"/>
          <c:tx>
            <c:strRef>
              <c:f>Лист1!$B$112</c:f>
              <c:strCache>
                <c:ptCount val="1"/>
                <c:pt idx="0">
                  <c:v>β</c:v>
                </c:pt>
              </c:strCache>
            </c:strRef>
          </c:tx>
          <c:dLbls>
            <c:txPr>
              <a:bodyPr/>
              <a:lstStyle/>
              <a:p>
                <a:pPr>
                  <a:defRPr sz="1200"/>
                </a:pPr>
                <a:endParaRPr lang="ru-RU"/>
              </a:p>
            </c:txPr>
            <c:dLblPos val="t"/>
            <c:showVal val="1"/>
          </c:dLbls>
          <c:cat>
            <c:numRef>
              <c:f>Лист1!$C$111:$S$111</c:f>
              <c:numCache>
                <c:formatCode>General</c:formatCode>
                <c:ptCount val="17"/>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Лист1!$C$112:$S$112</c:f>
              <c:numCache>
                <c:formatCode>0.000</c:formatCode>
                <c:ptCount val="17"/>
                <c:pt idx="0">
                  <c:v>0.2249071996929958</c:v>
                </c:pt>
                <c:pt idx="1">
                  <c:v>0.20280762068471567</c:v>
                </c:pt>
                <c:pt idx="2">
                  <c:v>0.23586999955600996</c:v>
                </c:pt>
                <c:pt idx="3">
                  <c:v>0.25117778847965838</c:v>
                </c:pt>
                <c:pt idx="4">
                  <c:v>0.24620929723122775</c:v>
                </c:pt>
                <c:pt idx="5">
                  <c:v>0.22526393821890578</c:v>
                </c:pt>
                <c:pt idx="6">
                  <c:v>0.24217484487902691</c:v>
                </c:pt>
                <c:pt idx="7">
                  <c:v>0.27356082184809138</c:v>
                </c:pt>
                <c:pt idx="8">
                  <c:v>0.29503183646112463</c:v>
                </c:pt>
                <c:pt idx="9">
                  <c:v>0.27205513260269376</c:v>
                </c:pt>
                <c:pt idx="10">
                  <c:v>0.26686064185521446</c:v>
                </c:pt>
                <c:pt idx="11">
                  <c:v>0.32366163735941111</c:v>
                </c:pt>
                <c:pt idx="12">
                  <c:v>0.32000910102228097</c:v>
                </c:pt>
                <c:pt idx="13">
                  <c:v>0.31106247217688227</c:v>
                </c:pt>
                <c:pt idx="14">
                  <c:v>0.31661566433208427</c:v>
                </c:pt>
                <c:pt idx="15">
                  <c:v>0.28861862406970507</c:v>
                </c:pt>
                <c:pt idx="16">
                  <c:v>0.27295380303515832</c:v>
                </c:pt>
              </c:numCache>
            </c:numRef>
          </c:val>
        </c:ser>
        <c:marker val="1"/>
        <c:axId val="265610752"/>
        <c:axId val="265612288"/>
      </c:lineChart>
      <c:catAx>
        <c:axId val="265610752"/>
        <c:scaling>
          <c:orientation val="minMax"/>
        </c:scaling>
        <c:axPos val="b"/>
        <c:numFmt formatCode="General" sourceLinked="1"/>
        <c:tickLblPos val="nextTo"/>
        <c:crossAx val="265612288"/>
        <c:crosses val="autoZero"/>
        <c:auto val="1"/>
        <c:lblAlgn val="ctr"/>
        <c:lblOffset val="100"/>
        <c:tickLblSkip val="2"/>
      </c:catAx>
      <c:valAx>
        <c:axId val="265612288"/>
        <c:scaling>
          <c:orientation val="minMax"/>
        </c:scaling>
        <c:axPos val="l"/>
        <c:majorGridlines/>
        <c:numFmt formatCode="0.000" sourceLinked="1"/>
        <c:tickLblPos val="nextTo"/>
        <c:crossAx val="265610752"/>
        <c:crosses val="autoZero"/>
        <c:crossBetween val="between"/>
      </c:valAx>
    </c:plotArea>
    <c:legend>
      <c:legendPos val="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0485844845140574E-2"/>
          <c:y val="2.1274290821767496E-2"/>
          <c:w val="0.73156113334069361"/>
          <c:h val="0.82533330758325651"/>
        </c:manualLayout>
      </c:layout>
      <c:lineChart>
        <c:grouping val="standard"/>
        <c:ser>
          <c:idx val="2"/>
          <c:order val="0"/>
          <c:tx>
            <c:strRef>
              <c:f>Лист1!$A$129</c:f>
              <c:strCache>
                <c:ptCount val="1"/>
                <c:pt idx="0">
                  <c:v>ИОКмр к 1998</c:v>
                </c:pt>
              </c:strCache>
            </c:strRef>
          </c:tx>
          <c:spPr>
            <a:ln>
              <a:solidFill>
                <a:schemeClr val="tx1"/>
              </a:solidFill>
            </a:ln>
          </c:spPr>
          <c:marker>
            <c:symbol val="square"/>
            <c:size val="5"/>
            <c:spPr>
              <a:solidFill>
                <a:schemeClr val="tx1"/>
              </a:solidFill>
              <a:ln>
                <a:solidFill>
                  <a:prstClr val="black"/>
                </a:solidFill>
              </a:ln>
            </c:spPr>
          </c:marker>
          <c:dLbls>
            <c:txPr>
              <a:bodyPr/>
              <a:lstStyle/>
              <a:p>
                <a:pPr>
                  <a:defRPr sz="1100" b="1"/>
                </a:pPr>
                <a:endParaRPr lang="ru-RU"/>
              </a:p>
            </c:txPr>
            <c:dLblPos val="b"/>
            <c:showVal val="1"/>
          </c:dLbls>
          <c:cat>
            <c:numRef>
              <c:f>Лист1!$B$126:$S$126</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Лист1!$B$129:$S$129</c:f>
              <c:numCache>
                <c:formatCode>0.00</c:formatCode>
                <c:ptCount val="18"/>
                <c:pt idx="0">
                  <c:v>0.51464296414734312</c:v>
                </c:pt>
                <c:pt idx="1">
                  <c:v>0.74928054878613759</c:v>
                </c:pt>
                <c:pt idx="2">
                  <c:v>0.77348598513349565</c:v>
                </c:pt>
                <c:pt idx="3">
                  <c:v>1</c:v>
                </c:pt>
                <c:pt idx="4">
                  <c:v>1.0611045292344958</c:v>
                </c:pt>
                <c:pt idx="5">
                  <c:v>1.2066460148049158</c:v>
                </c:pt>
                <c:pt idx="6">
                  <c:v>1.0894380653536724</c:v>
                </c:pt>
                <c:pt idx="7">
                  <c:v>1.205041336838516</c:v>
                </c:pt>
                <c:pt idx="8">
                  <c:v>1.354946255552812</c:v>
                </c:pt>
                <c:pt idx="9">
                  <c:v>1.5949098531035815</c:v>
                </c:pt>
                <c:pt idx="10">
                  <c:v>1.7015553802120005</c:v>
                </c:pt>
                <c:pt idx="11">
                  <c:v>1.9457598314928284</c:v>
                </c:pt>
                <c:pt idx="12">
                  <c:v>2.3462223392122121</c:v>
                </c:pt>
                <c:pt idx="13">
                  <c:v>2.3914995166915332</c:v>
                </c:pt>
                <c:pt idx="14">
                  <c:v>1.8025145925453419</c:v>
                </c:pt>
                <c:pt idx="15">
                  <c:v>1.7413454562759558</c:v>
                </c:pt>
                <c:pt idx="16">
                  <c:v>1.7538222880813452</c:v>
                </c:pt>
                <c:pt idx="17">
                  <c:v>1.8603266174258399</c:v>
                </c:pt>
              </c:numCache>
            </c:numRef>
          </c:val>
        </c:ser>
        <c:ser>
          <c:idx val="3"/>
          <c:order val="1"/>
          <c:tx>
            <c:strRef>
              <c:f>Лист1!$A$130</c:f>
              <c:strCache>
                <c:ptCount val="1"/>
                <c:pt idx="0">
                  <c:v>ВРПмр к 1998</c:v>
                </c:pt>
              </c:strCache>
            </c:strRef>
          </c:tx>
          <c:spPr>
            <a:ln>
              <a:solidFill>
                <a:srgbClr val="FF0000"/>
              </a:solidFill>
            </a:ln>
          </c:spPr>
          <c:marker>
            <c:symbol val="square"/>
            <c:size val="7"/>
            <c:spPr>
              <a:solidFill>
                <a:srgbClr val="FF0000"/>
              </a:solidFill>
              <a:ln>
                <a:solidFill>
                  <a:srgbClr val="FF0000"/>
                </a:solidFill>
              </a:ln>
            </c:spPr>
          </c:marker>
          <c:dLbls>
            <c:txPr>
              <a:bodyPr/>
              <a:lstStyle/>
              <a:p>
                <a:pPr>
                  <a:defRPr sz="1050" b="1">
                    <a:solidFill>
                      <a:srgbClr val="FF0000"/>
                    </a:solidFill>
                  </a:defRPr>
                </a:pPr>
                <a:endParaRPr lang="ru-RU"/>
              </a:p>
            </c:txPr>
            <c:dLblPos val="t"/>
            <c:showVal val="1"/>
          </c:dLbls>
          <c:cat>
            <c:numRef>
              <c:f>Лист1!$B$126:$S$126</c:f>
              <c:numCache>
                <c:formatCode>General</c:formatCod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numCache>
            </c:numRef>
          </c:cat>
          <c:val>
            <c:numRef>
              <c:f>Лист1!$B$130:$S$130</c:f>
              <c:numCache>
                <c:formatCode>0.00</c:formatCode>
                <c:ptCount val="18"/>
                <c:pt idx="1">
                  <c:v>0.9641841543951678</c:v>
                </c:pt>
                <c:pt idx="2">
                  <c:v>1.0655847016444693</c:v>
                </c:pt>
                <c:pt idx="3">
                  <c:v>1</c:v>
                </c:pt>
                <c:pt idx="4">
                  <c:v>1.0641049364717889</c:v>
                </c:pt>
                <c:pt idx="5">
                  <c:v>1.2387698030515568</c:v>
                </c:pt>
                <c:pt idx="6">
                  <c:v>1.2851025654997492</c:v>
                </c:pt>
                <c:pt idx="7">
                  <c:v>1.4011031019941698</c:v>
                </c:pt>
                <c:pt idx="8">
                  <c:v>1.5331486391951739</c:v>
                </c:pt>
                <c:pt idx="9">
                  <c:v>1.6614346990226334</c:v>
                </c:pt>
                <c:pt idx="10">
                  <c:v>1.8530721700163473</c:v>
                </c:pt>
                <c:pt idx="11">
                  <c:v>2.0443055664002152</c:v>
                </c:pt>
                <c:pt idx="12">
                  <c:v>2.2224070244799154</c:v>
                </c:pt>
                <c:pt idx="13">
                  <c:v>2.3956479622184301</c:v>
                </c:pt>
                <c:pt idx="14">
                  <c:v>2.1036551081460217</c:v>
                </c:pt>
                <c:pt idx="15">
                  <c:v>2.1591797686017538</c:v>
                </c:pt>
                <c:pt idx="16">
                  <c:v>2.2383575671827329</c:v>
                </c:pt>
                <c:pt idx="17">
                  <c:v>2.2907556589508955</c:v>
                </c:pt>
              </c:numCache>
            </c:numRef>
          </c:val>
        </c:ser>
        <c:marker val="1"/>
        <c:axId val="267231616"/>
        <c:axId val="267233152"/>
      </c:lineChart>
      <c:catAx>
        <c:axId val="267231616"/>
        <c:scaling>
          <c:orientation val="minMax"/>
        </c:scaling>
        <c:axPos val="b"/>
        <c:numFmt formatCode="General" sourceLinked="1"/>
        <c:tickLblPos val="nextTo"/>
        <c:crossAx val="267233152"/>
        <c:crosses val="autoZero"/>
        <c:auto val="1"/>
        <c:lblAlgn val="ctr"/>
        <c:lblOffset val="100"/>
        <c:tickLblSkip val="2"/>
      </c:catAx>
      <c:valAx>
        <c:axId val="267233152"/>
        <c:scaling>
          <c:orientation val="minMax"/>
        </c:scaling>
        <c:axPos val="l"/>
        <c:majorGridlines/>
        <c:numFmt formatCode="0.00" sourceLinked="1"/>
        <c:tickLblPos val="nextTo"/>
        <c:crossAx val="267231616"/>
        <c:crosses val="autoZero"/>
        <c:crossBetween val="between"/>
      </c:valAx>
    </c:plotArea>
    <c:legend>
      <c:legendPos val="r"/>
      <c:layout>
        <c:manualLayout>
          <c:xMode val="edge"/>
          <c:yMode val="edge"/>
          <c:x val="0.49849482022550584"/>
          <c:y val="0.74511060362001968"/>
          <c:w val="0.25939999688354848"/>
          <c:h val="6.9299793053876818E-2"/>
        </c:manualLayout>
      </c:layout>
    </c:legend>
    <c:plotVisOnly val="1"/>
  </c:chart>
  <c:externalData r:id="rId1"/>
  <c:userShapes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7500711164386032E-2"/>
          <c:y val="2.7329279224712295E-2"/>
          <c:w val="0.8197204226012248"/>
          <c:h val="0.94534144155057742"/>
        </c:manualLayout>
      </c:layout>
      <c:lineChart>
        <c:grouping val="standard"/>
        <c:ser>
          <c:idx val="0"/>
          <c:order val="0"/>
          <c:tx>
            <c:strRef>
              <c:f>Лист1!$A$116</c:f>
              <c:strCache>
                <c:ptCount val="1"/>
                <c:pt idx="0">
                  <c:v>ИОК </c:v>
                </c:pt>
              </c:strCache>
            </c:strRef>
          </c:tx>
          <c:spPr>
            <a:ln>
              <a:solidFill>
                <a:schemeClr val="tx1"/>
              </a:solidFill>
            </a:ln>
          </c:spPr>
          <c:marker>
            <c:symbol val="square"/>
            <c:size val="7"/>
            <c:spPr>
              <a:solidFill>
                <a:sysClr val="windowText" lastClr="000000"/>
              </a:solidFill>
              <a:ln>
                <a:solidFill>
                  <a:prstClr val="black"/>
                </a:solidFill>
              </a:ln>
            </c:spPr>
          </c:marker>
          <c:dLbls>
            <c:dLbl>
              <c:idx val="4"/>
              <c:layout>
                <c:manualLayout>
                  <c:x val="-6.6891530661126908E-2"/>
                  <c:y val="-8.8892389149702582E-3"/>
                </c:manualLayout>
              </c:layout>
              <c:dLblPos val="r"/>
              <c:showVal val="1"/>
            </c:dLbl>
            <c:txPr>
              <a:bodyPr/>
              <a:lstStyle/>
              <a:p>
                <a:pPr>
                  <a:defRPr sz="1100" b="1"/>
                </a:pPr>
                <a:endParaRPr lang="ru-RU"/>
              </a:p>
            </c:txPr>
            <c:dLblPos val="t"/>
            <c:showVal val="1"/>
          </c:dLbls>
          <c:cat>
            <c:numRef>
              <c:f>Лист1!$B$115:$S$115</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numCache>
            </c:numRef>
          </c:cat>
          <c:val>
            <c:numRef>
              <c:f>Лист1!$B$116:$S$116</c:f>
              <c:numCache>
                <c:formatCode>0.00%</c:formatCode>
                <c:ptCount val="18"/>
                <c:pt idx="0">
                  <c:v>-0.14277117547021345</c:v>
                </c:pt>
                <c:pt idx="1">
                  <c:v>3.353715684021763E-2</c:v>
                </c:pt>
                <c:pt idx="2">
                  <c:v>0.29054121186076498</c:v>
                </c:pt>
                <c:pt idx="3">
                  <c:v>6.0228299960040962E-2</c:v>
                </c:pt>
                <c:pt idx="4">
                  <c:v>0.13746466634561025</c:v>
                </c:pt>
                <c:pt idx="5">
                  <c:v>-9.6113348317585098E-2</c:v>
                </c:pt>
                <c:pt idx="6">
                  <c:v>0.1051032413894229</c:v>
                </c:pt>
                <c:pt idx="7">
                  <c:v>0.12249757021677304</c:v>
                </c:pt>
                <c:pt idx="8">
                  <c:v>0.1757422243747076</c:v>
                </c:pt>
                <c:pt idx="9">
                  <c:v>6.8186243297587129E-2</c:v>
                </c:pt>
                <c:pt idx="10">
                  <c:v>0.14383834602191933</c:v>
                </c:pt>
                <c:pt idx="11">
                  <c:v>0.20213436400746956</c:v>
                </c:pt>
                <c:pt idx="12">
                  <c:v>1.9497752164889984E-2</c:v>
                </c:pt>
                <c:pt idx="13">
                  <c:v>-0.24592028213169073</c:v>
                </c:pt>
                <c:pt idx="14">
                  <c:v>-3.4223438195577979E-2</c:v>
                </c:pt>
                <c:pt idx="15">
                  <c:v>8.7000000000000029E-3</c:v>
                </c:pt>
                <c:pt idx="16">
                  <c:v>6.1621891450353967E-2</c:v>
                </c:pt>
              </c:numCache>
            </c:numRef>
          </c:val>
        </c:ser>
        <c:ser>
          <c:idx val="1"/>
          <c:order val="1"/>
          <c:tx>
            <c:strRef>
              <c:f>Лист1!$A$117</c:f>
              <c:strCache>
                <c:ptCount val="1"/>
                <c:pt idx="0">
                  <c:v>ВРП</c:v>
                </c:pt>
              </c:strCache>
            </c:strRef>
          </c:tx>
          <c:spPr>
            <a:ln>
              <a:solidFill>
                <a:srgbClr val="FF0000"/>
              </a:solidFill>
            </a:ln>
          </c:spPr>
          <c:marker>
            <c:symbol val="square"/>
            <c:size val="7"/>
            <c:spPr>
              <a:solidFill>
                <a:srgbClr val="FF0000"/>
              </a:solidFill>
              <a:ln>
                <a:solidFill>
                  <a:srgbClr val="FF0000"/>
                </a:solidFill>
              </a:ln>
            </c:spPr>
          </c:marker>
          <c:dLbls>
            <c:dLbl>
              <c:idx val="4"/>
              <c:layout>
                <c:manualLayout>
                  <c:x val="-1.9076638140583562E-2"/>
                  <c:y val="-2.3928218359500188E-2"/>
                </c:manualLayout>
              </c:layout>
              <c:showVal val="1"/>
            </c:dLbl>
            <c:txPr>
              <a:bodyPr/>
              <a:lstStyle/>
              <a:p>
                <a:pPr>
                  <a:defRPr b="1">
                    <a:solidFill>
                      <a:srgbClr val="FF0000"/>
                    </a:solidFill>
                  </a:defRPr>
                </a:pPr>
                <a:endParaRPr lang="ru-RU"/>
              </a:p>
            </c:txPr>
            <c:showVal val="1"/>
          </c:dLbls>
          <c:val>
            <c:numRef>
              <c:f>Лист1!$B$117:$R$117</c:f>
              <c:numCache>
                <c:formatCode>0.0%</c:formatCode>
                <c:ptCount val="17"/>
                <c:pt idx="1">
                  <c:v>0.10500000000000001</c:v>
                </c:pt>
                <c:pt idx="2">
                  <c:v>-6.1548088615814379E-2</c:v>
                </c:pt>
                <c:pt idx="3">
                  <c:v>6.4104936471788235E-2</c:v>
                </c:pt>
                <c:pt idx="4">
                  <c:v>0.16414252071689303</c:v>
                </c:pt>
                <c:pt idx="5">
                  <c:v>3.7402237553786584E-2</c:v>
                </c:pt>
                <c:pt idx="6">
                  <c:v>9.0265586271950041E-2</c:v>
                </c:pt>
                <c:pt idx="7">
                  <c:v>9.4243983196572137E-2</c:v>
                </c:pt>
                <c:pt idx="8">
                  <c:v>8.3674900494190782E-2</c:v>
                </c:pt>
                <c:pt idx="9">
                  <c:v>0.11534457003121826</c:v>
                </c:pt>
                <c:pt idx="10">
                  <c:v>0.10319802945515083</c:v>
                </c:pt>
                <c:pt idx="11">
                  <c:v>8.7120761693819604E-2</c:v>
                </c:pt>
                <c:pt idx="12">
                  <c:v>7.7951939419853788E-2</c:v>
                </c:pt>
                <c:pt idx="13">
                  <c:v>-0.12188470872073251</c:v>
                </c:pt>
                <c:pt idx="14">
                  <c:v>2.6394374363326339E-2</c:v>
                </c:pt>
                <c:pt idx="15">
                  <c:v>3.6670313297837827E-2</c:v>
                </c:pt>
                <c:pt idx="16">
                  <c:v>2.3409169534121678E-2</c:v>
                </c:pt>
              </c:numCache>
            </c:numRef>
          </c:val>
        </c:ser>
        <c:ser>
          <c:idx val="2"/>
          <c:order val="2"/>
          <c:tx>
            <c:strRef>
              <c:f>Лист1!$A$118</c:f>
              <c:strCache>
                <c:ptCount val="1"/>
                <c:pt idx="0">
                  <c:v>Средние ИОК</c:v>
                </c:pt>
              </c:strCache>
            </c:strRef>
          </c:tx>
          <c:spPr>
            <a:ln>
              <a:solidFill>
                <a:schemeClr val="tx1"/>
              </a:solidFill>
              <a:prstDash val="dash"/>
            </a:ln>
          </c:spPr>
          <c:marker>
            <c:symbol val="none"/>
          </c:marker>
          <c:dLbls>
            <c:dLbl>
              <c:idx val="0"/>
              <c:layout>
                <c:manualLayout>
                  <c:x val="-8.7417214896293671E-2"/>
                  <c:y val="-9.8463476680799682E-3"/>
                </c:manualLayout>
              </c:layout>
              <c:spPr/>
              <c:txPr>
                <a:bodyPr/>
                <a:lstStyle/>
                <a:p>
                  <a:pPr>
                    <a:defRPr sz="1200" b="1">
                      <a:solidFill>
                        <a:schemeClr val="tx1"/>
                      </a:solidFill>
                    </a:defRPr>
                  </a:pPr>
                  <a:endParaRPr lang="ru-RU"/>
                </a:p>
              </c:txPr>
              <c:showVal val="1"/>
            </c:dLbl>
            <c:delete val="1"/>
            <c:txPr>
              <a:bodyPr/>
              <a:lstStyle/>
              <a:p>
                <a:pPr>
                  <a:defRPr b="1"/>
                </a:pPr>
                <a:endParaRPr lang="ru-RU"/>
              </a:p>
            </c:txPr>
          </c:dLbls>
          <c:val>
            <c:numRef>
              <c:f>Лист1!$B$118:$S$118</c:f>
              <c:numCache>
                <c:formatCode>0.00%</c:formatCode>
                <c:ptCount val="18"/>
                <c:pt idx="0" formatCode="0.0%">
                  <c:v>0.12352464331630943</c:v>
                </c:pt>
                <c:pt idx="1">
                  <c:v>0.12352464331630943</c:v>
                </c:pt>
                <c:pt idx="2">
                  <c:v>0.12352464331630943</c:v>
                </c:pt>
                <c:pt idx="3">
                  <c:v>0.12352464331630943</c:v>
                </c:pt>
                <c:pt idx="4">
                  <c:v>0.12352464331630943</c:v>
                </c:pt>
                <c:pt idx="5">
                  <c:v>0.12352464331630943</c:v>
                </c:pt>
                <c:pt idx="6">
                  <c:v>0.12352464331630943</c:v>
                </c:pt>
                <c:pt idx="7">
                  <c:v>0.12352464331630943</c:v>
                </c:pt>
                <c:pt idx="8">
                  <c:v>0.12352464331630943</c:v>
                </c:pt>
                <c:pt idx="9">
                  <c:v>0.12352464331630943</c:v>
                </c:pt>
                <c:pt idx="10">
                  <c:v>0.12352464331630943</c:v>
                </c:pt>
                <c:pt idx="11">
                  <c:v>0.12352464331630943</c:v>
                </c:pt>
                <c:pt idx="12">
                  <c:v>0.12352464331630943</c:v>
                </c:pt>
                <c:pt idx="13">
                  <c:v>0.12352464331630943</c:v>
                </c:pt>
                <c:pt idx="14">
                  <c:v>0.12352464331630943</c:v>
                </c:pt>
                <c:pt idx="15">
                  <c:v>0.12352464331630943</c:v>
                </c:pt>
                <c:pt idx="16">
                  <c:v>0.12352464331630943</c:v>
                </c:pt>
                <c:pt idx="17">
                  <c:v>0.12352464331630943</c:v>
                </c:pt>
              </c:numCache>
            </c:numRef>
          </c:val>
        </c:ser>
        <c:ser>
          <c:idx val="3"/>
          <c:order val="3"/>
          <c:tx>
            <c:strRef>
              <c:f>Лист1!$A$119</c:f>
              <c:strCache>
                <c:ptCount val="1"/>
                <c:pt idx="0">
                  <c:v>Средний ВВП</c:v>
                </c:pt>
              </c:strCache>
            </c:strRef>
          </c:tx>
          <c:spPr>
            <a:ln>
              <a:solidFill>
                <a:srgbClr val="FF0000"/>
              </a:solidFill>
              <a:prstDash val="dash"/>
            </a:ln>
          </c:spPr>
          <c:marker>
            <c:symbol val="none"/>
          </c:marker>
          <c:dLbls>
            <c:dLbl>
              <c:idx val="0"/>
              <c:layout>
                <c:manualLayout>
                  <c:x val="-9.2185426617909932E-2"/>
                  <c:y val="1.9692307692307735E-2"/>
                </c:manualLayout>
              </c:layout>
              <c:spPr/>
              <c:txPr>
                <a:bodyPr/>
                <a:lstStyle/>
                <a:p>
                  <a:pPr>
                    <a:defRPr sz="1200" b="1">
                      <a:solidFill>
                        <a:srgbClr val="FF0000"/>
                      </a:solidFill>
                    </a:defRPr>
                  </a:pPr>
                  <a:endParaRPr lang="ru-RU"/>
                </a:p>
              </c:txPr>
              <c:showVal val="1"/>
            </c:dLbl>
            <c:delete val="1"/>
          </c:dLbls>
          <c:val>
            <c:numRef>
              <c:f>Лист1!$B$119:$R$119</c:f>
              <c:numCache>
                <c:formatCode>0.00%</c:formatCode>
                <c:ptCount val="17"/>
                <c:pt idx="0">
                  <c:v>8.3954467194147508E-2</c:v>
                </c:pt>
                <c:pt idx="1">
                  <c:v>8.3954467194147508E-2</c:v>
                </c:pt>
                <c:pt idx="2">
                  <c:v>8.3954467194147508E-2</c:v>
                </c:pt>
                <c:pt idx="3">
                  <c:v>8.3954467194147508E-2</c:v>
                </c:pt>
                <c:pt idx="4">
                  <c:v>8.3954467194147508E-2</c:v>
                </c:pt>
                <c:pt idx="5">
                  <c:v>8.3954467194147508E-2</c:v>
                </c:pt>
                <c:pt idx="6">
                  <c:v>8.3954467194147508E-2</c:v>
                </c:pt>
                <c:pt idx="7">
                  <c:v>8.3954467194147508E-2</c:v>
                </c:pt>
                <c:pt idx="8">
                  <c:v>8.3954467194147508E-2</c:v>
                </c:pt>
                <c:pt idx="9">
                  <c:v>8.3954467194147508E-2</c:v>
                </c:pt>
                <c:pt idx="10">
                  <c:v>8.3954467194147508E-2</c:v>
                </c:pt>
                <c:pt idx="11">
                  <c:v>8.3954467194147508E-2</c:v>
                </c:pt>
                <c:pt idx="12">
                  <c:v>8.3954467194147508E-2</c:v>
                </c:pt>
                <c:pt idx="13">
                  <c:v>8.3954467194147508E-2</c:v>
                </c:pt>
                <c:pt idx="14">
                  <c:v>8.3954467194147508E-2</c:v>
                </c:pt>
                <c:pt idx="15">
                  <c:v>8.3954467194147508E-2</c:v>
                </c:pt>
                <c:pt idx="16">
                  <c:v>8.3954467194147508E-2</c:v>
                </c:pt>
              </c:numCache>
            </c:numRef>
          </c:val>
        </c:ser>
        <c:marker val="1"/>
        <c:axId val="267126656"/>
        <c:axId val="267128192"/>
      </c:lineChart>
      <c:catAx>
        <c:axId val="267126656"/>
        <c:scaling>
          <c:orientation val="minMax"/>
        </c:scaling>
        <c:axPos val="b"/>
        <c:numFmt formatCode="General" sourceLinked="1"/>
        <c:tickLblPos val="nextTo"/>
        <c:crossAx val="267128192"/>
        <c:crosses val="autoZero"/>
        <c:auto val="1"/>
        <c:lblAlgn val="ctr"/>
        <c:lblOffset val="100"/>
        <c:tickLblSkip val="2"/>
      </c:catAx>
      <c:valAx>
        <c:axId val="267128192"/>
        <c:scaling>
          <c:orientation val="minMax"/>
        </c:scaling>
        <c:axPos val="l"/>
        <c:majorGridlines/>
        <c:numFmt formatCode="0.00%" sourceLinked="1"/>
        <c:tickLblPos val="nextTo"/>
        <c:crossAx val="267126656"/>
        <c:crosses val="autoZero"/>
        <c:crossBetween val="between"/>
      </c:valAx>
    </c:plotArea>
    <c:legend>
      <c:legendPos val="r"/>
      <c:legendEntry>
        <c:idx val="2"/>
        <c:delete val="1"/>
      </c:legendEntry>
      <c:legendEntry>
        <c:idx val="3"/>
        <c:delete val="1"/>
      </c:legendEntry>
      <c:layout>
        <c:manualLayout>
          <c:xMode val="edge"/>
          <c:yMode val="edge"/>
          <c:x val="0.36000261313020415"/>
          <c:y val="0.8222573470623864"/>
          <c:w val="0.32188607928722768"/>
          <c:h val="0.17774265293761371"/>
        </c:manualLayout>
      </c:layout>
    </c:legend>
    <c:plotVisOnly val="1"/>
  </c:chart>
  <c:externalData r:id="rId1"/>
  <c:userShapes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Кврпмр</a:t>
            </a:r>
          </a:p>
        </c:rich>
      </c:tx>
    </c:title>
    <c:plotArea>
      <c:layout>
        <c:manualLayout>
          <c:layoutTarget val="inner"/>
          <c:xMode val="edge"/>
          <c:yMode val="edge"/>
          <c:x val="8.7613298337707785E-2"/>
          <c:y val="0.19480356955380568"/>
          <c:w val="0.8734575678040245"/>
          <c:h val="0.70401819772528429"/>
        </c:manualLayout>
      </c:layout>
      <c:lineChart>
        <c:grouping val="standard"/>
        <c:ser>
          <c:idx val="0"/>
          <c:order val="0"/>
          <c:tx>
            <c:strRef>
              <c:f>Лист1!$A$119</c:f>
              <c:strCache>
                <c:ptCount val="1"/>
                <c:pt idx="0">
                  <c:v>Коэффициент эластичности</c:v>
                </c:pt>
              </c:strCache>
            </c:strRef>
          </c:tx>
          <c:spPr>
            <a:ln>
              <a:noFill/>
            </a:ln>
          </c:spPr>
          <c:marker>
            <c:symbol val="circle"/>
            <c:size val="7"/>
            <c:spPr>
              <a:solidFill>
                <a:srgbClr val="FF0000"/>
              </a:solidFill>
              <a:ln>
                <a:solidFill>
                  <a:srgbClr val="FF0000"/>
                </a:solidFill>
              </a:ln>
            </c:spPr>
          </c:marker>
          <c:dLbls>
            <c:dLbl>
              <c:idx val="2"/>
              <c:layout>
                <c:manualLayout>
                  <c:x val="-6.7763998250219129E-2"/>
                  <c:y val="-5.1400554097404488E-2"/>
                </c:manualLayout>
              </c:layout>
              <c:dLblPos val="r"/>
              <c:showVal val="1"/>
            </c:dLbl>
            <c:txPr>
              <a:bodyPr/>
              <a:lstStyle/>
              <a:p>
                <a:pPr>
                  <a:defRPr b="1">
                    <a:solidFill>
                      <a:srgbClr val="FF0000"/>
                    </a:solidFill>
                  </a:defRPr>
                </a:pPr>
                <a:endParaRPr lang="ru-RU"/>
              </a:p>
            </c:txPr>
            <c:dLblPos val="t"/>
            <c:showVal val="1"/>
          </c:dLbls>
          <c:cat>
            <c:numRef>
              <c:f>Лист1!$C$114:$R$114</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cat>
          <c:val>
            <c:numRef>
              <c:f>Лист1!$C$119:$R$119</c:f>
              <c:numCache>
                <c:formatCode>0.00</c:formatCode>
                <c:ptCount val="16"/>
                <c:pt idx="0">
                  <c:v>3.1308557401050883</c:v>
                </c:pt>
                <c:pt idx="1">
                  <c:v>-0.21183944343603181</c:v>
                </c:pt>
                <c:pt idx="2">
                  <c:v>1.0643656970945385</c:v>
                </c:pt>
                <c:pt idx="3">
                  <c:v>1.1940706297879522</c:v>
                </c:pt>
                <c:pt idx="4">
                  <c:v>-0.38914717059069931</c:v>
                </c:pt>
                <c:pt idx="5">
                  <c:v>0.85882780662780156</c:v>
                </c:pt>
                <c:pt idx="6">
                  <c:v>0.76935389844710533</c:v>
                </c:pt>
                <c:pt idx="7">
                  <c:v>0.47612291691371811</c:v>
                </c:pt>
                <c:pt idx="8">
                  <c:v>1.6916105720594798</c:v>
                </c:pt>
                <c:pt idx="9">
                  <c:v>0.71745839902403086</c:v>
                </c:pt>
                <c:pt idx="10">
                  <c:v>0.43100420911409443</c:v>
                </c:pt>
                <c:pt idx="11">
                  <c:v>3.9979962182627227</c:v>
                </c:pt>
                <c:pt idx="12">
                  <c:v>0.49562690667158182</c:v>
                </c:pt>
                <c:pt idx="13">
                  <c:v>-0.77123678259587691</c:v>
                </c:pt>
                <c:pt idx="14">
                  <c:v>4.2149785399813444</c:v>
                </c:pt>
                <c:pt idx="15">
                  <c:v>0.37988398251263528</c:v>
                </c:pt>
              </c:numCache>
            </c:numRef>
          </c:val>
        </c:ser>
        <c:marker val="1"/>
        <c:axId val="267199232"/>
        <c:axId val="267200768"/>
      </c:lineChart>
      <c:catAx>
        <c:axId val="267199232"/>
        <c:scaling>
          <c:orientation val="minMax"/>
        </c:scaling>
        <c:axPos val="b"/>
        <c:numFmt formatCode="General" sourceLinked="1"/>
        <c:tickLblPos val="nextTo"/>
        <c:crossAx val="267200768"/>
        <c:crosses val="autoZero"/>
        <c:auto val="1"/>
        <c:lblAlgn val="ctr"/>
        <c:lblOffset val="100"/>
        <c:tickLblSkip val="2"/>
      </c:catAx>
      <c:valAx>
        <c:axId val="267200768"/>
        <c:scaling>
          <c:orientation val="minMax"/>
        </c:scaling>
        <c:axPos val="l"/>
        <c:majorGridlines/>
        <c:numFmt formatCode="0.00" sourceLinked="1"/>
        <c:tickLblPos val="nextTo"/>
        <c:crossAx val="267199232"/>
        <c:crosses val="autoZero"/>
        <c:crossBetween val="between"/>
      </c:valAx>
    </c:plotArea>
    <c:legend>
      <c:legendPos val="b"/>
    </c:legend>
    <c:plotVisOnly val="1"/>
  </c:chart>
  <c:externalData r:id="rId1"/>
  <c:userShapes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plotArea>
      <c:layout>
        <c:manualLayout>
          <c:layoutTarget val="inner"/>
          <c:xMode val="edge"/>
          <c:yMode val="edge"/>
          <c:x val="5.9218027370739307E-2"/>
          <c:y val="0.1401078682582011"/>
          <c:w val="0.8134808680837663"/>
          <c:h val="0.8229234862144319"/>
        </c:manualLayout>
      </c:layout>
      <c:scatterChart>
        <c:scatterStyle val="lineMarker"/>
        <c:ser>
          <c:idx val="0"/>
          <c:order val="0"/>
          <c:tx>
            <c:strRef>
              <c:f>Лист1!$A$133</c:f>
              <c:strCache>
                <c:ptCount val="1"/>
                <c:pt idx="0">
                  <c:v>Коэффициент эластичности (локальное осреднение)</c:v>
                </c:pt>
              </c:strCache>
            </c:strRef>
          </c:tx>
          <c:spPr>
            <a:ln w="28575">
              <a:noFill/>
            </a:ln>
          </c:spPr>
          <c:marker>
            <c:symbol val="circle"/>
            <c:size val="7"/>
            <c:spPr>
              <a:solidFill>
                <a:srgbClr val="FF0000"/>
              </a:solidFill>
              <a:ln>
                <a:solidFill>
                  <a:srgbClr val="FF0000"/>
                </a:solidFill>
              </a:ln>
            </c:spPr>
          </c:marker>
          <c:dLbls>
            <c:dLblPos val="t"/>
            <c:showVal val="1"/>
          </c:dLbls>
          <c:xVal>
            <c:numRef>
              <c:f>Лист1!$B$132:$Q$132</c:f>
              <c:numCache>
                <c:formatCode>General</c:formatCode>
                <c:ptCount val="1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numCache>
            </c:numRef>
          </c:xVal>
          <c:yVal>
            <c:numRef>
              <c:f>Лист1!$B$133:$Q$133</c:f>
              <c:numCache>
                <c:formatCode>0.00</c:formatCode>
                <c:ptCount val="16"/>
                <c:pt idx="0">
                  <c:v>0.26</c:v>
                </c:pt>
                <c:pt idx="1">
                  <c:v>0.26</c:v>
                </c:pt>
                <c:pt idx="2">
                  <c:v>0.26</c:v>
                </c:pt>
                <c:pt idx="3">
                  <c:v>1.1900000000000019</c:v>
                </c:pt>
                <c:pt idx="4">
                  <c:v>-0.39000000000000057</c:v>
                </c:pt>
                <c:pt idx="5">
                  <c:v>0.86000000000000065</c:v>
                </c:pt>
                <c:pt idx="6">
                  <c:v>0.77000000000000113</c:v>
                </c:pt>
                <c:pt idx="7">
                  <c:v>0.78</c:v>
                </c:pt>
                <c:pt idx="8">
                  <c:v>0.78</c:v>
                </c:pt>
                <c:pt idx="9">
                  <c:v>0.78</c:v>
                </c:pt>
                <c:pt idx="10">
                  <c:v>0.74000000000000099</c:v>
                </c:pt>
                <c:pt idx="11">
                  <c:v>0.74000000000000099</c:v>
                </c:pt>
                <c:pt idx="12">
                  <c:v>0.5</c:v>
                </c:pt>
                <c:pt idx="13">
                  <c:v>-0.77000000000000113</c:v>
                </c:pt>
                <c:pt idx="14">
                  <c:v>0.85000000000000064</c:v>
                </c:pt>
                <c:pt idx="15">
                  <c:v>0.85000000000000064</c:v>
                </c:pt>
              </c:numCache>
            </c:numRef>
          </c:yVal>
        </c:ser>
        <c:axId val="267091968"/>
        <c:axId val="267093504"/>
      </c:scatterChart>
      <c:valAx>
        <c:axId val="267091968"/>
        <c:scaling>
          <c:orientation val="minMax"/>
        </c:scaling>
        <c:axPos val="b"/>
        <c:numFmt formatCode="General" sourceLinked="1"/>
        <c:tickLblPos val="nextTo"/>
        <c:crossAx val="267093504"/>
        <c:crosses val="autoZero"/>
        <c:crossBetween val="midCat"/>
      </c:valAx>
      <c:valAx>
        <c:axId val="267093504"/>
        <c:scaling>
          <c:orientation val="minMax"/>
        </c:scaling>
        <c:axPos val="l"/>
        <c:majorGridlines/>
        <c:numFmt formatCode="0.00" sourceLinked="1"/>
        <c:tickLblPos val="nextTo"/>
        <c:crossAx val="267091968"/>
        <c:crosses val="autoZero"/>
        <c:crossBetween val="midCat"/>
      </c:valAx>
    </c:plotArea>
    <c:legend>
      <c:legendPos val="b"/>
    </c:legend>
    <c:plotVisOnly val="1"/>
  </c:chart>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Отношение ИОК к ВВП</a:t>
            </a:r>
          </a:p>
        </c:rich>
      </c:tx>
      <c:layout>
        <c:manualLayout>
          <c:xMode val="edge"/>
          <c:yMode val="edge"/>
          <c:x val="0.18247565170858487"/>
          <c:y val="2.1556886227544911E-2"/>
        </c:manualLayout>
      </c:layout>
      <c:overlay val="1"/>
    </c:title>
    <c:plotArea>
      <c:layout>
        <c:manualLayout>
          <c:layoutTarget val="inner"/>
          <c:xMode val="edge"/>
          <c:yMode val="edge"/>
          <c:x val="6.91902310819872E-2"/>
          <c:y val="1.7762980782775564E-2"/>
          <c:w val="0.86977585811483182"/>
          <c:h val="0.90747720307416668"/>
        </c:manualLayout>
      </c:layout>
      <c:lineChart>
        <c:grouping val="standard"/>
        <c:ser>
          <c:idx val="2"/>
          <c:order val="0"/>
          <c:tx>
            <c:strRef>
              <c:f>'Отношение ИОК к ВВП'!$A$2</c:f>
              <c:strCache>
                <c:ptCount val="1"/>
                <c:pt idx="0">
                  <c:v>Россия</c:v>
                </c:pt>
              </c:strCache>
            </c:strRef>
          </c:tx>
          <c:spPr>
            <a:ln>
              <a:solidFill>
                <a:srgbClr val="FF0000"/>
              </a:solidFill>
            </a:ln>
          </c:spPr>
          <c:marker>
            <c:symbol val="triangle"/>
            <c:size val="5"/>
            <c:spPr>
              <a:solidFill>
                <a:srgbClr val="FF0000"/>
              </a:solidFill>
              <a:ln>
                <a:solidFill>
                  <a:srgbClr val="FF0000"/>
                </a:solidFill>
              </a:ln>
            </c:spPr>
          </c:marker>
          <c:dPt>
            <c:idx val="21"/>
            <c:spPr>
              <a:ln>
                <a:solidFill>
                  <a:srgbClr val="FF0000"/>
                </a:solidFill>
                <a:prstDash val="dash"/>
              </a:ln>
            </c:spPr>
          </c:dPt>
          <c:dPt>
            <c:idx val="22"/>
            <c:spPr>
              <a:ln>
                <a:solidFill>
                  <a:srgbClr val="FF0000"/>
                </a:solidFill>
                <a:prstDash val="dash"/>
              </a:ln>
            </c:spPr>
          </c:dPt>
          <c:dPt>
            <c:idx val="23"/>
            <c:spPr>
              <a:ln>
                <a:solidFill>
                  <a:srgbClr val="FF0000"/>
                </a:solidFill>
                <a:prstDash val="dash"/>
              </a:ln>
            </c:spPr>
          </c:dPt>
          <c:dPt>
            <c:idx val="24"/>
            <c:spPr>
              <a:ln>
                <a:solidFill>
                  <a:srgbClr val="FF0000"/>
                </a:solidFill>
                <a:prstDash val="dash"/>
              </a:ln>
            </c:spPr>
          </c:dPt>
          <c:dPt>
            <c:idx val="25"/>
            <c:spPr>
              <a:ln>
                <a:solidFill>
                  <a:srgbClr val="FF0000"/>
                </a:solidFill>
                <a:prstDash val="dash"/>
              </a:ln>
            </c:spPr>
          </c:dPt>
          <c:dPt>
            <c:idx val="44"/>
            <c:spPr>
              <a:ln>
                <a:solidFill>
                  <a:srgbClr val="FF0000"/>
                </a:solidFill>
                <a:prstDash val="sysDash"/>
              </a:ln>
            </c:spPr>
          </c:dPt>
          <c:dPt>
            <c:idx val="45"/>
            <c:spPr>
              <a:ln>
                <a:solidFill>
                  <a:srgbClr val="FF0000"/>
                </a:solidFill>
                <a:prstDash val="sysDash"/>
              </a:ln>
            </c:spPr>
          </c:dPt>
          <c:dPt>
            <c:idx val="46"/>
            <c:spPr>
              <a:ln>
                <a:solidFill>
                  <a:srgbClr val="FF0000"/>
                </a:solidFill>
                <a:prstDash val="sysDash"/>
              </a:ln>
            </c:spPr>
          </c:dPt>
          <c:dPt>
            <c:idx val="47"/>
            <c:spPr>
              <a:ln>
                <a:solidFill>
                  <a:srgbClr val="FF0000"/>
                </a:solidFill>
                <a:prstDash val="sysDash"/>
              </a:ln>
            </c:spPr>
          </c:dPt>
          <c:dPt>
            <c:idx val="48"/>
            <c:spPr>
              <a:ln>
                <a:solidFill>
                  <a:srgbClr val="FF0000"/>
                </a:solidFill>
                <a:prstDash val="sysDash"/>
              </a:ln>
            </c:spPr>
          </c:dPt>
          <c:dPt>
            <c:idx val="49"/>
            <c:spPr>
              <a:ln>
                <a:solidFill>
                  <a:srgbClr val="FF0000"/>
                </a:solidFill>
                <a:prstDash val="sysDash"/>
              </a:ln>
            </c:spPr>
          </c:dPt>
          <c:dPt>
            <c:idx val="50"/>
            <c:spPr>
              <a:ln>
                <a:solidFill>
                  <a:srgbClr val="FF0000"/>
                </a:solidFill>
                <a:prstDash val="sysDash"/>
              </a:ln>
            </c:spPr>
          </c:dPt>
          <c:dLbls>
            <c:dLbl>
              <c:idx val="0"/>
              <c:layout>
                <c:manualLayout>
                  <c:x val="-6.9902912621359309E-2"/>
                  <c:y val="7.1856287425150133E-3"/>
                </c:manualLayout>
              </c:layout>
              <c:showVal val="1"/>
            </c:dLbl>
            <c:dLbl>
              <c:idx val="1"/>
              <c:layout>
                <c:manualLayout>
                  <c:x val="-1.9215687263428923E-2"/>
                  <c:y val="0"/>
                </c:manualLayout>
              </c:layout>
              <c:showVal val="1"/>
            </c:dLbl>
            <c:dLbl>
              <c:idx val="2"/>
              <c:layout>
                <c:manualLayout>
                  <c:x val="-3.1067961165048546E-2"/>
                  <c:y val="-1.6766467065868425E-2"/>
                </c:manualLayout>
              </c:layout>
              <c:showVal val="1"/>
            </c:dLbl>
            <c:dLbl>
              <c:idx val="3"/>
              <c:layout>
                <c:manualLayout>
                  <c:x val="-2.6991063780783267E-2"/>
                  <c:y val="1.6647885498650677E-2"/>
                </c:manualLayout>
              </c:layout>
              <c:showVal val="1"/>
            </c:dLbl>
            <c:dLbl>
              <c:idx val="4"/>
              <c:layout>
                <c:manualLayout>
                  <c:x val="-2.1350763626032141E-2"/>
                  <c:y val="-1.460828515986104E-2"/>
                </c:manualLayout>
              </c:layout>
              <c:showVal val="1"/>
            </c:dLbl>
            <c:dLbl>
              <c:idx val="5"/>
              <c:layout>
                <c:manualLayout>
                  <c:x val="-6.1569412056981104E-2"/>
                  <c:y val="6.2646148259685953E-4"/>
                </c:manualLayout>
              </c:layout>
              <c:showVal val="1"/>
            </c:dLbl>
            <c:dLbl>
              <c:idx val="6"/>
              <c:layout>
                <c:manualLayout>
                  <c:x val="-2.6617918847624565E-2"/>
                  <c:y val="-9.9388642460706729E-3"/>
                </c:manualLayout>
              </c:layout>
              <c:showVal val="1"/>
            </c:dLbl>
            <c:dLbl>
              <c:idx val="7"/>
              <c:layout>
                <c:manualLayout>
                  <c:x val="-3.1067961165048546E-2"/>
                  <c:y val="1.916167664670675E-2"/>
                </c:manualLayout>
              </c:layout>
              <c:showVal val="1"/>
            </c:dLbl>
            <c:dLbl>
              <c:idx val="8"/>
              <c:layout>
                <c:manualLayout>
                  <c:x val="-1.1650485436893293E-2"/>
                  <c:y val="-4.3113772455089822E-2"/>
                </c:manualLayout>
              </c:layout>
              <c:tx>
                <c:rich>
                  <a:bodyPr/>
                  <a:lstStyle/>
                  <a:p>
                    <a:r>
                      <a:rPr lang="ru-RU"/>
                      <a:t>0,253</a:t>
                    </a:r>
                    <a:endParaRPr lang="en-US"/>
                  </a:p>
                </c:rich>
              </c:tx>
              <c:showVal val="1"/>
            </c:dLbl>
            <c:dLbl>
              <c:idx val="9"/>
              <c:delete val="1"/>
            </c:dLbl>
            <c:dLbl>
              <c:idx val="10"/>
              <c:layout>
                <c:manualLayout>
                  <c:x val="-4.6526445426349886E-2"/>
                  <c:y val="1.9577801742353428E-2"/>
                </c:manualLayout>
              </c:layout>
              <c:showVal val="1"/>
            </c:dLbl>
            <c:dLbl>
              <c:idx val="11"/>
              <c:layout>
                <c:manualLayout>
                  <c:x val="1.2810458175619283E-2"/>
                  <c:y val="-7.3041425799304695E-3"/>
                </c:manualLayout>
              </c:layout>
              <c:showVal val="1"/>
            </c:dLbl>
            <c:dLbl>
              <c:idx val="12"/>
              <c:delete val="1"/>
            </c:dLbl>
            <c:dLbl>
              <c:idx val="13"/>
              <c:layout>
                <c:manualLayout>
                  <c:x val="-5.1241832702476758E-2"/>
                  <c:y val="-4.1390141286272886E-2"/>
                </c:manualLayout>
              </c:layout>
              <c:showVal val="1"/>
            </c:dLbl>
            <c:dLbl>
              <c:idx val="14"/>
              <c:layout>
                <c:manualLayout>
                  <c:x val="0"/>
                  <c:y val="7.3041425799305164E-3"/>
                </c:manualLayout>
              </c:layout>
              <c:showVal val="1"/>
            </c:dLbl>
            <c:dLbl>
              <c:idx val="15"/>
              <c:layout>
                <c:manualLayout>
                  <c:x val="2.1350763626032136E-3"/>
                  <c:y val="-1.460828515986104E-2"/>
                </c:manualLayout>
              </c:layout>
              <c:showVal val="1"/>
            </c:dLbl>
            <c:dLbl>
              <c:idx val="16"/>
              <c:layout>
                <c:manualLayout>
                  <c:x val="-4.9106756339873922E-2"/>
                  <c:y val="-3.8955427092962756E-2"/>
                </c:manualLayout>
              </c:layout>
              <c:showVal val="1"/>
            </c:dLbl>
            <c:dLbl>
              <c:idx val="19"/>
              <c:layout>
                <c:manualLayout>
                  <c:x val="-3.8834951456310801E-2"/>
                  <c:y val="-2.6347305389221882E-2"/>
                </c:manualLayout>
              </c:layout>
              <c:showVal val="1"/>
            </c:dLbl>
            <c:dLbl>
              <c:idx val="25"/>
              <c:layout>
                <c:manualLayout>
                  <c:x val="-8.5403054504128481E-2"/>
                  <c:y val="0"/>
                </c:manualLayout>
              </c:layout>
              <c:showVal val="1"/>
            </c:dLbl>
            <c:dLbl>
              <c:idx val="27"/>
              <c:layout>
                <c:manualLayout>
                  <c:x val="-1.9215687263429003E-2"/>
                  <c:y val="-1.2173570966550962E-2"/>
                </c:manualLayout>
              </c:layout>
              <c:showVal val="1"/>
            </c:dLbl>
            <c:dLbl>
              <c:idx val="29"/>
              <c:layout>
                <c:manualLayout>
                  <c:x val="-3.8834951456310801E-2"/>
                  <c:y val="1.1976047904191578E-2"/>
                </c:manualLayout>
              </c:layout>
              <c:showVal val="1"/>
            </c:dLbl>
            <c:dLbl>
              <c:idx val="30"/>
              <c:layout>
                <c:manualLayout>
                  <c:x val="-7.3257167990366981E-2"/>
                  <c:y val="-7.3041425799306092E-3"/>
                </c:manualLayout>
              </c:layout>
              <c:showVal val="1"/>
            </c:dLbl>
            <c:dLbl>
              <c:idx val="31"/>
              <c:layout>
                <c:manualLayout>
                  <c:x val="-4.4660194174757299E-2"/>
                  <c:y val="-1.916167664670675E-2"/>
                </c:manualLayout>
              </c:layout>
              <c:showVal val="1"/>
            </c:dLbl>
            <c:dLbl>
              <c:idx val="32"/>
              <c:layout>
                <c:manualLayout>
                  <c:x val="-4.2166854736659952E-2"/>
                  <c:y val="1.9161584120909163E-2"/>
                </c:manualLayout>
              </c:layout>
              <c:showVal val="1"/>
            </c:dLbl>
            <c:dLbl>
              <c:idx val="33"/>
              <c:layout>
                <c:manualLayout>
                  <c:x val="6.405229087809698E-3"/>
                  <c:y val="1.4608285159861123E-2"/>
                </c:manualLayout>
              </c:layout>
              <c:showVal val="1"/>
            </c:dLbl>
            <c:dLbl>
              <c:idx val="35"/>
              <c:layout>
                <c:manualLayout>
                  <c:x val="-7.6097820120657064E-2"/>
                  <c:y val="-1.4924414585433362E-2"/>
                </c:manualLayout>
              </c:layout>
              <c:showVal val="1"/>
            </c:dLbl>
            <c:dLbl>
              <c:idx val="36"/>
              <c:layout>
                <c:manualLayout>
                  <c:x val="-6.8678594990969032E-3"/>
                  <c:y val="7.3041425799306092E-3"/>
                </c:manualLayout>
              </c:layout>
              <c:showVal val="1"/>
            </c:dLbl>
            <c:dLbl>
              <c:idx val="37"/>
              <c:layout>
                <c:manualLayout>
                  <c:x val="-6.8678594990969039E-2"/>
                  <c:y val="-2.4347141933101736E-3"/>
                </c:manualLayout>
              </c:layout>
              <c:showVal val="1"/>
            </c:dLbl>
            <c:dLbl>
              <c:idx val="38"/>
              <c:layout>
                <c:manualLayout>
                  <c:x val="-3.4951456310679613E-2"/>
                  <c:y val="-1.4371257485029916E-2"/>
                </c:manualLayout>
              </c:layout>
              <c:showVal val="1"/>
            </c:dLbl>
            <c:dLbl>
              <c:idx val="39"/>
              <c:layout>
                <c:manualLayout>
                  <c:x val="-1.7228521070515257E-2"/>
                  <c:y val="-9.8055206239245542E-3"/>
                </c:manualLayout>
              </c:layout>
              <c:showVal val="1"/>
            </c:dLbl>
            <c:dLbl>
              <c:idx val="40"/>
              <c:layout>
                <c:manualLayout>
                  <c:x val="-4.5846296943892993E-2"/>
                  <c:y val="2.3873043649632792E-2"/>
                </c:manualLayout>
              </c:layout>
              <c:showVal val="1"/>
            </c:dLbl>
            <c:dLbl>
              <c:idx val="41"/>
              <c:delete val="1"/>
            </c:dLbl>
            <c:dLbl>
              <c:idx val="42"/>
              <c:layout>
                <c:manualLayout>
                  <c:x val="-4.5049479897497718E-2"/>
                  <c:y val="-1.2266339699042629E-2"/>
                </c:manualLayout>
              </c:layout>
              <c:showVal val="1"/>
            </c:dLbl>
            <c:dLbl>
              <c:idx val="43"/>
              <c:layout>
                <c:manualLayout>
                  <c:x val="-2.8005824769456841E-2"/>
                  <c:y val="2.2649559975245592E-2"/>
                </c:manualLayout>
              </c:layout>
              <c:showVal val="1"/>
            </c:dLbl>
            <c:dLbl>
              <c:idx val="44"/>
              <c:delete val="1"/>
            </c:dLbl>
            <c:dLbl>
              <c:idx val="45"/>
              <c:delete val="1"/>
            </c:dLbl>
            <c:dLbl>
              <c:idx val="46"/>
              <c:delete val="1"/>
            </c:dLbl>
            <c:dLbl>
              <c:idx val="47"/>
              <c:delete val="1"/>
            </c:dLbl>
            <c:dLbl>
              <c:idx val="48"/>
              <c:delete val="1"/>
            </c:dLbl>
            <c:dLbl>
              <c:idx val="49"/>
              <c:delete val="1"/>
            </c:dLbl>
            <c:dLbl>
              <c:idx val="50"/>
              <c:layout>
                <c:manualLayout>
                  <c:x val="-5.3030858761130756E-2"/>
                  <c:y val="2.7260465545792346E-2"/>
                </c:manualLayout>
              </c:layout>
              <c:showVal val="1"/>
            </c:dLbl>
            <c:dLbl>
              <c:idx val="51"/>
              <c:delete val="1"/>
            </c:dLbl>
            <c:dLbl>
              <c:idx val="52"/>
              <c:delete val="1"/>
            </c:dLbl>
            <c:dLbl>
              <c:idx val="53"/>
              <c:delete val="1"/>
            </c:dLbl>
            <c:dLbl>
              <c:idx val="54"/>
              <c:delete val="1"/>
            </c:dLbl>
            <c:dLbl>
              <c:idx val="55"/>
              <c:layout>
                <c:manualLayout>
                  <c:x val="-7.0981116926997134E-3"/>
                  <c:y val="9.9386685991366547E-3"/>
                </c:manualLayout>
              </c:layout>
              <c:showVal val="1"/>
            </c:dLbl>
            <c:numFmt formatCode="#,##0.000" sourceLinked="0"/>
            <c:showVal val="1"/>
          </c:dLbls>
          <c:cat>
            <c:numRef>
              <c:f>'Отношение ИОК к ВВП'!$B$4:$BE$4</c:f>
              <c:numCache>
                <c:formatCode>General</c:formatCode>
                <c:ptCount val="5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pt idx="54">
                  <c:v>2024</c:v>
                </c:pt>
                <c:pt idx="55">
                  <c:v>2025</c:v>
                </c:pt>
              </c:numCache>
            </c:numRef>
          </c:cat>
          <c:val>
            <c:numRef>
              <c:f>'Отношение ИОК к ВВП'!$B$7:$BE$7</c:f>
              <c:numCache>
                <c:formatCode>_-* #,##0.000_р_._-;\-* #,##0.000_р_._-;_-* "-"??_р_._-;_-@_-</c:formatCode>
                <c:ptCount val="56"/>
                <c:pt idx="0">
                  <c:v>0.20278151637505587</c:v>
                </c:pt>
                <c:pt idx="1">
                  <c:v>0.20776450511945393</c:v>
                </c:pt>
                <c:pt idx="2">
                  <c:v>0.22323651452282206</c:v>
                </c:pt>
                <c:pt idx="3">
                  <c:v>0.21871434005325296</c:v>
                </c:pt>
                <c:pt idx="4">
                  <c:v>0.22643553629469126</c:v>
                </c:pt>
                <c:pt idx="5">
                  <c:v>0.24380885943494945</c:v>
                </c:pt>
                <c:pt idx="6">
                  <c:v>0.24268617021276595</c:v>
                </c:pt>
                <c:pt idx="7">
                  <c:v>0.23173408592035141</c:v>
                </c:pt>
                <c:pt idx="8">
                  <c:v>0.24725111441307579</c:v>
                </c:pt>
                <c:pt idx="9">
                  <c:v>0.25330649798735067</c:v>
                </c:pt>
                <c:pt idx="10">
                  <c:v>0.24651924651924742</c:v>
                </c:pt>
                <c:pt idx="11">
                  <c:v>0.24895615866388321</c:v>
                </c:pt>
                <c:pt idx="12">
                  <c:v>0.24711538461538518</c:v>
                </c:pt>
                <c:pt idx="13">
                  <c:v>0.25491102380402131</c:v>
                </c:pt>
                <c:pt idx="14">
                  <c:v>0.25931642778390396</c:v>
                </c:pt>
                <c:pt idx="15">
                  <c:v>0.26117200674536256</c:v>
                </c:pt>
                <c:pt idx="16">
                  <c:v>0.26609442060085836</c:v>
                </c:pt>
                <c:pt idx="17">
                  <c:v>0.27606752730883832</c:v>
                </c:pt>
                <c:pt idx="18">
                  <c:v>0.28428409520211656</c:v>
                </c:pt>
                <c:pt idx="19">
                  <c:v>0.28693030679198445</c:v>
                </c:pt>
                <c:pt idx="20">
                  <c:v>0.27693324520819529</c:v>
                </c:pt>
                <c:pt idx="21" formatCode="_-* #,##0.00_р_._-;\-* #,##0.00_р_._-;_-* &quot;-&quot;??_р_._-;_-@_-">
                  <c:v>0.25892424681683346</c:v>
                </c:pt>
                <c:pt idx="22" formatCode="_-* #,##0.00_р_._-;\-* #,##0.00_р_._-;_-* &quot;-&quot;??_р_._-;_-@_-">
                  <c:v>0.24091524842547243</c:v>
                </c:pt>
                <c:pt idx="23" formatCode="_-* #,##0.00_р_._-;\-* #,##0.00_р_._-;_-* &quot;-&quot;??_р_._-;_-@_-">
                  <c:v>0.22290625003410924</c:v>
                </c:pt>
                <c:pt idx="24" formatCode="_-* #,##0.00_р_._-;\-* #,##0.00_р_._-;_-* &quot;-&quot;??_р_._-;_-@_-">
                  <c:v>0.20489725164274739</c:v>
                </c:pt>
                <c:pt idx="25">
                  <c:v>0.18688825325138494</c:v>
                </c:pt>
                <c:pt idx="26">
                  <c:v>0.18724738524286905</c:v>
                </c:pt>
                <c:pt idx="27">
                  <c:v>0.17451336470134293</c:v>
                </c:pt>
                <c:pt idx="28">
                  <c:v>0.15481306635970254</c:v>
                </c:pt>
                <c:pt idx="29">
                  <c:v>0.13899389278997226</c:v>
                </c:pt>
                <c:pt idx="30">
                  <c:v>0.15949307592402928</c:v>
                </c:pt>
                <c:pt idx="31">
                  <c:v>0.16824354410823161</c:v>
                </c:pt>
                <c:pt idx="32">
                  <c:v>0.1627251092707743</c:v>
                </c:pt>
                <c:pt idx="33">
                  <c:v>0.16553310885665801</c:v>
                </c:pt>
                <c:pt idx="34">
                  <c:v>0.16826028576911425</c:v>
                </c:pt>
                <c:pt idx="35">
                  <c:v>0.1671003788441604</c:v>
                </c:pt>
                <c:pt idx="36">
                  <c:v>0.17572406336327293</c:v>
                </c:pt>
                <c:pt idx="37">
                  <c:v>0.20200007001359527</c:v>
                </c:pt>
                <c:pt idx="38">
                  <c:v>0.21274879679428904</c:v>
                </c:pt>
                <c:pt idx="39">
                  <c:v>0.20552877255646337</c:v>
                </c:pt>
                <c:pt idx="40">
                  <c:v>0.19760933436599576</c:v>
                </c:pt>
                <c:pt idx="41">
                  <c:v>0.19777391628439928</c:v>
                </c:pt>
                <c:pt idx="42">
                  <c:v>0.20078257621168538</c:v>
                </c:pt>
                <c:pt idx="43">
                  <c:v>0.19936861440737824</c:v>
                </c:pt>
                <c:pt idx="44">
                  <c:v>0.19796461008056571</c:v>
                </c:pt>
                <c:pt idx="45">
                  <c:v>0.1965704931081674</c:v>
                </c:pt>
                <c:pt idx="46">
                  <c:v>0.19518619386092728</c:v>
                </c:pt>
                <c:pt idx="47">
                  <c:v>0.19381164319993441</c:v>
                </c:pt>
                <c:pt idx="48">
                  <c:v>0.19244677247317424</c:v>
                </c:pt>
                <c:pt idx="49">
                  <c:v>0.19109151351209591</c:v>
                </c:pt>
                <c:pt idx="50">
                  <c:v>0.18974579862820801</c:v>
                </c:pt>
                <c:pt idx="51">
                  <c:v>0.18840956060969904</c:v>
                </c:pt>
                <c:pt idx="52">
                  <c:v>0.18708273271808143</c:v>
                </c:pt>
                <c:pt idx="53">
                  <c:v>0.18576524868485594</c:v>
                </c:pt>
                <c:pt idx="54">
                  <c:v>0.18445704270820218</c:v>
                </c:pt>
                <c:pt idx="55">
                  <c:v>0.18315804944969324</c:v>
                </c:pt>
              </c:numCache>
            </c:numRef>
          </c:val>
        </c:ser>
        <c:ser>
          <c:idx val="0"/>
          <c:order val="1"/>
          <c:spPr>
            <a:ln>
              <a:solidFill>
                <a:srgbClr val="FF0000"/>
              </a:solidFill>
            </a:ln>
          </c:spPr>
          <c:marker>
            <c:symbol val="triangle"/>
            <c:size val="5"/>
            <c:spPr>
              <a:solidFill>
                <a:srgbClr val="FF0000"/>
              </a:solidFill>
              <a:ln>
                <a:solidFill>
                  <a:srgbClr val="FF0000"/>
                </a:solidFill>
              </a:ln>
            </c:spPr>
          </c:marker>
          <c:dPt>
            <c:idx val="43"/>
            <c:spPr>
              <a:ln>
                <a:solidFill>
                  <a:srgbClr val="FF0000"/>
                </a:solidFill>
                <a:prstDash val="sysDash"/>
              </a:ln>
            </c:spPr>
          </c:dPt>
          <c:dPt>
            <c:idx val="44"/>
            <c:spPr>
              <a:ln>
                <a:solidFill>
                  <a:srgbClr val="FF0000"/>
                </a:solidFill>
                <a:prstDash val="sysDash"/>
              </a:ln>
            </c:spPr>
          </c:dPt>
          <c:dPt>
            <c:idx val="45"/>
            <c:spPr>
              <a:ln>
                <a:solidFill>
                  <a:srgbClr val="FF0000"/>
                </a:solidFill>
                <a:prstDash val="sysDash"/>
              </a:ln>
            </c:spPr>
          </c:dPt>
          <c:dPt>
            <c:idx val="46"/>
            <c:spPr>
              <a:ln>
                <a:solidFill>
                  <a:srgbClr val="FF0000"/>
                </a:solidFill>
                <a:prstDash val="sysDash"/>
              </a:ln>
            </c:spPr>
          </c:dPt>
          <c:dPt>
            <c:idx val="47"/>
            <c:spPr>
              <a:ln>
                <a:solidFill>
                  <a:srgbClr val="FF0000"/>
                </a:solidFill>
                <a:prstDash val="sysDash"/>
              </a:ln>
            </c:spPr>
          </c:dPt>
          <c:dPt>
            <c:idx val="48"/>
            <c:spPr>
              <a:ln>
                <a:solidFill>
                  <a:srgbClr val="FF0000"/>
                </a:solidFill>
                <a:prstDash val="sysDash"/>
              </a:ln>
            </c:spPr>
          </c:dPt>
          <c:dPt>
            <c:idx val="49"/>
            <c:spPr>
              <a:ln>
                <a:solidFill>
                  <a:srgbClr val="FF0000"/>
                </a:solidFill>
                <a:prstDash val="sysDash"/>
              </a:ln>
            </c:spPr>
          </c:dPt>
          <c:dPt>
            <c:idx val="50"/>
            <c:spPr>
              <a:ln>
                <a:solidFill>
                  <a:srgbClr val="FF0000"/>
                </a:solidFill>
                <a:prstDash val="sysDash"/>
              </a:ln>
            </c:spPr>
          </c:dPt>
          <c:dLbls>
            <c:dLbl>
              <c:idx val="42"/>
              <c:delete val="1"/>
            </c:dLbl>
            <c:dLbl>
              <c:idx val="43"/>
              <c:delete val="1"/>
            </c:dLbl>
            <c:dLbl>
              <c:idx val="44"/>
              <c:delete val="1"/>
            </c:dLbl>
            <c:dLbl>
              <c:idx val="45"/>
              <c:delete val="1"/>
            </c:dLbl>
            <c:dLbl>
              <c:idx val="46"/>
              <c:delete val="1"/>
            </c:dLbl>
            <c:dLbl>
              <c:idx val="47"/>
              <c:delete val="1"/>
            </c:dLbl>
            <c:dLbl>
              <c:idx val="48"/>
              <c:delete val="1"/>
            </c:dLbl>
            <c:dLbl>
              <c:idx val="49"/>
              <c:delete val="1"/>
            </c:dLbl>
            <c:dLbl>
              <c:idx val="50"/>
              <c:layout>
                <c:manualLayout>
                  <c:x val="-6.3883005234298393E-2"/>
                  <c:y val="-1.2333191424090555E-2"/>
                </c:manualLayout>
              </c:layout>
              <c:showVal val="1"/>
            </c:dLbl>
            <c:dLbl>
              <c:idx val="51"/>
              <c:delete val="1"/>
            </c:dLbl>
            <c:dLbl>
              <c:idx val="52"/>
              <c:delete val="1"/>
            </c:dLbl>
            <c:dLbl>
              <c:idx val="53"/>
              <c:delete val="1"/>
            </c:dLbl>
            <c:dLbl>
              <c:idx val="54"/>
              <c:layout>
                <c:manualLayout>
                  <c:x val="0"/>
                  <c:y val="7.4539525376189925E-3"/>
                </c:manualLayout>
              </c:layout>
              <c:showVal val="1"/>
            </c:dLbl>
            <c:dLbl>
              <c:idx val="55"/>
              <c:layout>
                <c:manualLayout>
                  <c:x val="-1.2421695462224571E-2"/>
                  <c:y val="-9.9388642460706278E-3"/>
                </c:manualLayout>
              </c:layout>
              <c:showVal val="1"/>
            </c:dLbl>
            <c:showVal val="1"/>
          </c:dLbls>
          <c:cat>
            <c:numRef>
              <c:f>'Отношение ИОК к ВВП'!$B$4:$BE$4</c:f>
              <c:numCache>
                <c:formatCode>General</c:formatCode>
                <c:ptCount val="5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pt idx="54">
                  <c:v>2024</c:v>
                </c:pt>
                <c:pt idx="55">
                  <c:v>2025</c:v>
                </c:pt>
              </c:numCache>
            </c:numRef>
          </c:cat>
          <c:val>
            <c:numRef>
              <c:f>'Отношение ИОК к ВВП'!$B$27:$BE$27</c:f>
              <c:numCache>
                <c:formatCode>General</c:formatCode>
                <c:ptCount val="56"/>
                <c:pt idx="43" formatCode="_-* #,##0.000_р_._-;\-* #,##0.000_р_._-;_-* &quot;-&quot;??_р_._-;_-@_-">
                  <c:v>0.19936840582738108</c:v>
                </c:pt>
                <c:pt idx="44" formatCode="_-* #,##0.000_р_._-;\-* #,##0.000_р_._-;_-* &quot;-&quot;??_р_._-;_-@_-">
                  <c:v>0.20323963700849507</c:v>
                </c:pt>
                <c:pt idx="45" formatCode="_-* #,##0.000_р_._-;\-* #,##0.000_р_._-;_-* &quot;-&quot;??_р_._-;_-@_-">
                  <c:v>0.2071860377271065</c:v>
                </c:pt>
                <c:pt idx="46" formatCode="_-* #,##0.000_р_._-;\-* #,##0.000_р_._-;_-* &quot;-&quot;??_р_._-;_-@_-">
                  <c:v>0.21120906758588531</c:v>
                </c:pt>
                <c:pt idx="47" formatCode="_-* #,##0.000_р_._-;\-* #,##0.000_р_._-;_-* &quot;-&quot;??_р_._-;_-@_-">
                  <c:v>0.21531021452930077</c:v>
                </c:pt>
                <c:pt idx="48" formatCode="_-* #,##0.000_р_._-;\-* #,##0.000_р_._-;_-* &quot;-&quot;??_р_._-;_-@_-">
                  <c:v>0.21949099539394712</c:v>
                </c:pt>
                <c:pt idx="49" formatCode="_-* #,##0.000_р_._-;\-* #,##0.000_р_._-;_-* &quot;-&quot;??_р_._-;_-@_-">
                  <c:v>0.22375295646955717</c:v>
                </c:pt>
                <c:pt idx="50" formatCode="_-* #,##0.000_р_._-;\-* #,##0.000_р_._-;_-* &quot;-&quot;??_р_._-;_-@_-">
                  <c:v>0.22809767407090786</c:v>
                </c:pt>
                <c:pt idx="51" formatCode="_-* #,##0.000_р_._-;\-* #,##0.000_р_._-;_-* &quot;-&quot;??_р_._-;_-@_-">
                  <c:v>0.2325267551208284</c:v>
                </c:pt>
                <c:pt idx="52" formatCode="_-* #,##0.000_р_._-;\-* #,##0.000_р_._-;_-* &quot;-&quot;??_р_._-;_-@_-">
                  <c:v>0.23704183774453391</c:v>
                </c:pt>
                <c:pt idx="53" formatCode="_-* #,##0.000_р_._-;\-* #,##0.000_р_._-;_-* &quot;-&quot;??_р_._-;_-@_-">
                  <c:v>0.24164459187549653</c:v>
                </c:pt>
                <c:pt idx="54" formatCode="_-* #,##0.000_р_._-;\-* #,##0.000_р_._-;_-* &quot;-&quot;??_р_._-;_-@_-">
                  <c:v>0.2463367198730782</c:v>
                </c:pt>
                <c:pt idx="55" formatCode="_-* #,##0.000_р_._-;\-* #,##0.000_р_._-;_-* &quot;-&quot;??_р_._-;_-@_-">
                  <c:v>0.25111995715216701</c:v>
                </c:pt>
              </c:numCache>
            </c:numRef>
          </c:val>
        </c:ser>
        <c:ser>
          <c:idx val="1"/>
          <c:order val="2"/>
          <c:marker>
            <c:symbol val="circle"/>
            <c:size val="7"/>
            <c:spPr>
              <a:solidFill>
                <a:schemeClr val="tx1"/>
              </a:solidFill>
              <a:ln>
                <a:solidFill>
                  <a:schemeClr val="tx1"/>
                </a:solidFill>
              </a:ln>
            </c:spPr>
          </c:marker>
          <c:cat>
            <c:numRef>
              <c:f>'Отношение ИОК к ВВП'!$B$4:$BE$4</c:f>
              <c:numCache>
                <c:formatCode>General</c:formatCode>
                <c:ptCount val="5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pt idx="54">
                  <c:v>2024</c:v>
                </c:pt>
                <c:pt idx="55">
                  <c:v>2025</c:v>
                </c:pt>
              </c:numCache>
            </c:numRef>
          </c:cat>
          <c:val>
            <c:numRef>
              <c:f>'Отношение ИОК к ВВП'!$B$28:$AY$28</c:f>
              <c:numCache>
                <c:formatCode>General</c:formatCode>
                <c:ptCount val="50"/>
                <c:pt idx="42" formatCode="_-* #,##0.000_р_._-;\-* #,##0.000_р_._-;_-* &quot;-&quot;??_р_._-;_-@_-">
                  <c:v>0.27900000000000008</c:v>
                </c:pt>
              </c:numCache>
            </c:numRef>
          </c:val>
        </c:ser>
        <c:ser>
          <c:idx val="3"/>
          <c:order val="3"/>
          <c:marker>
            <c:symbol val="circle"/>
            <c:size val="7"/>
            <c:spPr>
              <a:solidFill>
                <a:schemeClr val="tx1"/>
              </a:solidFill>
              <a:ln>
                <a:solidFill>
                  <a:schemeClr val="tx1"/>
                </a:solidFill>
              </a:ln>
            </c:spPr>
          </c:marker>
          <c:cat>
            <c:numRef>
              <c:f>'Отношение ИОК к ВВП'!$B$4:$BE$4</c:f>
              <c:numCache>
                <c:formatCode>General</c:formatCode>
                <c:ptCount val="5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pt idx="54">
                  <c:v>2024</c:v>
                </c:pt>
                <c:pt idx="55">
                  <c:v>2025</c:v>
                </c:pt>
              </c:numCache>
            </c:numRef>
          </c:cat>
          <c:val>
            <c:numRef>
              <c:f>'Отношение ИОК к ВВП'!$B$29:$AY$29</c:f>
              <c:numCache>
                <c:formatCode>General</c:formatCode>
                <c:ptCount val="50"/>
                <c:pt idx="41" formatCode="_-* #,##0.000_р_._-;\-* #,##0.000_р_._-;_-* &quot;-&quot;??_р_._-;_-@_-">
                  <c:v>0.23900000000000021</c:v>
                </c:pt>
              </c:numCache>
            </c:numRef>
          </c:val>
        </c:ser>
        <c:ser>
          <c:idx val="4"/>
          <c:order val="4"/>
          <c:marker>
            <c:symbol val="circle"/>
            <c:size val="7"/>
            <c:spPr>
              <a:solidFill>
                <a:schemeClr val="tx1"/>
              </a:solidFill>
              <a:ln>
                <a:solidFill>
                  <a:schemeClr val="tx1"/>
                </a:solidFill>
              </a:ln>
            </c:spPr>
          </c:marker>
          <c:cat>
            <c:numRef>
              <c:f>'Отношение ИОК к ВВП'!$B$4:$BE$4</c:f>
              <c:numCache>
                <c:formatCode>General</c:formatCode>
                <c:ptCount val="5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pt idx="54">
                  <c:v>2024</c:v>
                </c:pt>
                <c:pt idx="55">
                  <c:v>2025</c:v>
                </c:pt>
              </c:numCache>
            </c:numRef>
          </c:cat>
          <c:val>
            <c:numRef>
              <c:f>'Отношение ИОК к ВВП'!$B$30:$AY$30</c:f>
              <c:numCache>
                <c:formatCode>General</c:formatCode>
                <c:ptCount val="50"/>
                <c:pt idx="42" formatCode="_-* #,##0.000_р_._-;\-* #,##0.000_р_._-;_-* &quot;-&quot;??_р_._-;_-@_-">
                  <c:v>0.23600000000000004</c:v>
                </c:pt>
              </c:numCache>
            </c:numRef>
          </c:val>
        </c:ser>
        <c:ser>
          <c:idx val="5"/>
          <c:order val="5"/>
          <c:spPr>
            <a:ln>
              <a:solidFill>
                <a:srgbClr val="FF0000"/>
              </a:solidFill>
              <a:prstDash val="sysDash"/>
            </a:ln>
          </c:spPr>
          <c:marker>
            <c:symbol val="none"/>
          </c:marker>
          <c:cat>
            <c:numRef>
              <c:f>'Отношение ИОК к ВВП'!$B$4:$BE$4</c:f>
              <c:numCache>
                <c:formatCode>General</c:formatCode>
                <c:ptCount val="56"/>
                <c:pt idx="0">
                  <c:v>1970</c:v>
                </c:pt>
                <c:pt idx="1">
                  <c:v>1971</c:v>
                </c:pt>
                <c:pt idx="2">
                  <c:v>1972</c:v>
                </c:pt>
                <c:pt idx="3">
                  <c:v>1973</c:v>
                </c:pt>
                <c:pt idx="4">
                  <c:v>1974</c:v>
                </c:pt>
                <c:pt idx="5">
                  <c:v>1975</c:v>
                </c:pt>
                <c:pt idx="6">
                  <c:v>1976</c:v>
                </c:pt>
                <c:pt idx="7">
                  <c:v>1977</c:v>
                </c:pt>
                <c:pt idx="8">
                  <c:v>1978</c:v>
                </c:pt>
                <c:pt idx="9">
                  <c:v>1979</c:v>
                </c:pt>
                <c:pt idx="10">
                  <c:v>1980</c:v>
                </c:pt>
                <c:pt idx="11">
                  <c:v>1981</c:v>
                </c:pt>
                <c:pt idx="12">
                  <c:v>1982</c:v>
                </c:pt>
                <c:pt idx="13">
                  <c:v>1983</c:v>
                </c:pt>
                <c:pt idx="14">
                  <c:v>1984</c:v>
                </c:pt>
                <c:pt idx="15">
                  <c:v>1985</c:v>
                </c:pt>
                <c:pt idx="16">
                  <c:v>1986</c:v>
                </c:pt>
                <c:pt idx="17">
                  <c:v>1987</c:v>
                </c:pt>
                <c:pt idx="18">
                  <c:v>1988</c:v>
                </c:pt>
                <c:pt idx="19">
                  <c:v>1989</c:v>
                </c:pt>
                <c:pt idx="20">
                  <c:v>1990</c:v>
                </c:pt>
                <c:pt idx="21">
                  <c:v>1991</c:v>
                </c:pt>
                <c:pt idx="22">
                  <c:v>1992</c:v>
                </c:pt>
                <c:pt idx="23">
                  <c:v>1993</c:v>
                </c:pt>
                <c:pt idx="24">
                  <c:v>1994</c:v>
                </c:pt>
                <c:pt idx="25">
                  <c:v>1995</c:v>
                </c:pt>
                <c:pt idx="26">
                  <c:v>1996</c:v>
                </c:pt>
                <c:pt idx="27">
                  <c:v>1997</c:v>
                </c:pt>
                <c:pt idx="28">
                  <c:v>1998</c:v>
                </c:pt>
                <c:pt idx="29">
                  <c:v>1999</c:v>
                </c:pt>
                <c:pt idx="30">
                  <c:v>2000</c:v>
                </c:pt>
                <c:pt idx="31">
                  <c:v>2001</c:v>
                </c:pt>
                <c:pt idx="32">
                  <c:v>2002</c:v>
                </c:pt>
                <c:pt idx="33">
                  <c:v>2003</c:v>
                </c:pt>
                <c:pt idx="34">
                  <c:v>2004</c:v>
                </c:pt>
                <c:pt idx="35">
                  <c:v>2005</c:v>
                </c:pt>
                <c:pt idx="36">
                  <c:v>2006</c:v>
                </c:pt>
                <c:pt idx="37">
                  <c:v>2007</c:v>
                </c:pt>
                <c:pt idx="38">
                  <c:v>2008</c:v>
                </c:pt>
                <c:pt idx="39">
                  <c:v>2009</c:v>
                </c:pt>
                <c:pt idx="40">
                  <c:v>2010</c:v>
                </c:pt>
                <c:pt idx="41">
                  <c:v>2011</c:v>
                </c:pt>
                <c:pt idx="42">
                  <c:v>2012</c:v>
                </c:pt>
                <c:pt idx="43">
                  <c:v>2013</c:v>
                </c:pt>
                <c:pt idx="44">
                  <c:v>2014</c:v>
                </c:pt>
                <c:pt idx="45">
                  <c:v>2015</c:v>
                </c:pt>
                <c:pt idx="46">
                  <c:v>2016</c:v>
                </c:pt>
                <c:pt idx="47">
                  <c:v>2017</c:v>
                </c:pt>
                <c:pt idx="48">
                  <c:v>2018</c:v>
                </c:pt>
                <c:pt idx="49">
                  <c:v>2019</c:v>
                </c:pt>
                <c:pt idx="50">
                  <c:v>2020</c:v>
                </c:pt>
                <c:pt idx="51">
                  <c:v>2021</c:v>
                </c:pt>
                <c:pt idx="52">
                  <c:v>2022</c:v>
                </c:pt>
                <c:pt idx="53">
                  <c:v>2023</c:v>
                </c:pt>
                <c:pt idx="54">
                  <c:v>2024</c:v>
                </c:pt>
                <c:pt idx="55">
                  <c:v>2025</c:v>
                </c:pt>
              </c:numCache>
            </c:numRef>
          </c:cat>
          <c:val>
            <c:numRef>
              <c:f>'Отношение ИОК к ВВП'!$B$9:$AY$9</c:f>
              <c:numCache>
                <c:formatCode>General</c:formatCode>
                <c:ptCount val="50"/>
                <c:pt idx="8" formatCode="_-* #,##0.000_р_._-;\-* #,##0.000_р_._-;_-* &quot;-&quot;??_р_._-;_-@_-">
                  <c:v>0.24700000000000041</c:v>
                </c:pt>
                <c:pt idx="9" formatCode="_-* #,##0.000_р_._-;\-* #,##0.000_р_._-;_-* &quot;-&quot;??_р_._-;_-@_-">
                  <c:v>0.24700000000000041</c:v>
                </c:pt>
                <c:pt idx="10" formatCode="_-* #,##0.000_р_._-;\-* #,##0.000_р_._-;_-* &quot;-&quot;??_р_._-;_-@_-">
                  <c:v>0.24700000000000041</c:v>
                </c:pt>
                <c:pt idx="11" formatCode="_-* #,##0.000_р_._-;\-* #,##0.000_р_._-;_-* &quot;-&quot;??_р_._-;_-@_-">
                  <c:v>0.24700000000000041</c:v>
                </c:pt>
                <c:pt idx="12" formatCode="_-* #,##0.000_р_._-;\-* #,##0.000_р_._-;_-* &quot;-&quot;??_р_._-;_-@_-">
                  <c:v>0.24700000000000041</c:v>
                </c:pt>
                <c:pt idx="13" formatCode="_-* #,##0.000_р_._-;\-* #,##0.000_р_._-;_-* &quot;-&quot;??_р_._-;_-@_-">
                  <c:v>0.24700000000000041</c:v>
                </c:pt>
                <c:pt idx="14" formatCode="_-* #,##0.000_р_._-;\-* #,##0.000_р_._-;_-* &quot;-&quot;??_р_._-;_-@_-">
                  <c:v>0.24700000000000041</c:v>
                </c:pt>
              </c:numCache>
            </c:numRef>
          </c:val>
        </c:ser>
        <c:ser>
          <c:idx val="6"/>
          <c:order val="6"/>
          <c:spPr>
            <a:ln>
              <a:solidFill>
                <a:srgbClr val="FF0000"/>
              </a:solidFill>
              <a:prstDash val="sysDash"/>
            </a:ln>
          </c:spPr>
          <c:marker>
            <c:symbol val="triangle"/>
            <c:size val="5"/>
            <c:spPr>
              <a:solidFill>
                <a:srgbClr val="FF0000"/>
              </a:solidFill>
              <a:ln>
                <a:solidFill>
                  <a:srgbClr val="FF0000"/>
                </a:solidFill>
              </a:ln>
            </c:spPr>
          </c:marker>
          <c:val>
            <c:numRef>
              <c:f>'Отношение ИОК к ВВП'!$B$8:$BE$8</c:f>
              <c:numCache>
                <c:formatCode>General</c:formatCode>
                <c:ptCount val="56"/>
                <c:pt idx="43">
                  <c:v>0.19900000000000001</c:v>
                </c:pt>
                <c:pt idx="44">
                  <c:v>0.19900000000000001</c:v>
                </c:pt>
                <c:pt idx="45">
                  <c:v>0.19900000000000001</c:v>
                </c:pt>
                <c:pt idx="46">
                  <c:v>0.19900000000000001</c:v>
                </c:pt>
                <c:pt idx="47">
                  <c:v>0.19900000000000001</c:v>
                </c:pt>
                <c:pt idx="48">
                  <c:v>0.19900000000000001</c:v>
                </c:pt>
                <c:pt idx="49">
                  <c:v>0.19900000000000001</c:v>
                </c:pt>
                <c:pt idx="50">
                  <c:v>0.19900000000000001</c:v>
                </c:pt>
                <c:pt idx="51">
                  <c:v>0.19900000000000001</c:v>
                </c:pt>
                <c:pt idx="52">
                  <c:v>0.19900000000000001</c:v>
                </c:pt>
                <c:pt idx="53">
                  <c:v>0.19900000000000001</c:v>
                </c:pt>
                <c:pt idx="54">
                  <c:v>0.19900000000000001</c:v>
                </c:pt>
                <c:pt idx="55">
                  <c:v>0.19900000000000001</c:v>
                </c:pt>
              </c:numCache>
            </c:numRef>
          </c:val>
        </c:ser>
        <c:marker val="1"/>
        <c:axId val="251083008"/>
        <c:axId val="249827712"/>
      </c:lineChart>
      <c:catAx>
        <c:axId val="251083008"/>
        <c:scaling>
          <c:orientation val="minMax"/>
        </c:scaling>
        <c:axPos val="b"/>
        <c:numFmt formatCode="General" sourceLinked="1"/>
        <c:tickLblPos val="nextTo"/>
        <c:txPr>
          <a:bodyPr/>
          <a:lstStyle/>
          <a:p>
            <a:pPr>
              <a:defRPr sz="1100"/>
            </a:pPr>
            <a:endParaRPr lang="ru-RU"/>
          </a:p>
        </c:txPr>
        <c:crossAx val="249827712"/>
        <c:crosses val="autoZero"/>
        <c:auto val="1"/>
        <c:lblAlgn val="ctr"/>
        <c:lblOffset val="100"/>
        <c:tickLblSkip val="5"/>
      </c:catAx>
      <c:valAx>
        <c:axId val="249827712"/>
        <c:scaling>
          <c:orientation val="minMax"/>
          <c:max val="0.32000000000000223"/>
          <c:min val="0.12000000000000002"/>
        </c:scaling>
        <c:axPos val="l"/>
        <c:majorGridlines/>
        <c:numFmt formatCode="#,##0.00" sourceLinked="0"/>
        <c:tickLblPos val="nextTo"/>
        <c:txPr>
          <a:bodyPr/>
          <a:lstStyle/>
          <a:p>
            <a:pPr>
              <a:defRPr sz="1100"/>
            </a:pPr>
            <a:endParaRPr lang="ru-RU"/>
          </a:p>
        </c:txPr>
        <c:crossAx val="251083008"/>
        <c:crosses val="autoZero"/>
        <c:crossBetween val="between"/>
      </c:valAx>
      <c:spPr>
        <a:noFill/>
        <a:ln w="25400">
          <a:noFill/>
        </a:ln>
      </c:spPr>
    </c:plotArea>
    <c:plotVisOnly val="1"/>
    <c:dispBlanksAs val="gap"/>
  </c:chart>
  <c:externalData r:id="rId1"/>
  <c:userShapes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9236717830848009E-2"/>
          <c:y val="2.5448666256124752E-2"/>
          <c:w val="0.7009632056936087"/>
          <c:h val="0.91712912794974732"/>
        </c:manualLayout>
      </c:layout>
      <c:lineChart>
        <c:grouping val="standard"/>
        <c:ser>
          <c:idx val="0"/>
          <c:order val="0"/>
          <c:tx>
            <c:strRef>
              <c:f>Лист1!$B$214</c:f>
              <c:strCache>
                <c:ptCount val="1"/>
                <c:pt idx="0">
                  <c:v>№1(5.1%)</c:v>
                </c:pt>
              </c:strCache>
            </c:strRef>
          </c:tx>
          <c:spPr>
            <a:ln>
              <a:solidFill>
                <a:schemeClr val="accent2">
                  <a:lumMod val="50000"/>
                </a:schemeClr>
              </a:solidFill>
            </a:ln>
          </c:spPr>
          <c:marker>
            <c:symbol val="circle"/>
            <c:size val="7"/>
            <c:spPr>
              <a:solidFill>
                <a:schemeClr val="accent2">
                  <a:lumMod val="50000"/>
                </a:schemeClr>
              </a:solidFill>
              <a:ln>
                <a:solidFill>
                  <a:srgbClr val="C0504D">
                    <a:lumMod val="50000"/>
                  </a:srgbClr>
                </a:solidFill>
              </a:ln>
            </c:spPr>
          </c:marker>
          <c:dLbls>
            <c:dLbl>
              <c:idx val="6"/>
              <c:dLblPos val="l"/>
              <c:showVal val="1"/>
            </c:dLbl>
            <c:dLbl>
              <c:idx val="7"/>
              <c:dLblPos val="l"/>
              <c:showVal val="1"/>
            </c:dLbl>
            <c:delete val="1"/>
            <c:txPr>
              <a:bodyPr/>
              <a:lstStyle/>
              <a:p>
                <a:pPr>
                  <a:defRPr sz="1400" b="1">
                    <a:solidFill>
                      <a:schemeClr val="accent2">
                        <a:lumMod val="75000"/>
                      </a:schemeClr>
                    </a:solidFill>
                  </a:defRPr>
                </a:pPr>
                <a:endParaRPr lang="ru-RU"/>
              </a:p>
            </c:txPr>
            <c:dLblPos val="l"/>
          </c:dLbls>
          <c:cat>
            <c:numRef>
              <c:f>Лист1!$C$213:$J$213</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Лист1!$C$214:$J$214</c:f>
              <c:numCache>
                <c:formatCode>0.00</c:formatCode>
                <c:ptCount val="8"/>
                <c:pt idx="0" formatCode="General">
                  <c:v>1</c:v>
                </c:pt>
                <c:pt idx="1">
                  <c:v>1.0509999999999979</c:v>
                </c:pt>
                <c:pt idx="2">
                  <c:v>1.1046</c:v>
                </c:pt>
                <c:pt idx="3">
                  <c:v>1.1609</c:v>
                </c:pt>
                <c:pt idx="4">
                  <c:v>1.22</c:v>
                </c:pt>
                <c:pt idx="5">
                  <c:v>1.282</c:v>
                </c:pt>
                <c:pt idx="6">
                  <c:v>1.3480000000000001</c:v>
                </c:pt>
                <c:pt idx="7">
                  <c:v>1.4169999999999974</c:v>
                </c:pt>
              </c:numCache>
            </c:numRef>
          </c:val>
        </c:ser>
        <c:ser>
          <c:idx val="1"/>
          <c:order val="1"/>
          <c:tx>
            <c:strRef>
              <c:f>Лист1!$B$215</c:f>
              <c:strCache>
                <c:ptCount val="1"/>
                <c:pt idx="0">
                  <c:v>№2  (4.6%)</c:v>
                </c:pt>
              </c:strCache>
            </c:strRef>
          </c:tx>
          <c:spPr>
            <a:ln>
              <a:solidFill>
                <a:schemeClr val="accent2">
                  <a:lumMod val="40000"/>
                  <a:lumOff val="60000"/>
                </a:schemeClr>
              </a:solidFill>
            </a:ln>
          </c:spPr>
          <c:marker>
            <c:symbol val="circle"/>
            <c:size val="7"/>
            <c:spPr>
              <a:solidFill>
                <a:schemeClr val="accent2">
                  <a:lumMod val="40000"/>
                  <a:lumOff val="60000"/>
                </a:schemeClr>
              </a:solidFill>
              <a:ln>
                <a:solidFill>
                  <a:srgbClr val="C0504D">
                    <a:lumMod val="40000"/>
                    <a:lumOff val="60000"/>
                  </a:srgbClr>
                </a:solidFill>
              </a:ln>
            </c:spPr>
          </c:marker>
          <c:dLbls>
            <c:dLbl>
              <c:idx val="6"/>
              <c:dLblPos val="r"/>
              <c:showVal val="1"/>
            </c:dLbl>
            <c:dLbl>
              <c:idx val="7"/>
              <c:dLblPos val="r"/>
              <c:showVal val="1"/>
            </c:dLbl>
            <c:delete val="1"/>
            <c:spPr>
              <a:solidFill>
                <a:sysClr val="window" lastClr="FFFFFF"/>
              </a:solidFill>
            </c:spPr>
            <c:txPr>
              <a:bodyPr/>
              <a:lstStyle/>
              <a:p>
                <a:pPr>
                  <a:defRPr sz="1100" b="1">
                    <a:solidFill>
                      <a:schemeClr val="accent2">
                        <a:lumMod val="60000"/>
                        <a:lumOff val="40000"/>
                      </a:schemeClr>
                    </a:solidFill>
                  </a:defRPr>
                </a:pPr>
                <a:endParaRPr lang="ru-RU"/>
              </a:p>
            </c:txPr>
            <c:dLblPos val="r"/>
          </c:dLbls>
          <c:cat>
            <c:numRef>
              <c:f>Лист1!$C$213:$J$213</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Лист1!$C$215:$J$215</c:f>
              <c:numCache>
                <c:formatCode>General</c:formatCode>
                <c:ptCount val="8"/>
                <c:pt idx="0">
                  <c:v>1</c:v>
                </c:pt>
                <c:pt idx="1">
                  <c:v>1.046</c:v>
                </c:pt>
                <c:pt idx="2">
                  <c:v>1.0940000000000001</c:v>
                </c:pt>
                <c:pt idx="3">
                  <c:v>1.1439999999999977</c:v>
                </c:pt>
                <c:pt idx="4">
                  <c:v>1.1970000000000001</c:v>
                </c:pt>
                <c:pt idx="5">
                  <c:v>1.252</c:v>
                </c:pt>
                <c:pt idx="6">
                  <c:v>1.31</c:v>
                </c:pt>
                <c:pt idx="7">
                  <c:v>1.37</c:v>
                </c:pt>
              </c:numCache>
            </c:numRef>
          </c:val>
        </c:ser>
        <c:ser>
          <c:idx val="2"/>
          <c:order val="2"/>
          <c:tx>
            <c:strRef>
              <c:f>Лист1!$B$216</c:f>
              <c:strCache>
                <c:ptCount val="1"/>
                <c:pt idx="0">
                  <c:v>№3 (3.1%)</c:v>
                </c:pt>
              </c:strCache>
            </c:strRef>
          </c:tx>
          <c:spPr>
            <a:ln>
              <a:solidFill>
                <a:schemeClr val="accent6">
                  <a:lumMod val="75000"/>
                </a:schemeClr>
              </a:solidFill>
            </a:ln>
          </c:spPr>
          <c:marker>
            <c:symbol val="circle"/>
            <c:size val="7"/>
            <c:spPr>
              <a:solidFill>
                <a:schemeClr val="accent6">
                  <a:lumMod val="75000"/>
                </a:schemeClr>
              </a:solidFill>
              <a:ln>
                <a:solidFill>
                  <a:srgbClr val="F79646">
                    <a:lumMod val="75000"/>
                  </a:srgbClr>
                </a:solidFill>
              </a:ln>
            </c:spPr>
          </c:marker>
          <c:dLbls>
            <c:dLbl>
              <c:idx val="6"/>
              <c:layout>
                <c:manualLayout>
                  <c:x val="-2.1322489644111691E-2"/>
                  <c:y val="1.3752913921197565E-2"/>
                </c:manualLayout>
              </c:layout>
              <c:showVal val="1"/>
            </c:dLbl>
            <c:dLbl>
              <c:idx val="7"/>
              <c:layout>
                <c:manualLayout>
                  <c:x val="-5.3514738464624234E-3"/>
                  <c:y val="-2.4794649893154008E-2"/>
                </c:manualLayout>
              </c:layout>
              <c:showVal val="1"/>
            </c:dLbl>
            <c:delete val="1"/>
            <c:txPr>
              <a:bodyPr/>
              <a:lstStyle/>
              <a:p>
                <a:pPr>
                  <a:defRPr sz="1200" b="1">
                    <a:solidFill>
                      <a:schemeClr val="accent6">
                        <a:lumMod val="75000"/>
                      </a:schemeClr>
                    </a:solidFill>
                  </a:defRPr>
                </a:pPr>
                <a:endParaRPr lang="ru-RU"/>
              </a:p>
            </c:txPr>
          </c:dLbls>
          <c:cat>
            <c:numRef>
              <c:f>Лист1!$C$213:$J$213</c:f>
              <c:numCache>
                <c:formatCode>General</c:formatCode>
                <c:ptCount val="8"/>
                <c:pt idx="0">
                  <c:v>2013</c:v>
                </c:pt>
                <c:pt idx="1">
                  <c:v>2014</c:v>
                </c:pt>
                <c:pt idx="2">
                  <c:v>2015</c:v>
                </c:pt>
                <c:pt idx="3">
                  <c:v>2016</c:v>
                </c:pt>
                <c:pt idx="4">
                  <c:v>2017</c:v>
                </c:pt>
                <c:pt idx="5">
                  <c:v>2018</c:v>
                </c:pt>
                <c:pt idx="6">
                  <c:v>2019</c:v>
                </c:pt>
                <c:pt idx="7">
                  <c:v>2020</c:v>
                </c:pt>
              </c:numCache>
            </c:numRef>
          </c:cat>
          <c:val>
            <c:numRef>
              <c:f>Лист1!$C$216:$J$216</c:f>
              <c:numCache>
                <c:formatCode>General</c:formatCode>
                <c:ptCount val="8"/>
                <c:pt idx="0">
                  <c:v>1</c:v>
                </c:pt>
                <c:pt idx="1">
                  <c:v>1.0309999999999977</c:v>
                </c:pt>
                <c:pt idx="2">
                  <c:v>1.0629999999999979</c:v>
                </c:pt>
                <c:pt idx="3">
                  <c:v>1.0960000000000001</c:v>
                </c:pt>
                <c:pt idx="4">
                  <c:v>1.1299999999999977</c:v>
                </c:pt>
                <c:pt idx="5">
                  <c:v>1.165</c:v>
                </c:pt>
                <c:pt idx="6">
                  <c:v>1.2</c:v>
                </c:pt>
                <c:pt idx="7">
                  <c:v>1.24</c:v>
                </c:pt>
              </c:numCache>
            </c:numRef>
          </c:val>
        </c:ser>
        <c:ser>
          <c:idx val="3"/>
          <c:order val="3"/>
          <c:tx>
            <c:strRef>
              <c:f>Лист1!$B$217</c:f>
              <c:strCache>
                <c:ptCount val="1"/>
                <c:pt idx="0">
                  <c:v>№4 (2,5%)</c:v>
                </c:pt>
              </c:strCache>
            </c:strRef>
          </c:tx>
          <c:spPr>
            <a:ln>
              <a:solidFill>
                <a:srgbClr val="731175"/>
              </a:solidFill>
            </a:ln>
          </c:spPr>
          <c:marker>
            <c:symbol val="circle"/>
            <c:size val="7"/>
            <c:spPr>
              <a:solidFill>
                <a:srgbClr val="731175"/>
              </a:solidFill>
              <a:ln>
                <a:solidFill>
                  <a:srgbClr val="731175"/>
                </a:solidFill>
              </a:ln>
            </c:spPr>
          </c:marker>
          <c:dLbls>
            <c:dLbl>
              <c:idx val="4"/>
              <c:layout>
                <c:manualLayout>
                  <c:x val="-4.5310290493737526E-2"/>
                  <c:y val="2.2921523201995989E-2"/>
                </c:manualLayout>
              </c:layout>
              <c:showVal val="1"/>
            </c:dLbl>
            <c:dLbl>
              <c:idx val="6"/>
              <c:layout>
                <c:manualLayout>
                  <c:x val="-3.1983734466167611E-2"/>
                  <c:y val="3.4382284802994018E-2"/>
                </c:manualLayout>
              </c:layout>
              <c:showVal val="1"/>
            </c:dLbl>
            <c:dLbl>
              <c:idx val="7"/>
              <c:showVal val="1"/>
            </c:dLbl>
            <c:delete val="1"/>
            <c:txPr>
              <a:bodyPr/>
              <a:lstStyle/>
              <a:p>
                <a:pPr>
                  <a:defRPr b="1">
                    <a:solidFill>
                      <a:srgbClr val="731175"/>
                    </a:solidFill>
                  </a:defRPr>
                </a:pPr>
                <a:endParaRPr lang="ru-RU"/>
              </a:p>
            </c:txPr>
          </c:dLbls>
          <c:val>
            <c:numRef>
              <c:f>Лист1!$C$217:$J$217</c:f>
              <c:numCache>
                <c:formatCode>0.00</c:formatCode>
                <c:ptCount val="8"/>
                <c:pt idx="0" formatCode="General">
                  <c:v>1</c:v>
                </c:pt>
                <c:pt idx="1">
                  <c:v>1.0249999999999977</c:v>
                </c:pt>
                <c:pt idx="2">
                  <c:v>1.0506249999999977</c:v>
                </c:pt>
                <c:pt idx="3">
                  <c:v>1.0768906249999999</c:v>
                </c:pt>
                <c:pt idx="4">
                  <c:v>1.1038128906249998</c:v>
                </c:pt>
                <c:pt idx="5">
                  <c:v>1.1314082128906238</c:v>
                </c:pt>
                <c:pt idx="6">
                  <c:v>1.1596934182128882</c:v>
                </c:pt>
                <c:pt idx="7">
                  <c:v>1.1886857536682147</c:v>
                </c:pt>
              </c:numCache>
            </c:numRef>
          </c:val>
        </c:ser>
        <c:marker val="1"/>
        <c:axId val="267098752"/>
        <c:axId val="270799232"/>
      </c:lineChart>
      <c:catAx>
        <c:axId val="267098752"/>
        <c:scaling>
          <c:orientation val="minMax"/>
        </c:scaling>
        <c:axPos val="b"/>
        <c:numFmt formatCode="General" sourceLinked="1"/>
        <c:tickLblPos val="nextTo"/>
        <c:crossAx val="270799232"/>
        <c:crosses val="autoZero"/>
        <c:auto val="1"/>
        <c:lblAlgn val="ctr"/>
        <c:lblOffset val="100"/>
      </c:catAx>
      <c:valAx>
        <c:axId val="270799232"/>
        <c:scaling>
          <c:orientation val="minMax"/>
          <c:max val="1.45"/>
          <c:min val="0.8"/>
        </c:scaling>
        <c:axPos val="l"/>
        <c:majorGridlines/>
        <c:numFmt formatCode="General" sourceLinked="1"/>
        <c:tickLblPos val="nextTo"/>
        <c:crossAx val="267098752"/>
        <c:crosses val="autoZero"/>
        <c:crossBetween val="between"/>
      </c:valAx>
    </c:plotArea>
    <c:legend>
      <c:legendPos val="r"/>
      <c:layout>
        <c:manualLayout>
          <c:xMode val="edge"/>
          <c:yMode val="edge"/>
          <c:x val="0.59243175185342156"/>
          <c:y val="0.67328212300418289"/>
          <c:w val="0.20180414285900194"/>
          <c:h val="0.16579516749316542"/>
        </c:manualLayout>
      </c:layout>
    </c:legend>
    <c:plotVisOnly val="1"/>
  </c:chart>
  <c:externalData r:id="rId1"/>
  <c:userShapes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6960949857758924E-2"/>
          <c:y val="2.8100722218916512E-2"/>
          <c:w val="0.80694378468055683"/>
          <c:h val="0.91031417733845499"/>
        </c:manualLayout>
      </c:layout>
      <c:lineChart>
        <c:grouping val="standard"/>
        <c:ser>
          <c:idx val="4"/>
          <c:order val="0"/>
          <c:tx>
            <c:strRef>
              <c:f>Прогнозы!$C$79</c:f>
              <c:strCache>
                <c:ptCount val="1"/>
                <c:pt idx="0">
                  <c:v>Региональный (3,55%)</c:v>
                </c:pt>
              </c:strCache>
            </c:strRef>
          </c:tx>
          <c:spPr>
            <a:ln>
              <a:solidFill>
                <a:srgbClr val="00B050"/>
              </a:solidFill>
            </a:ln>
          </c:spPr>
          <c:marker>
            <c:symbol val="circle"/>
            <c:size val="7"/>
            <c:spPr>
              <a:solidFill>
                <a:srgbClr val="00B050"/>
              </a:solidFill>
              <a:ln>
                <a:solidFill>
                  <a:srgbClr val="00B050"/>
                </a:solidFill>
              </a:ln>
            </c:spPr>
          </c:marker>
          <c:dLbls>
            <c:dLbl>
              <c:idx val="0"/>
              <c:dLblPos val="t"/>
              <c:showVal val="1"/>
            </c:dLbl>
            <c:dLbl>
              <c:idx val="4"/>
              <c:dLblPos val="t"/>
              <c:showVal val="1"/>
            </c:dLbl>
            <c:dLbl>
              <c:idx val="7"/>
              <c:dLblPos val="t"/>
              <c:showVal val="1"/>
            </c:dLbl>
            <c:dLbl>
              <c:idx val="9"/>
              <c:dLblPos val="t"/>
              <c:showVal val="1"/>
            </c:dLbl>
            <c:delete val="1"/>
            <c:txPr>
              <a:bodyPr/>
              <a:lstStyle/>
              <a:p>
                <a:pPr>
                  <a:defRPr sz="1400" b="1">
                    <a:solidFill>
                      <a:srgbClr val="00B050"/>
                    </a:solidFill>
                  </a:defRPr>
                </a:pPr>
                <a:endParaRPr lang="ru-RU"/>
              </a:p>
            </c:txPr>
            <c:dLblPos val="t"/>
          </c:dLbls>
          <c:cat>
            <c:numRef>
              <c:f>Прогнозы!$D$74:$M$74</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Прогнозы!$D$79:$M$79</c:f>
              <c:numCache>
                <c:formatCode>0.0</c:formatCode>
                <c:ptCount val="10"/>
                <c:pt idx="0">
                  <c:v>101.22</c:v>
                </c:pt>
                <c:pt idx="1">
                  <c:v>105.82</c:v>
                </c:pt>
                <c:pt idx="2">
                  <c:v>110.51</c:v>
                </c:pt>
                <c:pt idx="3">
                  <c:v>115.4</c:v>
                </c:pt>
                <c:pt idx="4">
                  <c:v>120.41000000000004</c:v>
                </c:pt>
                <c:pt idx="5">
                  <c:v>124.35</c:v>
                </c:pt>
                <c:pt idx="6">
                  <c:v>128.31</c:v>
                </c:pt>
                <c:pt idx="7">
                  <c:v>131.72</c:v>
                </c:pt>
                <c:pt idx="8">
                  <c:v>135.12</c:v>
                </c:pt>
                <c:pt idx="9">
                  <c:v>138.47</c:v>
                </c:pt>
              </c:numCache>
            </c:numRef>
          </c:val>
        </c:ser>
        <c:ser>
          <c:idx val="3"/>
          <c:order val="1"/>
          <c:tx>
            <c:strRef>
              <c:f>Прогнозы!$C$78</c:f>
              <c:strCache>
                <c:ptCount val="1"/>
                <c:pt idx="0">
                  <c:v>Базовый (2,73%)</c:v>
                </c:pt>
              </c:strCache>
            </c:strRef>
          </c:tx>
          <c:spPr>
            <a:ln>
              <a:solidFill>
                <a:srgbClr val="2C1E92"/>
              </a:solidFill>
            </a:ln>
          </c:spPr>
          <c:marker>
            <c:symbol val="circle"/>
            <c:size val="7"/>
            <c:spPr>
              <a:solidFill>
                <a:srgbClr val="2C1E92"/>
              </a:solidFill>
              <a:ln>
                <a:solidFill>
                  <a:srgbClr val="2C1E92"/>
                </a:solidFill>
              </a:ln>
            </c:spPr>
          </c:marker>
          <c:dLbls>
            <c:dLbl>
              <c:idx val="0"/>
              <c:dLblPos val="t"/>
              <c:showVal val="1"/>
            </c:dLbl>
            <c:dLbl>
              <c:idx val="4"/>
              <c:dLblPos val="t"/>
              <c:showVal val="1"/>
            </c:dLbl>
            <c:dLbl>
              <c:idx val="7"/>
              <c:dLblPos val="t"/>
              <c:showVal val="1"/>
            </c:dLbl>
            <c:dLbl>
              <c:idx val="9"/>
              <c:dLblPos val="t"/>
              <c:showVal val="1"/>
            </c:dLbl>
            <c:delete val="1"/>
            <c:txPr>
              <a:bodyPr/>
              <a:lstStyle/>
              <a:p>
                <a:pPr>
                  <a:defRPr sz="1200" b="1">
                    <a:solidFill>
                      <a:srgbClr val="002060"/>
                    </a:solidFill>
                  </a:defRPr>
                </a:pPr>
                <a:endParaRPr lang="ru-RU"/>
              </a:p>
            </c:txPr>
            <c:dLblPos val="t"/>
          </c:dLbls>
          <c:cat>
            <c:numRef>
              <c:f>Прогнозы!$D$74:$M$74</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Прогнозы!$D$78:$M$78</c:f>
              <c:numCache>
                <c:formatCode>0.0</c:formatCode>
                <c:ptCount val="10"/>
                <c:pt idx="0">
                  <c:v>99.4</c:v>
                </c:pt>
                <c:pt idx="1">
                  <c:v>103.09</c:v>
                </c:pt>
                <c:pt idx="2">
                  <c:v>108.26</c:v>
                </c:pt>
                <c:pt idx="3">
                  <c:v>111.52</c:v>
                </c:pt>
                <c:pt idx="4">
                  <c:v>114.69</c:v>
                </c:pt>
                <c:pt idx="5">
                  <c:v>118.02</c:v>
                </c:pt>
                <c:pt idx="6">
                  <c:v>121.28</c:v>
                </c:pt>
                <c:pt idx="7">
                  <c:v>123.5</c:v>
                </c:pt>
                <c:pt idx="8">
                  <c:v>125.5</c:v>
                </c:pt>
                <c:pt idx="9">
                  <c:v>127.91000000000004</c:v>
                </c:pt>
              </c:numCache>
            </c:numRef>
          </c:val>
        </c:ser>
        <c:ser>
          <c:idx val="1"/>
          <c:order val="2"/>
          <c:tx>
            <c:strRef>
              <c:f>Прогнозы!$C$76</c:f>
              <c:strCache>
                <c:ptCount val="1"/>
                <c:pt idx="0">
                  <c:v>Москва-мировой город (2,6%)</c:v>
                </c:pt>
              </c:strCache>
            </c:strRef>
          </c:tx>
          <c:spPr>
            <a:ln>
              <a:solidFill>
                <a:schemeClr val="accent6">
                  <a:lumMod val="50000"/>
                </a:schemeClr>
              </a:solidFill>
            </a:ln>
          </c:spPr>
          <c:marker>
            <c:symbol val="circle"/>
            <c:size val="7"/>
            <c:spPr>
              <a:solidFill>
                <a:schemeClr val="accent6">
                  <a:lumMod val="50000"/>
                </a:schemeClr>
              </a:solidFill>
              <a:ln>
                <a:solidFill>
                  <a:schemeClr val="accent6">
                    <a:lumMod val="50000"/>
                  </a:schemeClr>
                </a:solidFill>
              </a:ln>
            </c:spPr>
          </c:marker>
          <c:dLbls>
            <c:dLbl>
              <c:idx val="0"/>
              <c:dLblPos val="t"/>
              <c:showVal val="1"/>
            </c:dLbl>
            <c:dLbl>
              <c:idx val="4"/>
              <c:dLblPos val="t"/>
              <c:showVal val="1"/>
            </c:dLbl>
            <c:dLbl>
              <c:idx val="7"/>
              <c:dLblPos val="t"/>
              <c:showVal val="1"/>
            </c:dLbl>
            <c:dLbl>
              <c:idx val="9"/>
              <c:dLblPos val="t"/>
              <c:showVal val="1"/>
            </c:dLbl>
            <c:delete val="1"/>
            <c:txPr>
              <a:bodyPr/>
              <a:lstStyle/>
              <a:p>
                <a:pPr>
                  <a:defRPr sz="1200" b="1">
                    <a:solidFill>
                      <a:schemeClr val="accent6">
                        <a:lumMod val="50000"/>
                      </a:schemeClr>
                    </a:solidFill>
                  </a:defRPr>
                </a:pPr>
                <a:endParaRPr lang="ru-RU"/>
              </a:p>
            </c:txPr>
            <c:dLblPos val="t"/>
          </c:dLbls>
          <c:cat>
            <c:numRef>
              <c:f>Прогнозы!$D$74:$M$74</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Прогнозы!$D$76:$M$76</c:f>
              <c:numCache>
                <c:formatCode>0.0</c:formatCode>
                <c:ptCount val="10"/>
                <c:pt idx="1">
                  <c:v>100.9</c:v>
                </c:pt>
                <c:pt idx="2">
                  <c:v>103.52340000000001</c:v>
                </c:pt>
                <c:pt idx="3">
                  <c:v>106.21500840000002</c:v>
                </c:pt>
                <c:pt idx="4">
                  <c:v>108.97659861839998</c:v>
                </c:pt>
                <c:pt idx="5">
                  <c:v>111.80999018247837</c:v>
                </c:pt>
                <c:pt idx="6">
                  <c:v>114.7170499272229</c:v>
                </c:pt>
                <c:pt idx="7">
                  <c:v>117.69969322533073</c:v>
                </c:pt>
                <c:pt idx="8">
                  <c:v>120.75988524918927</c:v>
                </c:pt>
                <c:pt idx="9">
                  <c:v>123.89964226566819</c:v>
                </c:pt>
              </c:numCache>
            </c:numRef>
          </c:val>
        </c:ser>
        <c:ser>
          <c:idx val="0"/>
          <c:order val="3"/>
          <c:tx>
            <c:strRef>
              <c:f>Прогнозы!$C$75</c:f>
              <c:strCache>
                <c:ptCount val="1"/>
                <c:pt idx="0">
                  <c:v>Статус-Кво (2,3%)</c:v>
                </c:pt>
              </c:strCache>
            </c:strRef>
          </c:tx>
          <c:spPr>
            <a:ln>
              <a:solidFill>
                <a:srgbClr val="DE1CB4"/>
              </a:solidFill>
            </a:ln>
          </c:spPr>
          <c:marker>
            <c:symbol val="circle"/>
            <c:size val="7"/>
            <c:spPr>
              <a:solidFill>
                <a:srgbClr val="DE1CB4"/>
              </a:solidFill>
              <a:ln>
                <a:solidFill>
                  <a:srgbClr val="DE1CB4"/>
                </a:solidFill>
              </a:ln>
            </c:spPr>
          </c:marker>
          <c:dLbls>
            <c:dLbl>
              <c:idx val="4"/>
              <c:dLblPos val="b"/>
              <c:showVal val="1"/>
            </c:dLbl>
            <c:dLbl>
              <c:idx val="6"/>
              <c:dLblPos val="b"/>
              <c:showVal val="1"/>
            </c:dLbl>
            <c:dLbl>
              <c:idx val="7"/>
              <c:dLblPos val="b"/>
              <c:showVal val="1"/>
            </c:dLbl>
            <c:dLbl>
              <c:idx val="9"/>
              <c:dLblPos val="b"/>
              <c:showVal val="1"/>
            </c:dLbl>
            <c:delete val="1"/>
            <c:txPr>
              <a:bodyPr/>
              <a:lstStyle/>
              <a:p>
                <a:pPr>
                  <a:defRPr sz="1200" b="1">
                    <a:solidFill>
                      <a:srgbClr val="FF3399"/>
                    </a:solidFill>
                  </a:defRPr>
                </a:pPr>
                <a:endParaRPr lang="ru-RU"/>
              </a:p>
            </c:txPr>
            <c:dLblPos val="b"/>
          </c:dLbls>
          <c:cat>
            <c:numRef>
              <c:f>Прогнозы!$D$74:$M$74</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Прогнозы!$D$75:$M$75</c:f>
              <c:numCache>
                <c:formatCode>0.0</c:formatCode>
                <c:ptCount val="10"/>
                <c:pt idx="1">
                  <c:v>100.9</c:v>
                </c:pt>
                <c:pt idx="2">
                  <c:v>103.22069999999999</c:v>
                </c:pt>
                <c:pt idx="3">
                  <c:v>105.59477609999998</c:v>
                </c:pt>
                <c:pt idx="4">
                  <c:v>108.02345595029998</c:v>
                </c:pt>
                <c:pt idx="5">
                  <c:v>110.50799543715685</c:v>
                </c:pt>
                <c:pt idx="6">
                  <c:v>113.04967933221147</c:v>
                </c:pt>
                <c:pt idx="7">
                  <c:v>115.64982195685231</c:v>
                </c:pt>
                <c:pt idx="8">
                  <c:v>118.30976786185987</c:v>
                </c:pt>
                <c:pt idx="9">
                  <c:v>121.03089252268261</c:v>
                </c:pt>
              </c:numCache>
            </c:numRef>
          </c:val>
        </c:ser>
        <c:ser>
          <c:idx val="2"/>
          <c:order val="4"/>
          <c:tx>
            <c:strRef>
              <c:f>Прогнозы!$C$77</c:f>
              <c:strCache>
                <c:ptCount val="1"/>
                <c:pt idx="0">
                  <c:v>Консервативно-оптимистичный (1,6%)</c:v>
                </c:pt>
              </c:strCache>
            </c:strRef>
          </c:tx>
          <c:spPr>
            <a:ln>
              <a:solidFill>
                <a:srgbClr val="E82112"/>
              </a:solidFill>
            </a:ln>
          </c:spPr>
          <c:marker>
            <c:symbol val="circle"/>
            <c:size val="7"/>
            <c:spPr>
              <a:solidFill>
                <a:srgbClr val="E82112"/>
              </a:solidFill>
              <a:ln>
                <a:solidFill>
                  <a:srgbClr val="E82112"/>
                </a:solidFill>
              </a:ln>
            </c:spPr>
          </c:marker>
          <c:dLbls>
            <c:dLbl>
              <c:idx val="4"/>
              <c:dLblPos val="t"/>
              <c:showVal val="1"/>
            </c:dLbl>
            <c:dLbl>
              <c:idx val="7"/>
              <c:dLblPos val="t"/>
              <c:showVal val="1"/>
            </c:dLbl>
            <c:dLbl>
              <c:idx val="9"/>
              <c:dLblPos val="t"/>
              <c:showVal val="1"/>
            </c:dLbl>
            <c:delete val="1"/>
            <c:txPr>
              <a:bodyPr/>
              <a:lstStyle/>
              <a:p>
                <a:pPr>
                  <a:defRPr sz="1200" b="1">
                    <a:solidFill>
                      <a:srgbClr val="FF0000"/>
                    </a:solidFill>
                  </a:defRPr>
                </a:pPr>
                <a:endParaRPr lang="ru-RU"/>
              </a:p>
            </c:txPr>
            <c:dLblPos val="t"/>
          </c:dLbls>
          <c:cat>
            <c:numRef>
              <c:f>Прогнозы!$D$74:$M$74</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Прогнозы!$D$77:$M$77</c:f>
              <c:numCache>
                <c:formatCode>0.0</c:formatCode>
                <c:ptCount val="10"/>
                <c:pt idx="1">
                  <c:v>100.9</c:v>
                </c:pt>
                <c:pt idx="2">
                  <c:v>102.51440000000002</c:v>
                </c:pt>
                <c:pt idx="3">
                  <c:v>104.15463040000002</c:v>
                </c:pt>
                <c:pt idx="4">
                  <c:v>105.82110448640002</c:v>
                </c:pt>
                <c:pt idx="5">
                  <c:v>107.51424215818241</c:v>
                </c:pt>
                <c:pt idx="6">
                  <c:v>109.23447003271329</c:v>
                </c:pt>
                <c:pt idx="7">
                  <c:v>110.98222155323674</c:v>
                </c:pt>
                <c:pt idx="8">
                  <c:v>112.75793709808849</c:v>
                </c:pt>
                <c:pt idx="9">
                  <c:v>114.56206409165794</c:v>
                </c:pt>
              </c:numCache>
            </c:numRef>
          </c:val>
        </c:ser>
        <c:ser>
          <c:idx val="5"/>
          <c:order val="5"/>
          <c:tx>
            <c:strRef>
              <c:f>Прогнозы!$C$80</c:f>
              <c:strCache>
                <c:ptCount val="1"/>
                <c:pt idx="0">
                  <c:v>Консервативный базовый (1,3%)</c:v>
                </c:pt>
              </c:strCache>
            </c:strRef>
          </c:tx>
          <c:dLbls>
            <c:dLbl>
              <c:idx val="4"/>
              <c:dLblPos val="b"/>
              <c:showVal val="1"/>
            </c:dLbl>
            <c:dLbl>
              <c:idx val="7"/>
              <c:dLblPos val="b"/>
              <c:showVal val="1"/>
            </c:dLbl>
            <c:dLbl>
              <c:idx val="9"/>
              <c:dLblPos val="b"/>
              <c:showVal val="1"/>
            </c:dLbl>
            <c:delete val="1"/>
            <c:txPr>
              <a:bodyPr/>
              <a:lstStyle/>
              <a:p>
                <a:pPr>
                  <a:defRPr sz="1200" b="1">
                    <a:solidFill>
                      <a:schemeClr val="accent6"/>
                    </a:solidFill>
                  </a:defRPr>
                </a:pPr>
                <a:endParaRPr lang="ru-RU"/>
              </a:p>
            </c:txPr>
            <c:dLblPos val="b"/>
          </c:dLbls>
          <c:val>
            <c:numRef>
              <c:f>Прогнозы!$D$80:$M$80</c:f>
              <c:numCache>
                <c:formatCode>0.0</c:formatCode>
                <c:ptCount val="10"/>
                <c:pt idx="1">
                  <c:v>100.9</c:v>
                </c:pt>
                <c:pt idx="2">
                  <c:v>102.21170000000002</c:v>
                </c:pt>
                <c:pt idx="3">
                  <c:v>103.54045209999998</c:v>
                </c:pt>
                <c:pt idx="4">
                  <c:v>104.8864779772999</c:v>
                </c:pt>
                <c:pt idx="5">
                  <c:v>106.25000219100482</c:v>
                </c:pt>
                <c:pt idx="6">
                  <c:v>107.63125221948791</c:v>
                </c:pt>
                <c:pt idx="7">
                  <c:v>109.03045849834126</c:v>
                </c:pt>
                <c:pt idx="8">
                  <c:v>110.44785445881975</c:v>
                </c:pt>
                <c:pt idx="9">
                  <c:v>111.88367656678423</c:v>
                </c:pt>
              </c:numCache>
            </c:numRef>
          </c:val>
        </c:ser>
        <c:marker val="1"/>
        <c:axId val="270845824"/>
        <c:axId val="270847360"/>
      </c:lineChart>
      <c:catAx>
        <c:axId val="270845824"/>
        <c:scaling>
          <c:orientation val="minMax"/>
        </c:scaling>
        <c:axPos val="b"/>
        <c:numFmt formatCode="0" sourceLinked="1"/>
        <c:tickLblPos val="nextTo"/>
        <c:crossAx val="270847360"/>
        <c:crosses val="autoZero"/>
        <c:auto val="1"/>
        <c:lblAlgn val="ctr"/>
        <c:lblOffset val="100"/>
      </c:catAx>
      <c:valAx>
        <c:axId val="270847360"/>
        <c:scaling>
          <c:orientation val="minMax"/>
          <c:max val="160"/>
          <c:min val="90"/>
        </c:scaling>
        <c:axPos val="l"/>
        <c:majorGridlines/>
        <c:numFmt formatCode="0.0" sourceLinked="1"/>
        <c:tickLblPos val="nextTo"/>
        <c:crossAx val="270845824"/>
        <c:crosses val="autoZero"/>
        <c:crossBetween val="between"/>
      </c:valAx>
    </c:plotArea>
    <c:legend>
      <c:legendPos val="tr"/>
      <c:layout>
        <c:manualLayout>
          <c:xMode val="edge"/>
          <c:yMode val="edge"/>
          <c:x val="0.10187414745199871"/>
          <c:y val="3.4380135894228184E-2"/>
          <c:w val="0.37544642941137735"/>
          <c:h val="0.38813108641793609"/>
        </c:manualLayout>
      </c:layout>
      <c:txPr>
        <a:bodyPr/>
        <a:lstStyle/>
        <a:p>
          <a:pPr>
            <a:defRPr sz="1200"/>
          </a:pPr>
          <a:endParaRPr lang="ru-RU"/>
        </a:p>
      </c:txPr>
    </c:legend>
    <c:plotVisOnly val="1"/>
    <c:dispBlanksAs val="gap"/>
  </c:chart>
  <c:externalData r:id="rId1"/>
  <c:userShapes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708573928258985"/>
          <c:y val="5.1400554097404488E-2"/>
          <c:w val="0.58808412106381436"/>
          <c:h val="0.7211245990084576"/>
        </c:manualLayout>
      </c:layout>
      <c:lineChart>
        <c:grouping val="standard"/>
        <c:ser>
          <c:idx val="0"/>
          <c:order val="0"/>
          <c:tx>
            <c:strRef>
              <c:f>'Эпотр и макс эл нагрузка'!$D$2</c:f>
              <c:strCache>
                <c:ptCount val="1"/>
                <c:pt idx="0">
                  <c:v>Электропотрбление, млрд.кВт.ч.</c:v>
                </c:pt>
              </c:strCache>
            </c:strRef>
          </c:tx>
          <c:spPr>
            <a:ln>
              <a:solidFill>
                <a:srgbClr val="FF0000"/>
              </a:solidFill>
            </a:ln>
          </c:spPr>
          <c:marker>
            <c:symbol val="diamond"/>
            <c:size val="4"/>
            <c:spPr>
              <a:solidFill>
                <a:srgbClr val="FF0000"/>
              </a:solidFill>
              <a:ln>
                <a:solidFill>
                  <a:srgbClr val="FF0000"/>
                </a:solidFill>
              </a:ln>
            </c:spPr>
          </c:marker>
          <c:dLbls>
            <c:dLbl>
              <c:idx val="0"/>
              <c:layout>
                <c:manualLayout>
                  <c:x val="-4.7222222222222283E-2"/>
                  <c:y val="7.8703703703703734E-2"/>
                </c:manualLayout>
              </c:layout>
              <c:spPr/>
              <c:txPr>
                <a:bodyPr/>
                <a:lstStyle/>
                <a:p>
                  <a:pPr>
                    <a:defRPr b="1">
                      <a:solidFill>
                        <a:srgbClr val="FF0000"/>
                      </a:solidFill>
                    </a:defRPr>
                  </a:pPr>
                  <a:endParaRPr lang="ru-RU"/>
                </a:p>
              </c:txPr>
              <c:dLblPos val="r"/>
              <c:showVal val="1"/>
            </c:dLbl>
            <c:dLbl>
              <c:idx val="5"/>
              <c:layout>
                <c:manualLayout>
                  <c:x val="-5.5555555555555483E-2"/>
                  <c:y val="4.1666666666666664E-2"/>
                </c:manualLayout>
              </c:layout>
              <c:spPr/>
              <c:txPr>
                <a:bodyPr/>
                <a:lstStyle/>
                <a:p>
                  <a:pPr>
                    <a:defRPr b="1">
                      <a:solidFill>
                        <a:srgbClr val="FF0000"/>
                      </a:solidFill>
                    </a:defRPr>
                  </a:pPr>
                  <a:endParaRPr lang="ru-RU"/>
                </a:p>
              </c:txPr>
              <c:dLblPos val="r"/>
              <c:showVal val="1"/>
            </c:dLbl>
            <c:dLbl>
              <c:idx val="11"/>
              <c:layout>
                <c:manualLayout>
                  <c:x val="-8.3333333333333367E-3"/>
                  <c:y val="1.3888888888888871E-2"/>
                </c:manualLayout>
              </c:layout>
              <c:spPr/>
              <c:txPr>
                <a:bodyPr/>
                <a:lstStyle/>
                <a:p>
                  <a:pPr>
                    <a:defRPr b="1">
                      <a:solidFill>
                        <a:srgbClr val="FF0000"/>
                      </a:solidFill>
                    </a:defRPr>
                  </a:pPr>
                  <a:endParaRPr lang="ru-RU"/>
                </a:p>
              </c:txPr>
              <c:dLblPos val="r"/>
              <c:showVal val="1"/>
            </c:dLbl>
            <c:dLbl>
              <c:idx val="17"/>
              <c:layout>
                <c:manualLayout>
                  <c:x val="-4.4444444444444502E-2"/>
                  <c:y val="5.0925925925925923E-2"/>
                </c:manualLayout>
              </c:layout>
              <c:spPr/>
              <c:txPr>
                <a:bodyPr/>
                <a:lstStyle/>
                <a:p>
                  <a:pPr>
                    <a:defRPr b="1">
                      <a:solidFill>
                        <a:srgbClr val="FF0000"/>
                      </a:solidFill>
                    </a:defRPr>
                  </a:pPr>
                  <a:endParaRPr lang="ru-RU"/>
                </a:p>
              </c:txPr>
              <c:dLblPos val="r"/>
              <c:showVal val="1"/>
            </c:dLbl>
            <c:dLbl>
              <c:idx val="21"/>
              <c:layout>
                <c:manualLayout>
                  <c:x val="-5.5555555555555483E-2"/>
                  <c:y val="-3.2407407407407454E-2"/>
                </c:manualLayout>
              </c:layout>
              <c:spPr/>
              <c:txPr>
                <a:bodyPr/>
                <a:lstStyle/>
                <a:p>
                  <a:pPr>
                    <a:defRPr b="1">
                      <a:solidFill>
                        <a:srgbClr val="FF0000"/>
                      </a:solidFill>
                    </a:defRPr>
                  </a:pPr>
                  <a:endParaRPr lang="ru-RU"/>
                </a:p>
              </c:txPr>
              <c:dLblPos val="r"/>
              <c:showVal val="1"/>
            </c:dLbl>
            <c:delete val="1"/>
          </c:dLbls>
          <c:cat>
            <c:numRef>
              <c:f>'Эпотр и макс эл нагрузка'!$A$4:$A$25</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'Эпотр и макс эл нагрузка'!$D$4:$D$25</c:f>
              <c:numCache>
                <c:formatCode>0.0</c:formatCode>
                <c:ptCount val="22"/>
                <c:pt idx="0">
                  <c:v>73.627200000000002</c:v>
                </c:pt>
                <c:pt idx="1">
                  <c:v>68.821100000000001</c:v>
                </c:pt>
                <c:pt idx="2">
                  <c:v>66.615099999999998</c:v>
                </c:pt>
                <c:pt idx="3">
                  <c:v>62.844899999999996</c:v>
                </c:pt>
                <c:pt idx="4">
                  <c:v>61.675900000000013</c:v>
                </c:pt>
                <c:pt idx="5">
                  <c:v>61.534500000000001</c:v>
                </c:pt>
                <c:pt idx="6">
                  <c:v>62.584699999999998</c:v>
                </c:pt>
                <c:pt idx="7">
                  <c:v>63.745500000000021</c:v>
                </c:pt>
                <c:pt idx="8">
                  <c:v>65.179699999999983</c:v>
                </c:pt>
                <c:pt idx="9">
                  <c:v>68.7286</c:v>
                </c:pt>
                <c:pt idx="10">
                  <c:v>72.753299999999996</c:v>
                </c:pt>
                <c:pt idx="11">
                  <c:v>75.607699999999994</c:v>
                </c:pt>
                <c:pt idx="12">
                  <c:v>79.538399999999982</c:v>
                </c:pt>
                <c:pt idx="13">
                  <c:v>82.779299999999992</c:v>
                </c:pt>
                <c:pt idx="14">
                  <c:v>85.450999999999993</c:v>
                </c:pt>
                <c:pt idx="15">
                  <c:v>89.911300000000026</c:v>
                </c:pt>
                <c:pt idx="16">
                  <c:v>92.958600000000004</c:v>
                </c:pt>
                <c:pt idx="17">
                  <c:v>95.899500000000003</c:v>
                </c:pt>
                <c:pt idx="18">
                  <c:v>93.998599999999996</c:v>
                </c:pt>
                <c:pt idx="19">
                  <c:v>97.730099999999993</c:v>
                </c:pt>
                <c:pt idx="20">
                  <c:v>98.223100000000002</c:v>
                </c:pt>
                <c:pt idx="21">
                  <c:v>100.92400000000002</c:v>
                </c:pt>
              </c:numCache>
            </c:numRef>
          </c:val>
        </c:ser>
        <c:marker val="1"/>
        <c:axId val="268324864"/>
        <c:axId val="268326400"/>
      </c:lineChart>
      <c:lineChart>
        <c:grouping val="standard"/>
        <c:ser>
          <c:idx val="1"/>
          <c:order val="1"/>
          <c:tx>
            <c:strRef>
              <c:f>'Эпотр и макс эл нагрузка'!$L$2</c:f>
              <c:strCache>
                <c:ptCount val="1"/>
                <c:pt idx="0">
                  <c:v>Максимальная эл. Нагрузка, ГВт</c:v>
                </c:pt>
              </c:strCache>
            </c:strRef>
          </c:tx>
          <c:spPr>
            <a:ln w="25400">
              <a:solidFill>
                <a:srgbClr val="0070C0"/>
              </a:solidFill>
            </a:ln>
          </c:spPr>
          <c:marker>
            <c:symbol val="square"/>
            <c:size val="4"/>
            <c:spPr>
              <a:solidFill>
                <a:srgbClr val="0070C0"/>
              </a:solidFill>
              <a:ln>
                <a:solidFill>
                  <a:srgbClr val="0070C0"/>
                </a:solidFill>
              </a:ln>
            </c:spPr>
          </c:marker>
          <c:dLbls>
            <c:dLbl>
              <c:idx val="0"/>
              <c:layout>
                <c:manualLayout>
                  <c:x val="-5.8333333333333431E-2"/>
                  <c:y val="6.0185185185185147E-2"/>
                </c:manualLayout>
              </c:layout>
              <c:spPr/>
              <c:txPr>
                <a:bodyPr/>
                <a:lstStyle/>
                <a:p>
                  <a:pPr>
                    <a:defRPr b="1">
                      <a:solidFill>
                        <a:srgbClr val="0070C0"/>
                      </a:solidFill>
                    </a:defRPr>
                  </a:pPr>
                  <a:endParaRPr lang="ru-RU"/>
                </a:p>
              </c:txPr>
              <c:dLblPos val="r"/>
              <c:showVal val="1"/>
            </c:dLbl>
            <c:dLbl>
              <c:idx val="4"/>
              <c:layout>
                <c:manualLayout>
                  <c:x val="-6.1111111111111123E-2"/>
                  <c:y val="4.6296296296296363E-2"/>
                </c:manualLayout>
              </c:layout>
              <c:spPr/>
              <c:txPr>
                <a:bodyPr/>
                <a:lstStyle/>
                <a:p>
                  <a:pPr>
                    <a:defRPr b="1">
                      <a:solidFill>
                        <a:srgbClr val="0070C0"/>
                      </a:solidFill>
                    </a:defRPr>
                  </a:pPr>
                  <a:endParaRPr lang="ru-RU"/>
                </a:p>
              </c:txPr>
              <c:dLblPos val="r"/>
              <c:showVal val="1"/>
            </c:dLbl>
            <c:dLbl>
              <c:idx val="6"/>
              <c:layout>
                <c:manualLayout>
                  <c:x val="-5.2777777777777764E-2"/>
                  <c:y val="-3.7037037037037056E-2"/>
                </c:manualLayout>
              </c:layout>
              <c:spPr/>
              <c:txPr>
                <a:bodyPr/>
                <a:lstStyle/>
                <a:p>
                  <a:pPr>
                    <a:defRPr b="1">
                      <a:solidFill>
                        <a:srgbClr val="0070C0"/>
                      </a:solidFill>
                    </a:defRPr>
                  </a:pPr>
                  <a:endParaRPr lang="ru-RU"/>
                </a:p>
              </c:txPr>
              <c:dLblPos val="r"/>
              <c:showVal val="1"/>
            </c:dLbl>
            <c:dLbl>
              <c:idx val="7"/>
              <c:layout>
                <c:manualLayout>
                  <c:x val="-2.2222222222222251E-2"/>
                  <c:y val="4.6296296296296363E-2"/>
                </c:manualLayout>
              </c:layout>
              <c:spPr/>
              <c:txPr>
                <a:bodyPr/>
                <a:lstStyle/>
                <a:p>
                  <a:pPr>
                    <a:defRPr b="1">
                      <a:solidFill>
                        <a:srgbClr val="0070C0"/>
                      </a:solidFill>
                    </a:defRPr>
                  </a:pPr>
                  <a:endParaRPr lang="ru-RU"/>
                </a:p>
              </c:txPr>
              <c:dLblPos val="r"/>
              <c:showVal val="1"/>
            </c:dLbl>
            <c:dLbl>
              <c:idx val="11"/>
              <c:layout>
                <c:manualLayout>
                  <c:x val="-4.7222222222222283E-2"/>
                  <c:y val="-4.1666666666666664E-2"/>
                </c:manualLayout>
              </c:layout>
              <c:spPr/>
              <c:txPr>
                <a:bodyPr/>
                <a:lstStyle/>
                <a:p>
                  <a:pPr>
                    <a:defRPr b="1">
                      <a:solidFill>
                        <a:srgbClr val="0070C0"/>
                      </a:solidFill>
                    </a:defRPr>
                  </a:pPr>
                  <a:endParaRPr lang="ru-RU"/>
                </a:p>
              </c:txPr>
              <c:dLblPos val="r"/>
              <c:showVal val="1"/>
            </c:dLbl>
            <c:dLbl>
              <c:idx val="15"/>
              <c:layout>
                <c:manualLayout>
                  <c:x val="-2.500000000000005E-2"/>
                  <c:y val="6.9444444444444503E-2"/>
                </c:manualLayout>
              </c:layout>
              <c:spPr/>
              <c:txPr>
                <a:bodyPr/>
                <a:lstStyle/>
                <a:p>
                  <a:pPr>
                    <a:defRPr b="1">
                      <a:solidFill>
                        <a:srgbClr val="0070C0"/>
                      </a:solidFill>
                    </a:defRPr>
                  </a:pPr>
                  <a:endParaRPr lang="ru-RU"/>
                </a:p>
              </c:txPr>
              <c:dLblPos val="r"/>
              <c:showVal val="1"/>
            </c:dLbl>
            <c:dLbl>
              <c:idx val="20"/>
              <c:layout>
                <c:manualLayout>
                  <c:x val="-0.05"/>
                  <c:y val="4.1666666666666664E-2"/>
                </c:manualLayout>
              </c:layout>
              <c:spPr/>
              <c:txPr>
                <a:bodyPr/>
                <a:lstStyle/>
                <a:p>
                  <a:pPr>
                    <a:defRPr b="1">
                      <a:solidFill>
                        <a:srgbClr val="0070C0"/>
                      </a:solidFill>
                    </a:defRPr>
                  </a:pPr>
                  <a:endParaRPr lang="ru-RU"/>
                </a:p>
              </c:txPr>
              <c:dLblPos val="r"/>
              <c:showVal val="1"/>
            </c:dLbl>
            <c:dLbl>
              <c:idx val="21"/>
              <c:layout>
                <c:manualLayout>
                  <c:x val="-5.8333333333333431E-2"/>
                  <c:y val="-2.7777777777777842E-2"/>
                </c:manualLayout>
              </c:layout>
              <c:spPr/>
              <c:txPr>
                <a:bodyPr/>
                <a:lstStyle/>
                <a:p>
                  <a:pPr>
                    <a:defRPr b="1">
                      <a:solidFill>
                        <a:srgbClr val="0070C0"/>
                      </a:solidFill>
                    </a:defRPr>
                  </a:pPr>
                  <a:endParaRPr lang="ru-RU"/>
                </a:p>
              </c:txPr>
              <c:dLblPos val="r"/>
              <c:showVal val="1"/>
            </c:dLbl>
            <c:delete val="1"/>
          </c:dLbls>
          <c:val>
            <c:numRef>
              <c:f>'Эпотр и макс эл нагрузка'!$L$3:$L$24</c:f>
              <c:numCache>
                <c:formatCode>0.00</c:formatCode>
                <c:ptCount val="22"/>
                <c:pt idx="0">
                  <c:v>13.318</c:v>
                </c:pt>
                <c:pt idx="1">
                  <c:v>12.695</c:v>
                </c:pt>
                <c:pt idx="2">
                  <c:v>12.078000000000001</c:v>
                </c:pt>
                <c:pt idx="3">
                  <c:v>11.968</c:v>
                </c:pt>
                <c:pt idx="4">
                  <c:v>11.31</c:v>
                </c:pt>
                <c:pt idx="5">
                  <c:v>11.596</c:v>
                </c:pt>
                <c:pt idx="6">
                  <c:v>12.172000000000002</c:v>
                </c:pt>
                <c:pt idx="7">
                  <c:v>11.88</c:v>
                </c:pt>
                <c:pt idx="8">
                  <c:v>12.289</c:v>
                </c:pt>
                <c:pt idx="9">
                  <c:v>12.846</c:v>
                </c:pt>
                <c:pt idx="10">
                  <c:v>13.67</c:v>
                </c:pt>
                <c:pt idx="11">
                  <c:v>14.229999999999999</c:v>
                </c:pt>
                <c:pt idx="12">
                  <c:v>13.846</c:v>
                </c:pt>
                <c:pt idx="13">
                  <c:v>14.587</c:v>
                </c:pt>
                <c:pt idx="14">
                  <c:v>14.755000000000004</c:v>
                </c:pt>
                <c:pt idx="15">
                  <c:v>16.2</c:v>
                </c:pt>
                <c:pt idx="16">
                  <c:v>15.827</c:v>
                </c:pt>
                <c:pt idx="17">
                  <c:v>16.181000000000001</c:v>
                </c:pt>
                <c:pt idx="18">
                  <c:v>17.222999999999985</c:v>
                </c:pt>
                <c:pt idx="19">
                  <c:v>17.216000000000001</c:v>
                </c:pt>
                <c:pt idx="20">
                  <c:v>16.585999999999984</c:v>
                </c:pt>
                <c:pt idx="21">
                  <c:v>18.052</c:v>
                </c:pt>
              </c:numCache>
            </c:numRef>
          </c:val>
        </c:ser>
        <c:marker val="1"/>
        <c:axId val="268327936"/>
        <c:axId val="268337920"/>
      </c:lineChart>
      <c:catAx>
        <c:axId val="268324864"/>
        <c:scaling>
          <c:orientation val="minMax"/>
        </c:scaling>
        <c:axPos val="b"/>
        <c:numFmt formatCode="General" sourceLinked="1"/>
        <c:tickLblPos val="nextTo"/>
        <c:crossAx val="268326400"/>
        <c:crosses val="autoZero"/>
        <c:auto val="1"/>
        <c:lblAlgn val="ctr"/>
        <c:lblOffset val="100"/>
        <c:tickLblSkip val="2"/>
      </c:catAx>
      <c:valAx>
        <c:axId val="268326400"/>
        <c:scaling>
          <c:orientation val="minMax"/>
        </c:scaling>
        <c:axPos val="l"/>
        <c:majorGridlines/>
        <c:numFmt formatCode="0.0" sourceLinked="1"/>
        <c:tickLblPos val="nextTo"/>
        <c:crossAx val="268324864"/>
        <c:crosses val="autoZero"/>
        <c:crossBetween val="between"/>
      </c:valAx>
      <c:catAx>
        <c:axId val="268327936"/>
        <c:scaling>
          <c:orientation val="minMax"/>
        </c:scaling>
        <c:delete val="1"/>
        <c:axPos val="b"/>
        <c:tickLblPos val="none"/>
        <c:crossAx val="268337920"/>
        <c:crosses val="autoZero"/>
        <c:auto val="1"/>
        <c:lblAlgn val="ctr"/>
        <c:lblOffset val="100"/>
      </c:catAx>
      <c:valAx>
        <c:axId val="268337920"/>
        <c:scaling>
          <c:orientation val="minMax"/>
          <c:max val="23"/>
          <c:min val="8"/>
        </c:scaling>
        <c:axPos val="r"/>
        <c:numFmt formatCode="0.00" sourceLinked="1"/>
        <c:tickLblPos val="nextTo"/>
        <c:crossAx val="268327936"/>
        <c:crosses val="max"/>
        <c:crossBetween val="between"/>
        <c:majorUnit val="2.5"/>
      </c:valAx>
    </c:plotArea>
    <c:legend>
      <c:legendPos val="b"/>
    </c:legend>
    <c:plotVisOnly val="1"/>
    <c:dispBlanksAs val="gap"/>
  </c:chart>
  <c:externalData r:id="rId1"/>
  <c:userShapes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6452030322557013E-2"/>
          <c:y val="9.9264694185954239E-2"/>
          <c:w val="0.70323468941382361"/>
          <c:h val="0.71513481269387036"/>
        </c:manualLayout>
      </c:layout>
      <c:lineChart>
        <c:grouping val="standard"/>
        <c:ser>
          <c:idx val="0"/>
          <c:order val="0"/>
          <c:tx>
            <c:strRef>
              <c:f>'Эпотр и макс эл нагрузка'!$H$2</c:f>
              <c:strCache>
                <c:ptCount val="1"/>
                <c:pt idx="0">
                  <c:v>Усредненное значение</c:v>
                </c:pt>
              </c:strCache>
            </c:strRef>
          </c:tx>
          <c:spPr>
            <a:ln w="19050">
              <a:solidFill>
                <a:srgbClr val="0070C0"/>
              </a:solidFill>
            </a:ln>
          </c:spPr>
          <c:marker>
            <c:symbol val="diamond"/>
            <c:size val="4"/>
            <c:spPr>
              <a:solidFill>
                <a:srgbClr val="0070C0"/>
              </a:solidFill>
              <a:ln>
                <a:solidFill>
                  <a:srgbClr val="0070C0"/>
                </a:solidFill>
              </a:ln>
            </c:spPr>
          </c:marker>
          <c:dLbls>
            <c:dLbl>
              <c:idx val="0"/>
              <c:layout>
                <c:manualLayout>
                  <c:x val="-0.05"/>
                  <c:y val="-5.0925925925925923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3"/>
              <c:layout>
                <c:manualLayout>
                  <c:x val="-3.888888888888889E-2"/>
                  <c:y val="5.0925925925925923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4"/>
              <c:layout>
                <c:manualLayout>
                  <c:x val="-3.888888888888889E-2"/>
                  <c:y val="-2.7777777777777936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6"/>
              <c:layout>
                <c:manualLayout>
                  <c:x val="-4.1666666666666664E-2"/>
                  <c:y val="3.7037037037037056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7"/>
              <c:layout>
                <c:manualLayout>
                  <c:x val="-3.333333333333334E-2"/>
                  <c:y val="-3.7037037037037056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11"/>
              <c:layout>
                <c:manualLayout>
                  <c:x val="-4.4444444444444502E-2"/>
                  <c:y val="3.7037037037037056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12"/>
              <c:layout>
                <c:manualLayout>
                  <c:x val="-5.5555555555555455E-2"/>
                  <c:y val="-3.2407407407407489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15"/>
              <c:layout>
                <c:manualLayout>
                  <c:x val="-1.3888888888888926E-2"/>
                  <c:y val="-4.2437781360067067E-17"/>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17"/>
              <c:layout>
                <c:manualLayout>
                  <c:x val="-4.7222222222222318E-2"/>
                  <c:y val="-2.7777777777777891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18"/>
              <c:layout>
                <c:manualLayout>
                  <c:x val="-4.1666666666666664E-2"/>
                  <c:y val="3.7037037037037056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20"/>
              <c:layout>
                <c:manualLayout>
                  <c:x val="-0.05"/>
                  <c:y val="-2.7777777777777891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Lbl>
              <c:idx val="21"/>
              <c:layout>
                <c:manualLayout>
                  <c:x val="-3.333333333333334E-2"/>
                  <c:y val="2.3148148148148077E-2"/>
                </c:manualLayout>
              </c:layout>
              <c:spPr/>
              <c:txPr>
                <a:bodyPr/>
                <a:lstStyle/>
                <a:p>
                  <a:pPr>
                    <a:defRPr sz="1000" b="1" i="0" u="none" strike="noStrike" baseline="0">
                      <a:solidFill>
                        <a:srgbClr val="0066CC"/>
                      </a:solidFill>
                      <a:latin typeface="Calibri"/>
                      <a:ea typeface="Calibri"/>
                      <a:cs typeface="Calibri"/>
                    </a:defRPr>
                  </a:pPr>
                  <a:endParaRPr lang="ru-RU"/>
                </a:p>
              </c:txPr>
              <c:dLblPos val="r"/>
              <c:showVal val="1"/>
            </c:dLbl>
            <c:delete val="1"/>
          </c:dLbls>
          <c:cat>
            <c:numRef>
              <c:f>'Эпотр и макс эл нагрузка'!$A$4:$A$25</c:f>
              <c:numCache>
                <c:formatCode>General</c:formatCode>
                <c:ptCount val="22"/>
                <c:pt idx="0">
                  <c:v>1991</c:v>
                </c:pt>
                <c:pt idx="1">
                  <c:v>1992</c:v>
                </c:pt>
                <c:pt idx="2">
                  <c:v>1993</c:v>
                </c:pt>
                <c:pt idx="3">
                  <c:v>1994</c:v>
                </c:pt>
                <c:pt idx="4">
                  <c:v>1995</c:v>
                </c:pt>
                <c:pt idx="5">
                  <c:v>1996</c:v>
                </c:pt>
                <c:pt idx="6">
                  <c:v>1997</c:v>
                </c:pt>
                <c:pt idx="7">
                  <c:v>1998</c:v>
                </c:pt>
                <c:pt idx="8">
                  <c:v>1999</c:v>
                </c:pt>
                <c:pt idx="9">
                  <c:v>2000</c:v>
                </c:pt>
                <c:pt idx="10">
                  <c:v>2001</c:v>
                </c:pt>
                <c:pt idx="11">
                  <c:v>2002</c:v>
                </c:pt>
                <c:pt idx="12">
                  <c:v>2003</c:v>
                </c:pt>
                <c:pt idx="13">
                  <c:v>2004</c:v>
                </c:pt>
                <c:pt idx="14">
                  <c:v>2005</c:v>
                </c:pt>
                <c:pt idx="15">
                  <c:v>2006</c:v>
                </c:pt>
                <c:pt idx="16">
                  <c:v>2007</c:v>
                </c:pt>
                <c:pt idx="17">
                  <c:v>2008</c:v>
                </c:pt>
                <c:pt idx="18">
                  <c:v>2009</c:v>
                </c:pt>
                <c:pt idx="19">
                  <c:v>2010</c:v>
                </c:pt>
                <c:pt idx="20">
                  <c:v>2011</c:v>
                </c:pt>
                <c:pt idx="21">
                  <c:v>2012</c:v>
                </c:pt>
              </c:numCache>
            </c:numRef>
          </c:cat>
          <c:val>
            <c:numRef>
              <c:f>'Эпотр и макс эл нагрузка'!$H$4:$H$25</c:f>
              <c:numCache>
                <c:formatCode>0.00</c:formatCode>
                <c:ptCount val="22"/>
                <c:pt idx="0">
                  <c:v>5.5283976573058942</c:v>
                </c:pt>
                <c:pt idx="1">
                  <c:v>5.42111855061047</c:v>
                </c:pt>
                <c:pt idx="2">
                  <c:v>5.5154081801622814</c:v>
                </c:pt>
                <c:pt idx="3">
                  <c:v>5.2510778743315507</c:v>
                </c:pt>
                <c:pt idx="4">
                  <c:v>5.4532183908046061</c:v>
                </c:pt>
                <c:pt idx="5">
                  <c:v>5.3065281131424689</c:v>
                </c:pt>
                <c:pt idx="6">
                  <c:v>5.1416940519224443</c:v>
                </c:pt>
                <c:pt idx="7">
                  <c:v>5.3657828282828275</c:v>
                </c:pt>
                <c:pt idx="8">
                  <c:v>5.3039059321344286</c:v>
                </c:pt>
                <c:pt idx="9">
                  <c:v>5.3501946131091387</c:v>
                </c:pt>
                <c:pt idx="10">
                  <c:v>5.3221141185076721</c:v>
                </c:pt>
                <c:pt idx="11">
                  <c:v>5.3132607167955017</c:v>
                </c:pt>
                <c:pt idx="12">
                  <c:v>5.7445038278203056</c:v>
                </c:pt>
                <c:pt idx="13">
                  <c:v>5.6748680331802293</c:v>
                </c:pt>
                <c:pt idx="14">
                  <c:v>5.7913249745848914</c:v>
                </c:pt>
                <c:pt idx="15">
                  <c:v>5.5500802469135744</c:v>
                </c:pt>
                <c:pt idx="16">
                  <c:v>5.8734188412206985</c:v>
                </c:pt>
                <c:pt idx="17">
                  <c:v>5.9266732587602764</c:v>
                </c:pt>
                <c:pt idx="18">
                  <c:v>5.4577367473726985</c:v>
                </c:pt>
                <c:pt idx="19">
                  <c:v>5.6767019052044683</c:v>
                </c:pt>
                <c:pt idx="20">
                  <c:v>5.9220487157844035</c:v>
                </c:pt>
                <c:pt idx="21">
                  <c:v>5.590737868380228</c:v>
                </c:pt>
              </c:numCache>
            </c:numRef>
          </c:val>
        </c:ser>
        <c:ser>
          <c:idx val="1"/>
          <c:order val="1"/>
          <c:spPr>
            <a:ln w="22225">
              <a:solidFill>
                <a:srgbClr val="0070C0"/>
              </a:solidFill>
              <a:prstDash val="dash"/>
            </a:ln>
          </c:spPr>
          <c:marker>
            <c:symbol val="none"/>
          </c:marker>
          <c:dLbls>
            <c:dLbl>
              <c:idx val="0"/>
              <c:layout>
                <c:manualLayout>
                  <c:x val="-0.10277777777777777"/>
                  <c:y val="-3.6453776611257111E-7"/>
                </c:manualLayout>
              </c:layout>
              <c:spPr>
                <a:ln cap="rnd">
                  <a:noFill/>
                </a:ln>
              </c:spPr>
              <c:txPr>
                <a:bodyPr/>
                <a:lstStyle/>
                <a:p>
                  <a:pPr>
                    <a:defRPr sz="1400" b="1">
                      <a:solidFill>
                        <a:srgbClr val="0070C0"/>
                      </a:solidFill>
                    </a:defRPr>
                  </a:pPr>
                  <a:endParaRPr lang="ru-RU"/>
                </a:p>
              </c:txPr>
              <c:dLblPos val="r"/>
              <c:showVal val="1"/>
            </c:dLbl>
            <c:dLbl>
              <c:idx val="5"/>
              <c:layout>
                <c:manualLayout>
                  <c:x val="0.18333333333333376"/>
                  <c:y val="1.8518518518518552E-2"/>
                </c:manualLayout>
              </c:layout>
              <c:spPr>
                <a:ln cap="rnd">
                  <a:noFill/>
                </a:ln>
              </c:spPr>
              <c:txPr>
                <a:bodyPr/>
                <a:lstStyle/>
                <a:p>
                  <a:pPr>
                    <a:defRPr sz="1400" b="1">
                      <a:solidFill>
                        <a:srgbClr val="0070C0"/>
                      </a:solidFill>
                    </a:defRPr>
                  </a:pPr>
                  <a:endParaRPr lang="ru-RU"/>
                </a:p>
              </c:txPr>
              <c:dLblPos val="r"/>
              <c:showVal val="1"/>
            </c:dLbl>
            <c:dLbl>
              <c:idx val="15"/>
              <c:layout>
                <c:manualLayout>
                  <c:x val="0.15555555555555556"/>
                  <c:y val="1.388888888888897E-2"/>
                </c:manualLayout>
              </c:layout>
              <c:spPr>
                <a:ln cap="rnd">
                  <a:noFill/>
                </a:ln>
              </c:spPr>
              <c:txPr>
                <a:bodyPr/>
                <a:lstStyle/>
                <a:p>
                  <a:pPr>
                    <a:defRPr sz="1400" b="1">
                      <a:solidFill>
                        <a:srgbClr val="0070C0"/>
                      </a:solidFill>
                    </a:defRPr>
                  </a:pPr>
                  <a:endParaRPr lang="ru-RU"/>
                </a:p>
              </c:txPr>
              <c:dLblPos val="r"/>
              <c:showVal val="1"/>
            </c:dLbl>
            <c:delete val="1"/>
          </c:dLbls>
          <c:val>
            <c:numRef>
              <c:f>'Эпотр и макс эл нагрузка'!$I$4:$I$25</c:f>
              <c:numCache>
                <c:formatCode>0.00</c:formatCode>
                <c:ptCount val="22"/>
                <c:pt idx="0">
                  <c:v>5.4883081293595524</c:v>
                </c:pt>
                <c:pt idx="1">
                  <c:v>5.4883081293595524</c:v>
                </c:pt>
                <c:pt idx="2">
                  <c:v>5.49</c:v>
                </c:pt>
                <c:pt idx="3">
                  <c:v>5.49</c:v>
                </c:pt>
              </c:numCache>
            </c:numRef>
          </c:val>
        </c:ser>
        <c:ser>
          <c:idx val="2"/>
          <c:order val="2"/>
          <c:spPr>
            <a:ln w="19050">
              <a:solidFill>
                <a:srgbClr val="0070C0"/>
              </a:solidFill>
              <a:prstDash val="dash"/>
            </a:ln>
          </c:spPr>
          <c:marker>
            <c:symbol val="none"/>
          </c:marker>
          <c:dLbls>
            <c:dLbl>
              <c:idx val="12"/>
              <c:layout>
                <c:manualLayout>
                  <c:x val="0.29540918163672647"/>
                  <c:y val="0"/>
                </c:manualLayout>
              </c:layout>
              <c:spPr/>
              <c:txPr>
                <a:bodyPr/>
                <a:lstStyle/>
                <a:p>
                  <a:pPr>
                    <a:defRPr sz="1400" b="1">
                      <a:solidFill>
                        <a:srgbClr val="0070C0"/>
                      </a:solidFill>
                    </a:defRPr>
                  </a:pPr>
                  <a:endParaRPr lang="ru-RU"/>
                </a:p>
              </c:txPr>
              <c:showVal val="1"/>
            </c:dLbl>
            <c:delete val="1"/>
          </c:dLbls>
          <c:val>
            <c:numRef>
              <c:f>'Эпотр и макс эл нагрузка'!$J$4:$J$25</c:f>
              <c:numCache>
                <c:formatCode>General</c:formatCode>
                <c:ptCount val="22"/>
                <c:pt idx="3" formatCode="0.00">
                  <c:v>5.3552280466850881</c:v>
                </c:pt>
                <c:pt idx="4" formatCode="0.00">
                  <c:v>5.3552280466850881</c:v>
                </c:pt>
                <c:pt idx="5" formatCode="0.00">
                  <c:v>5.3552280466850881</c:v>
                </c:pt>
                <c:pt idx="6" formatCode="0.00">
                  <c:v>5.3552280466850881</c:v>
                </c:pt>
                <c:pt idx="7" formatCode="0.00">
                  <c:v>5.3552280466850881</c:v>
                </c:pt>
                <c:pt idx="8" formatCode="0.00">
                  <c:v>5.3552280466850881</c:v>
                </c:pt>
                <c:pt idx="9" formatCode="0.00">
                  <c:v>5.3552280466850881</c:v>
                </c:pt>
                <c:pt idx="10" formatCode="0.00">
                  <c:v>5.3552280466850881</c:v>
                </c:pt>
                <c:pt idx="11" formatCode="0.00">
                  <c:v>5.3552280466850881</c:v>
                </c:pt>
                <c:pt idx="12" formatCode="0.00">
                  <c:v>5.3552280466850881</c:v>
                </c:pt>
                <c:pt idx="13" formatCode="0.00">
                  <c:v>5.3552280466850881</c:v>
                </c:pt>
                <c:pt idx="14" formatCode="0.00">
                  <c:v>5.3552280466850881</c:v>
                </c:pt>
                <c:pt idx="15" formatCode="0.00">
                  <c:v>5.3552280466850881</c:v>
                </c:pt>
                <c:pt idx="16" formatCode="0.00">
                  <c:v>5.3552280466850881</c:v>
                </c:pt>
                <c:pt idx="17" formatCode="0.00">
                  <c:v>5.3552280466850881</c:v>
                </c:pt>
                <c:pt idx="18" formatCode="0.00">
                  <c:v>5.3552280466850881</c:v>
                </c:pt>
                <c:pt idx="19" formatCode="0.00">
                  <c:v>5.3552280466850881</c:v>
                </c:pt>
                <c:pt idx="20" formatCode="0.00">
                  <c:v>5.3552280466850881</c:v>
                </c:pt>
                <c:pt idx="21" formatCode="0.00">
                  <c:v>5.3552280466850881</c:v>
                </c:pt>
              </c:numCache>
            </c:numRef>
          </c:val>
        </c:ser>
        <c:ser>
          <c:idx val="3"/>
          <c:order val="3"/>
          <c:spPr>
            <a:ln w="22225">
              <a:solidFill>
                <a:srgbClr val="0070C0"/>
              </a:solidFill>
              <a:prstDash val="dash"/>
            </a:ln>
          </c:spPr>
          <c:marker>
            <c:symbol val="none"/>
          </c:marker>
          <c:dLbls>
            <c:dLbl>
              <c:idx val="20"/>
              <c:layout>
                <c:manualLayout>
                  <c:x val="8.3333333333333367E-3"/>
                  <c:y val="0"/>
                </c:manualLayout>
              </c:layout>
              <c:spPr/>
              <c:txPr>
                <a:bodyPr/>
                <a:lstStyle/>
                <a:p>
                  <a:pPr>
                    <a:defRPr sz="1400" b="1">
                      <a:solidFill>
                        <a:srgbClr val="0070C0"/>
                      </a:solidFill>
                    </a:defRPr>
                  </a:pPr>
                  <a:endParaRPr lang="ru-RU"/>
                </a:p>
              </c:txPr>
              <c:dLblPos val="r"/>
              <c:showVal val="1"/>
            </c:dLbl>
            <c:delete val="1"/>
          </c:dLbls>
          <c:val>
            <c:numRef>
              <c:f>'Эпотр и макс эл нагрузка'!$K$4:$K$25</c:f>
              <c:numCache>
                <c:formatCode>General</c:formatCode>
                <c:ptCount val="22"/>
                <c:pt idx="13" formatCode="0.00">
                  <c:v>5.7181767323779376</c:v>
                </c:pt>
                <c:pt idx="14" formatCode="0.00">
                  <c:v>5.7181767323779376</c:v>
                </c:pt>
                <c:pt idx="15" formatCode="0.00">
                  <c:v>5.7181767323779376</c:v>
                </c:pt>
                <c:pt idx="16" formatCode="0.00">
                  <c:v>5.7181767323779376</c:v>
                </c:pt>
                <c:pt idx="17" formatCode="0.00">
                  <c:v>5.7181767323779376</c:v>
                </c:pt>
                <c:pt idx="18" formatCode="0.00">
                  <c:v>5.7181767323779376</c:v>
                </c:pt>
                <c:pt idx="19" formatCode="0.00">
                  <c:v>5.7181767323779376</c:v>
                </c:pt>
                <c:pt idx="20" formatCode="0.00">
                  <c:v>5.7181767323779376</c:v>
                </c:pt>
                <c:pt idx="21" formatCode="0.00">
                  <c:v>5.7181767323779376</c:v>
                </c:pt>
              </c:numCache>
            </c:numRef>
          </c:val>
        </c:ser>
        <c:marker val="1"/>
        <c:axId val="270925184"/>
        <c:axId val="268383360"/>
      </c:lineChart>
      <c:catAx>
        <c:axId val="270925184"/>
        <c:scaling>
          <c:orientation val="minMax"/>
        </c:scaling>
        <c:axPos val="b"/>
        <c:numFmt formatCode="General" sourceLinked="1"/>
        <c:tickLblPos val="nextTo"/>
        <c:txPr>
          <a:bodyPr rot="-2700000" vert="horz"/>
          <a:lstStyle/>
          <a:p>
            <a:pPr>
              <a:defRPr sz="1000" b="0" i="0" u="none" strike="noStrike" baseline="0">
                <a:solidFill>
                  <a:srgbClr val="000000"/>
                </a:solidFill>
                <a:latin typeface="Calibri"/>
                <a:ea typeface="Calibri"/>
                <a:cs typeface="Calibri"/>
              </a:defRPr>
            </a:pPr>
            <a:endParaRPr lang="ru-RU"/>
          </a:p>
        </c:txPr>
        <c:crossAx val="268383360"/>
        <c:crosses val="autoZero"/>
        <c:auto val="1"/>
        <c:lblAlgn val="ctr"/>
        <c:lblOffset val="100"/>
        <c:tickLblSkip val="2"/>
      </c:catAx>
      <c:valAx>
        <c:axId val="268383360"/>
        <c:scaling>
          <c:orientation val="minMax"/>
        </c:scaling>
        <c:axPos val="l"/>
        <c:majorGridlines/>
        <c:numFmt formatCode="0.00"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270925184"/>
        <c:crosses val="autoZero"/>
        <c:crossBetween val="between"/>
      </c:valAx>
    </c:plotArea>
    <c:legend>
      <c:legendPos val="r"/>
      <c:legendEntry>
        <c:idx val="1"/>
        <c:delete val="1"/>
      </c:legendEntry>
      <c:legendEntry>
        <c:idx val="2"/>
        <c:delete val="1"/>
      </c:legendEntry>
      <c:legendEntry>
        <c:idx val="3"/>
        <c:delete val="1"/>
      </c:legendEntry>
      <c:layout>
        <c:manualLayout>
          <c:xMode val="edge"/>
          <c:yMode val="edge"/>
          <c:x val="0.75951383322593669"/>
          <c:y val="0.43017179670722988"/>
          <c:w val="0.24048616677406376"/>
          <c:h val="0.19298894456374779"/>
        </c:manualLayout>
      </c:layout>
      <c:txPr>
        <a:bodyPr/>
        <a:lstStyle/>
        <a:p>
          <a:pPr>
            <a:defRPr sz="845"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userShapes r:id="rId2"/>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7506070575725413E-2"/>
          <c:y val="1.9514786254533172E-2"/>
          <c:w val="0.81454530763903321"/>
          <c:h val="0.93645217637296585"/>
        </c:manualLayout>
      </c:layout>
      <c:lineChart>
        <c:grouping val="standard"/>
        <c:ser>
          <c:idx val="0"/>
          <c:order val="0"/>
          <c:tx>
            <c:strRef>
              <c:f>Прогнозы!$C$102</c:f>
              <c:strCache>
                <c:ptCount val="1"/>
                <c:pt idx="0">
                  <c:v>Региональный (3,55%)</c:v>
                </c:pt>
              </c:strCache>
            </c:strRef>
          </c:tx>
          <c:spPr>
            <a:ln>
              <a:solidFill>
                <a:srgbClr val="00B050"/>
              </a:solidFill>
            </a:ln>
          </c:spPr>
          <c:marker>
            <c:symbol val="circle"/>
            <c:size val="7"/>
            <c:spPr>
              <a:solidFill>
                <a:srgbClr val="00B050"/>
              </a:solidFill>
              <a:ln>
                <a:solidFill>
                  <a:srgbClr val="00B050"/>
                </a:solidFill>
              </a:ln>
            </c:spPr>
          </c:marker>
          <c:dLbls>
            <c:dLbl>
              <c:idx val="0"/>
              <c:spPr/>
              <c:txPr>
                <a:bodyPr/>
                <a:lstStyle/>
                <a:p>
                  <a:pPr>
                    <a:defRPr sz="1100" b="1">
                      <a:solidFill>
                        <a:srgbClr val="00B050"/>
                      </a:solidFill>
                    </a:defRPr>
                  </a:pPr>
                  <a:endParaRPr lang="ru-RU"/>
                </a:p>
              </c:txPr>
              <c:dLblPos val="t"/>
              <c:showVal val="1"/>
            </c:dLbl>
            <c:dLbl>
              <c:idx val="3"/>
              <c:spPr/>
              <c:txPr>
                <a:bodyPr/>
                <a:lstStyle/>
                <a:p>
                  <a:pPr>
                    <a:defRPr sz="1100" b="1">
                      <a:solidFill>
                        <a:srgbClr val="00B050"/>
                      </a:solidFill>
                    </a:defRPr>
                  </a:pPr>
                  <a:endParaRPr lang="ru-RU"/>
                </a:p>
              </c:txPr>
              <c:dLblPos val="t"/>
              <c:showVal val="1"/>
            </c:dLbl>
            <c:dLbl>
              <c:idx val="6"/>
              <c:spPr/>
              <c:txPr>
                <a:bodyPr/>
                <a:lstStyle/>
                <a:p>
                  <a:pPr>
                    <a:defRPr sz="1100" b="1">
                      <a:solidFill>
                        <a:srgbClr val="00B050"/>
                      </a:solidFill>
                    </a:defRPr>
                  </a:pPr>
                  <a:endParaRPr lang="ru-RU"/>
                </a:p>
              </c:txPr>
              <c:dLblPos val="t"/>
              <c:showVal val="1"/>
            </c:dLbl>
            <c:dLbl>
              <c:idx val="9"/>
              <c:spPr/>
              <c:txPr>
                <a:bodyPr/>
                <a:lstStyle/>
                <a:p>
                  <a:pPr>
                    <a:defRPr sz="1100" b="1">
                      <a:solidFill>
                        <a:srgbClr val="00B050"/>
                      </a:solidFill>
                    </a:defRPr>
                  </a:pPr>
                  <a:endParaRPr lang="ru-RU"/>
                </a:p>
              </c:txPr>
              <c:dLblPos val="t"/>
              <c:showVal val="1"/>
            </c:dLbl>
            <c:delete val="1"/>
          </c:dLbls>
          <c:cat>
            <c:numRef>
              <c:f>Прогнозы!$D$101:$M$101</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Прогнозы!$D$102:$M$102</c:f>
              <c:numCache>
                <c:formatCode>0.0</c:formatCode>
                <c:ptCount val="10"/>
                <c:pt idx="0">
                  <c:v>17.695804195804207</c:v>
                </c:pt>
                <c:pt idx="1">
                  <c:v>18.5</c:v>
                </c:pt>
                <c:pt idx="2">
                  <c:v>19.319930069930081</c:v>
                </c:pt>
                <c:pt idx="3">
                  <c:v>20.174825174825187</c:v>
                </c:pt>
                <c:pt idx="4">
                  <c:v>21.050699300699289</c:v>
                </c:pt>
                <c:pt idx="5">
                  <c:v>21.73951048951049</c:v>
                </c:pt>
                <c:pt idx="6">
                  <c:v>22.431818181818198</c:v>
                </c:pt>
                <c:pt idx="7">
                  <c:v>23.02797202797203</c:v>
                </c:pt>
                <c:pt idx="8">
                  <c:v>23.622377622377623</c:v>
                </c:pt>
                <c:pt idx="9">
                  <c:v>24.208041958041949</c:v>
                </c:pt>
              </c:numCache>
            </c:numRef>
          </c:val>
        </c:ser>
        <c:ser>
          <c:idx val="1"/>
          <c:order val="1"/>
          <c:tx>
            <c:strRef>
              <c:f>Прогнозы!$C$103</c:f>
              <c:strCache>
                <c:ptCount val="1"/>
                <c:pt idx="0">
                  <c:v>Базовый (2,73%)</c:v>
                </c:pt>
              </c:strCache>
            </c:strRef>
          </c:tx>
          <c:spPr>
            <a:ln>
              <a:solidFill>
                <a:srgbClr val="002060"/>
              </a:solidFill>
            </a:ln>
          </c:spPr>
          <c:marker>
            <c:spPr>
              <a:solidFill>
                <a:srgbClr val="002060"/>
              </a:solidFill>
              <a:ln>
                <a:solidFill>
                  <a:srgbClr val="002060"/>
                </a:solidFill>
              </a:ln>
            </c:spPr>
          </c:marker>
          <c:dLbls>
            <c:dLbl>
              <c:idx val="0"/>
              <c:layout>
                <c:manualLayout>
                  <c:x val="-3.5572187139973892E-2"/>
                  <c:y val="2.6059178004657249E-2"/>
                </c:manualLayout>
              </c:layout>
              <c:dLblPos val="r"/>
              <c:showVal val="1"/>
            </c:dLbl>
            <c:dLbl>
              <c:idx val="1"/>
              <c:layout>
                <c:manualLayout>
                  <c:x val="-3.3003300330033E-2"/>
                  <c:y val="2.3084729486400432E-2"/>
                </c:manualLayout>
              </c:layout>
              <c:showVal val="1"/>
            </c:dLbl>
            <c:dLbl>
              <c:idx val="4"/>
              <c:dLblPos val="t"/>
              <c:showVal val="1"/>
            </c:dLbl>
            <c:dLbl>
              <c:idx val="6"/>
              <c:dLblPos val="t"/>
              <c:showVal val="1"/>
            </c:dLbl>
            <c:dLbl>
              <c:idx val="9"/>
              <c:dLblPos val="t"/>
              <c:showVal val="1"/>
            </c:dLbl>
            <c:delete val="1"/>
            <c:txPr>
              <a:bodyPr/>
              <a:lstStyle/>
              <a:p>
                <a:pPr>
                  <a:defRPr sz="1200" b="1">
                    <a:solidFill>
                      <a:srgbClr val="002060"/>
                    </a:solidFill>
                  </a:defRPr>
                </a:pPr>
                <a:endParaRPr lang="ru-RU"/>
              </a:p>
            </c:txPr>
          </c:dLbls>
          <c:cat>
            <c:numRef>
              <c:f>Прогнозы!$D$101:$M$101</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Прогнозы!$D$103:$M$103</c:f>
              <c:numCache>
                <c:formatCode>0.0</c:formatCode>
                <c:ptCount val="10"/>
                <c:pt idx="0">
                  <c:v>17.377622377622369</c:v>
                </c:pt>
                <c:pt idx="1">
                  <c:v>18.022727272727241</c:v>
                </c:pt>
                <c:pt idx="2">
                  <c:v>18.926573426573427</c:v>
                </c:pt>
                <c:pt idx="3">
                  <c:v>19.496503496503486</c:v>
                </c:pt>
                <c:pt idx="4">
                  <c:v>20.050699300699289</c:v>
                </c:pt>
                <c:pt idx="5">
                  <c:v>20.632867132867133</c:v>
                </c:pt>
                <c:pt idx="6">
                  <c:v>21.202797202797186</c:v>
                </c:pt>
                <c:pt idx="7">
                  <c:v>21.590909090909086</c:v>
                </c:pt>
                <c:pt idx="8">
                  <c:v>21.940559440559429</c:v>
                </c:pt>
                <c:pt idx="9">
                  <c:v>22.361888111888135</c:v>
                </c:pt>
              </c:numCache>
            </c:numRef>
          </c:val>
        </c:ser>
        <c:ser>
          <c:idx val="2"/>
          <c:order val="2"/>
          <c:tx>
            <c:strRef>
              <c:f>Прогнозы!$C$104</c:f>
              <c:strCache>
                <c:ptCount val="1"/>
                <c:pt idx="0">
                  <c:v>Москва-мировой город (2,6%)</c:v>
                </c:pt>
              </c:strCache>
            </c:strRef>
          </c:tx>
          <c:spPr>
            <a:ln>
              <a:solidFill>
                <a:schemeClr val="accent6">
                  <a:lumMod val="50000"/>
                </a:schemeClr>
              </a:solidFill>
            </a:ln>
          </c:spPr>
          <c:marker>
            <c:symbol val="circle"/>
            <c:size val="7"/>
            <c:spPr>
              <a:solidFill>
                <a:schemeClr val="accent6">
                  <a:lumMod val="50000"/>
                </a:schemeClr>
              </a:solidFill>
              <a:ln>
                <a:solidFill>
                  <a:srgbClr val="F79646">
                    <a:lumMod val="50000"/>
                  </a:srgbClr>
                </a:solidFill>
              </a:ln>
            </c:spPr>
          </c:marker>
          <c:dLbls>
            <c:dLbl>
              <c:idx val="7"/>
              <c:spPr/>
              <c:txPr>
                <a:bodyPr/>
                <a:lstStyle/>
                <a:p>
                  <a:pPr>
                    <a:defRPr sz="1200" b="1">
                      <a:solidFill>
                        <a:schemeClr val="accent6">
                          <a:lumMod val="50000"/>
                        </a:schemeClr>
                      </a:solidFill>
                    </a:defRPr>
                  </a:pPr>
                  <a:endParaRPr lang="ru-RU"/>
                </a:p>
              </c:txPr>
              <c:dLblPos val="t"/>
              <c:showVal val="1"/>
            </c:dLbl>
            <c:dLbl>
              <c:idx val="9"/>
              <c:spPr/>
              <c:txPr>
                <a:bodyPr/>
                <a:lstStyle/>
                <a:p>
                  <a:pPr>
                    <a:defRPr sz="1200" b="1">
                      <a:solidFill>
                        <a:schemeClr val="accent6">
                          <a:lumMod val="50000"/>
                        </a:schemeClr>
                      </a:solidFill>
                    </a:defRPr>
                  </a:pPr>
                  <a:endParaRPr lang="ru-RU"/>
                </a:p>
              </c:txPr>
              <c:dLblPos val="t"/>
              <c:showVal val="1"/>
            </c:dLbl>
            <c:delete val="1"/>
          </c:dLbls>
          <c:cat>
            <c:numRef>
              <c:f>Прогнозы!$D$101:$M$101</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Прогнозы!$D$104:$M$104</c:f>
              <c:numCache>
                <c:formatCode>0.0</c:formatCode>
                <c:ptCount val="10"/>
                <c:pt idx="1">
                  <c:v>18.05</c:v>
                </c:pt>
                <c:pt idx="2">
                  <c:v>18.098496503496506</c:v>
                </c:pt>
                <c:pt idx="3">
                  <c:v>18.569057412587426</c:v>
                </c:pt>
                <c:pt idx="4">
                  <c:v>19.051852905314703</c:v>
                </c:pt>
                <c:pt idx="5">
                  <c:v>19.547201080852883</c:v>
                </c:pt>
                <c:pt idx="6">
                  <c:v>20.055428308955037</c:v>
                </c:pt>
                <c:pt idx="7">
                  <c:v>20.576869444987878</c:v>
                </c:pt>
                <c:pt idx="8">
                  <c:v>21.111868050557593</c:v>
                </c:pt>
                <c:pt idx="9">
                  <c:v>21.660776619872063</c:v>
                </c:pt>
              </c:numCache>
            </c:numRef>
          </c:val>
        </c:ser>
        <c:ser>
          <c:idx val="3"/>
          <c:order val="3"/>
          <c:tx>
            <c:strRef>
              <c:f>Прогнозы!$C$105</c:f>
              <c:strCache>
                <c:ptCount val="1"/>
                <c:pt idx="0">
                  <c:v>Статус-Кво (2,3%)</c:v>
                </c:pt>
              </c:strCache>
            </c:strRef>
          </c:tx>
          <c:spPr>
            <a:ln>
              <a:solidFill>
                <a:srgbClr val="DB07B3"/>
              </a:solidFill>
            </a:ln>
          </c:spPr>
          <c:marker>
            <c:symbol val="circle"/>
            <c:size val="7"/>
            <c:spPr>
              <a:solidFill>
                <a:srgbClr val="DB07B3"/>
              </a:solidFill>
              <a:ln>
                <a:solidFill>
                  <a:srgbClr val="DB07B3"/>
                </a:solidFill>
              </a:ln>
            </c:spPr>
          </c:marker>
          <c:dLbls>
            <c:dLbl>
              <c:idx val="7"/>
              <c:spPr/>
              <c:txPr>
                <a:bodyPr/>
                <a:lstStyle/>
                <a:p>
                  <a:pPr>
                    <a:defRPr sz="1100" b="1">
                      <a:solidFill>
                        <a:srgbClr val="DB07B3"/>
                      </a:solidFill>
                    </a:defRPr>
                  </a:pPr>
                  <a:endParaRPr lang="ru-RU"/>
                </a:p>
              </c:txPr>
              <c:showVal val="1"/>
            </c:dLbl>
            <c:dLbl>
              <c:idx val="9"/>
              <c:spPr/>
              <c:txPr>
                <a:bodyPr/>
                <a:lstStyle/>
                <a:p>
                  <a:pPr>
                    <a:defRPr sz="1100" b="1">
                      <a:solidFill>
                        <a:srgbClr val="DB07B3"/>
                      </a:solidFill>
                    </a:defRPr>
                  </a:pPr>
                  <a:endParaRPr lang="ru-RU"/>
                </a:p>
              </c:txPr>
              <c:showVal val="1"/>
            </c:dLbl>
            <c:delete val="1"/>
          </c:dLbls>
          <c:cat>
            <c:numRef>
              <c:f>Прогнозы!$D$101:$M$101</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Прогнозы!$D$105:$M$105</c:f>
              <c:numCache>
                <c:formatCode>0.0</c:formatCode>
                <c:ptCount val="10"/>
                <c:pt idx="1">
                  <c:v>18.05</c:v>
                </c:pt>
                <c:pt idx="2">
                  <c:v>18.045576923076922</c:v>
                </c:pt>
                <c:pt idx="3">
                  <c:v>18.460625192307681</c:v>
                </c:pt>
                <c:pt idx="4">
                  <c:v>18.885219571730733</c:v>
                </c:pt>
                <c:pt idx="5">
                  <c:v>19.319579621880582</c:v>
                </c:pt>
                <c:pt idx="6">
                  <c:v>19.763929953183812</c:v>
                </c:pt>
                <c:pt idx="7">
                  <c:v>20.218500342107031</c:v>
                </c:pt>
                <c:pt idx="8">
                  <c:v>20.683525849975499</c:v>
                </c:pt>
                <c:pt idx="9">
                  <c:v>21.159246944524924</c:v>
                </c:pt>
              </c:numCache>
            </c:numRef>
          </c:val>
        </c:ser>
        <c:ser>
          <c:idx val="4"/>
          <c:order val="4"/>
          <c:tx>
            <c:strRef>
              <c:f>Прогнозы!$C$106</c:f>
              <c:strCache>
                <c:ptCount val="1"/>
                <c:pt idx="0">
                  <c:v>Консервативно-оптимистичный (1,6%)</c:v>
                </c:pt>
              </c:strCache>
            </c:strRef>
          </c:tx>
          <c:spPr>
            <a:ln>
              <a:solidFill>
                <a:srgbClr val="FF0000"/>
              </a:solidFill>
            </a:ln>
          </c:spPr>
          <c:marker>
            <c:symbol val="circle"/>
            <c:size val="7"/>
            <c:spPr>
              <a:solidFill>
                <a:srgbClr val="FF0000"/>
              </a:solidFill>
              <a:ln>
                <a:solidFill>
                  <a:srgbClr val="FF0000"/>
                </a:solidFill>
              </a:ln>
            </c:spPr>
          </c:marker>
          <c:dLbls>
            <c:dLbl>
              <c:idx val="7"/>
              <c:spPr/>
              <c:txPr>
                <a:bodyPr/>
                <a:lstStyle/>
                <a:p>
                  <a:pPr>
                    <a:defRPr sz="1100" b="1">
                      <a:solidFill>
                        <a:srgbClr val="FF0000"/>
                      </a:solidFill>
                    </a:defRPr>
                  </a:pPr>
                  <a:endParaRPr lang="ru-RU"/>
                </a:p>
              </c:txPr>
              <c:dLblPos val="t"/>
              <c:showVal val="1"/>
            </c:dLbl>
            <c:dLbl>
              <c:idx val="9"/>
              <c:spPr/>
              <c:txPr>
                <a:bodyPr/>
                <a:lstStyle/>
                <a:p>
                  <a:pPr>
                    <a:defRPr sz="1100" b="1">
                      <a:solidFill>
                        <a:srgbClr val="FF0000"/>
                      </a:solidFill>
                    </a:defRPr>
                  </a:pPr>
                  <a:endParaRPr lang="ru-RU"/>
                </a:p>
              </c:txPr>
              <c:dLblPos val="t"/>
              <c:showVal val="1"/>
            </c:dLbl>
            <c:delete val="1"/>
          </c:dLbls>
          <c:cat>
            <c:numRef>
              <c:f>Прогнозы!$D$101:$M$101</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Прогнозы!$D$106:$M$106</c:f>
              <c:numCache>
                <c:formatCode>0.0</c:formatCode>
                <c:ptCount val="10"/>
                <c:pt idx="1">
                  <c:v>18.05</c:v>
                </c:pt>
                <c:pt idx="2">
                  <c:v>17.922097902097892</c:v>
                </c:pt>
                <c:pt idx="3">
                  <c:v>18.208851468531481</c:v>
                </c:pt>
                <c:pt idx="4">
                  <c:v>18.500193092027967</c:v>
                </c:pt>
                <c:pt idx="5">
                  <c:v>18.796196181500424</c:v>
                </c:pt>
                <c:pt idx="6">
                  <c:v>19.096935320404441</c:v>
                </c:pt>
                <c:pt idx="7">
                  <c:v>19.402486285530873</c:v>
                </c:pt>
                <c:pt idx="8">
                  <c:v>19.712926066099396</c:v>
                </c:pt>
                <c:pt idx="9">
                  <c:v>20.028332883156963</c:v>
                </c:pt>
              </c:numCache>
            </c:numRef>
          </c:val>
        </c:ser>
        <c:ser>
          <c:idx val="5"/>
          <c:order val="5"/>
          <c:tx>
            <c:strRef>
              <c:f>Прогнозы!$C$107</c:f>
              <c:strCache>
                <c:ptCount val="1"/>
                <c:pt idx="0">
                  <c:v>Консервативный базовый (1,3%)</c:v>
                </c:pt>
              </c:strCache>
            </c:strRef>
          </c:tx>
          <c:dLbls>
            <c:dLbl>
              <c:idx val="2"/>
              <c:spPr/>
              <c:txPr>
                <a:bodyPr/>
                <a:lstStyle/>
                <a:p>
                  <a:pPr>
                    <a:defRPr sz="1200" b="1">
                      <a:solidFill>
                        <a:schemeClr val="accent6">
                          <a:lumMod val="75000"/>
                        </a:schemeClr>
                      </a:solidFill>
                    </a:defRPr>
                  </a:pPr>
                  <a:endParaRPr lang="ru-RU"/>
                </a:p>
              </c:txPr>
              <c:dLblPos val="b"/>
              <c:showVal val="1"/>
            </c:dLbl>
            <c:dLbl>
              <c:idx val="9"/>
              <c:spPr/>
              <c:txPr>
                <a:bodyPr/>
                <a:lstStyle/>
                <a:p>
                  <a:pPr>
                    <a:defRPr sz="1200" b="1">
                      <a:solidFill>
                        <a:schemeClr val="accent6">
                          <a:lumMod val="75000"/>
                        </a:schemeClr>
                      </a:solidFill>
                    </a:defRPr>
                  </a:pPr>
                  <a:endParaRPr lang="ru-RU"/>
                </a:p>
              </c:txPr>
              <c:dLblPos val="b"/>
              <c:showVal val="1"/>
            </c:dLbl>
            <c:delete val="1"/>
          </c:dLbls>
          <c:cat>
            <c:numRef>
              <c:f>Прогнозы!$D$101:$M$101</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Прогнозы!$D$107:$M$107</c:f>
              <c:numCache>
                <c:formatCode>0.0</c:formatCode>
                <c:ptCount val="10"/>
                <c:pt idx="1">
                  <c:v>18.05</c:v>
                </c:pt>
                <c:pt idx="2">
                  <c:v>17.86917832167833</c:v>
                </c:pt>
                <c:pt idx="3">
                  <c:v>18.101477639860139</c:v>
                </c:pt>
                <c:pt idx="4">
                  <c:v>18.336796849178306</c:v>
                </c:pt>
                <c:pt idx="5">
                  <c:v>18.575175208217637</c:v>
                </c:pt>
                <c:pt idx="6">
                  <c:v>18.816652485924461</c:v>
                </c:pt>
                <c:pt idx="7">
                  <c:v>19.061268968241496</c:v>
                </c:pt>
                <c:pt idx="8">
                  <c:v>19.309065464828635</c:v>
                </c:pt>
                <c:pt idx="9">
                  <c:v>19.560083315871374</c:v>
                </c:pt>
              </c:numCache>
            </c:numRef>
          </c:val>
        </c:ser>
        <c:marker val="1"/>
        <c:axId val="270948992"/>
        <c:axId val="270958976"/>
      </c:lineChart>
      <c:catAx>
        <c:axId val="270948992"/>
        <c:scaling>
          <c:orientation val="minMax"/>
        </c:scaling>
        <c:axPos val="b"/>
        <c:numFmt formatCode="0" sourceLinked="1"/>
        <c:tickLblPos val="nextTo"/>
        <c:crossAx val="270958976"/>
        <c:crosses val="autoZero"/>
        <c:auto val="1"/>
        <c:lblAlgn val="ctr"/>
        <c:lblOffset val="100"/>
      </c:catAx>
      <c:valAx>
        <c:axId val="270958976"/>
        <c:scaling>
          <c:orientation val="minMax"/>
          <c:min val="16"/>
        </c:scaling>
        <c:axPos val="l"/>
        <c:majorGridlines/>
        <c:numFmt formatCode="0.0" sourceLinked="1"/>
        <c:tickLblPos val="nextTo"/>
        <c:crossAx val="270948992"/>
        <c:crosses val="autoZero"/>
        <c:crossBetween val="between"/>
      </c:valAx>
    </c:plotArea>
    <c:legend>
      <c:legendPos val="r"/>
      <c:layout>
        <c:manualLayout>
          <c:xMode val="edge"/>
          <c:yMode val="edge"/>
          <c:x val="5.7285933317741344E-2"/>
          <c:y val="1.9713467451957272E-2"/>
          <c:w val="0.30883656869623982"/>
          <c:h val="0.32115710737230285"/>
        </c:manualLayout>
      </c:layout>
    </c:legend>
    <c:plotVisOnly val="1"/>
    <c:dispBlanksAs val="gap"/>
  </c:chart>
  <c:externalData r:id="rId1"/>
  <c:userShapes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2355205599300091E-2"/>
          <c:y val="1.9441560807031209E-2"/>
          <c:w val="0.88703873379463927"/>
          <c:h val="0.9366906272461768"/>
        </c:manualLayout>
      </c:layout>
      <c:lineChart>
        <c:grouping val="standard"/>
        <c:ser>
          <c:idx val="0"/>
          <c:order val="0"/>
          <c:tx>
            <c:strRef>
              <c:f>Прогнозы!$C$93</c:f>
              <c:strCache>
                <c:ptCount val="1"/>
                <c:pt idx="0">
                  <c:v>Региональный (3,55%)</c:v>
                </c:pt>
              </c:strCache>
            </c:strRef>
          </c:tx>
          <c:spPr>
            <a:ln>
              <a:solidFill>
                <a:srgbClr val="00B050"/>
              </a:solidFill>
            </a:ln>
          </c:spPr>
          <c:marker>
            <c:symbol val="circle"/>
            <c:size val="7"/>
            <c:spPr>
              <a:solidFill>
                <a:srgbClr val="00B050"/>
              </a:solidFill>
              <a:ln>
                <a:solidFill>
                  <a:srgbClr val="00B050"/>
                </a:solidFill>
              </a:ln>
            </c:spPr>
          </c:marker>
          <c:dLbls>
            <c:dLbl>
              <c:idx val="0"/>
              <c:spPr/>
              <c:txPr>
                <a:bodyPr/>
                <a:lstStyle/>
                <a:p>
                  <a:pPr>
                    <a:defRPr sz="1100" b="1">
                      <a:solidFill>
                        <a:srgbClr val="00B050"/>
                      </a:solidFill>
                    </a:defRPr>
                  </a:pPr>
                  <a:endParaRPr lang="ru-RU"/>
                </a:p>
              </c:txPr>
              <c:dLblPos val="t"/>
              <c:showVal val="1"/>
            </c:dLbl>
            <c:dLbl>
              <c:idx val="3"/>
              <c:spPr/>
              <c:txPr>
                <a:bodyPr/>
                <a:lstStyle/>
                <a:p>
                  <a:pPr>
                    <a:defRPr sz="1100" b="1">
                      <a:solidFill>
                        <a:srgbClr val="00B050"/>
                      </a:solidFill>
                    </a:defRPr>
                  </a:pPr>
                  <a:endParaRPr lang="ru-RU"/>
                </a:p>
              </c:txPr>
              <c:dLblPos val="t"/>
              <c:showVal val="1"/>
            </c:dLbl>
            <c:dLbl>
              <c:idx val="6"/>
              <c:spPr/>
              <c:txPr>
                <a:bodyPr/>
                <a:lstStyle/>
                <a:p>
                  <a:pPr>
                    <a:defRPr sz="1100" b="1">
                      <a:solidFill>
                        <a:srgbClr val="00B050"/>
                      </a:solidFill>
                    </a:defRPr>
                  </a:pPr>
                  <a:endParaRPr lang="ru-RU"/>
                </a:p>
              </c:txPr>
              <c:dLblPos val="t"/>
              <c:showVal val="1"/>
            </c:dLbl>
            <c:dLbl>
              <c:idx val="9"/>
              <c:spPr/>
              <c:txPr>
                <a:bodyPr/>
                <a:lstStyle/>
                <a:p>
                  <a:pPr>
                    <a:defRPr sz="1100" b="1">
                      <a:solidFill>
                        <a:srgbClr val="00B050"/>
                      </a:solidFill>
                    </a:defRPr>
                  </a:pPr>
                  <a:endParaRPr lang="ru-RU"/>
                </a:p>
              </c:txPr>
              <c:dLblPos val="t"/>
              <c:showVal val="1"/>
            </c:dLbl>
            <c:delete val="1"/>
          </c:dLbls>
          <c:cat>
            <c:numRef>
              <c:f>Прогнозы!$D$92:$M$92</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Прогнозы!$D$93:$M$93</c:f>
              <c:numCache>
                <c:formatCode>0.00</c:formatCode>
                <c:ptCount val="10"/>
                <c:pt idx="0">
                  <c:v>19.026315789473681</c:v>
                </c:pt>
                <c:pt idx="1">
                  <c:v>19.890977443609032</c:v>
                </c:pt>
                <c:pt idx="2" formatCode="0.0">
                  <c:v>20.772556390977428</c:v>
                </c:pt>
                <c:pt idx="3" formatCode="0.0">
                  <c:v>21.69172932330827</c:v>
                </c:pt>
                <c:pt idx="4" formatCode="0.0">
                  <c:v>22.63345864661656</c:v>
                </c:pt>
                <c:pt idx="5" formatCode="0.0">
                  <c:v>23.374060150375936</c:v>
                </c:pt>
                <c:pt idx="6" formatCode="0.0">
                  <c:v>24.118421052631589</c:v>
                </c:pt>
                <c:pt idx="7" formatCode="0.0">
                  <c:v>24.75939849624061</c:v>
                </c:pt>
                <c:pt idx="8" formatCode="0.0">
                  <c:v>25.398496240601492</c:v>
                </c:pt>
                <c:pt idx="9" formatCode="0.0">
                  <c:v>26.028195488721792</c:v>
                </c:pt>
              </c:numCache>
            </c:numRef>
          </c:val>
        </c:ser>
        <c:ser>
          <c:idx val="1"/>
          <c:order val="1"/>
          <c:tx>
            <c:strRef>
              <c:f>Прогнозы!$C$94</c:f>
              <c:strCache>
                <c:ptCount val="1"/>
                <c:pt idx="0">
                  <c:v>Базовый (2,73%)</c:v>
                </c:pt>
              </c:strCache>
            </c:strRef>
          </c:tx>
          <c:spPr>
            <a:ln>
              <a:solidFill>
                <a:srgbClr val="002060"/>
              </a:solidFill>
            </a:ln>
          </c:spPr>
          <c:marker>
            <c:symbol val="circle"/>
            <c:size val="7"/>
            <c:spPr>
              <a:solidFill>
                <a:srgbClr val="002060"/>
              </a:solidFill>
              <a:ln>
                <a:solidFill>
                  <a:srgbClr val="002060"/>
                </a:solidFill>
              </a:ln>
            </c:spPr>
          </c:marker>
          <c:dLbls>
            <c:dLbl>
              <c:idx val="0"/>
              <c:spPr/>
              <c:txPr>
                <a:bodyPr/>
                <a:lstStyle/>
                <a:p>
                  <a:pPr>
                    <a:defRPr sz="1200" b="1">
                      <a:solidFill>
                        <a:srgbClr val="002060"/>
                      </a:solidFill>
                    </a:defRPr>
                  </a:pPr>
                  <a:endParaRPr lang="ru-RU"/>
                </a:p>
              </c:txPr>
              <c:dLblPos val="t"/>
              <c:showVal val="1"/>
            </c:dLbl>
            <c:dLbl>
              <c:idx val="2"/>
              <c:spPr/>
              <c:txPr>
                <a:bodyPr/>
                <a:lstStyle/>
                <a:p>
                  <a:pPr>
                    <a:defRPr sz="1200" b="1">
                      <a:solidFill>
                        <a:srgbClr val="002060"/>
                      </a:solidFill>
                    </a:defRPr>
                  </a:pPr>
                  <a:endParaRPr lang="ru-RU"/>
                </a:p>
              </c:txPr>
              <c:dLblPos val="t"/>
              <c:showVal val="1"/>
            </c:dLbl>
            <c:dLbl>
              <c:idx val="6"/>
              <c:spPr/>
              <c:txPr>
                <a:bodyPr/>
                <a:lstStyle/>
                <a:p>
                  <a:pPr>
                    <a:defRPr sz="1200" b="1">
                      <a:solidFill>
                        <a:srgbClr val="002060"/>
                      </a:solidFill>
                    </a:defRPr>
                  </a:pPr>
                  <a:endParaRPr lang="ru-RU"/>
                </a:p>
              </c:txPr>
              <c:dLblPos val="t"/>
              <c:showVal val="1"/>
            </c:dLbl>
            <c:dLbl>
              <c:idx val="9"/>
              <c:spPr/>
              <c:txPr>
                <a:bodyPr/>
                <a:lstStyle/>
                <a:p>
                  <a:pPr>
                    <a:defRPr sz="1200" b="1">
                      <a:solidFill>
                        <a:srgbClr val="002060"/>
                      </a:solidFill>
                    </a:defRPr>
                  </a:pPr>
                  <a:endParaRPr lang="ru-RU"/>
                </a:p>
              </c:txPr>
              <c:dLblPos val="t"/>
              <c:showVal val="1"/>
            </c:dLbl>
            <c:delete val="1"/>
          </c:dLbls>
          <c:cat>
            <c:numRef>
              <c:f>Прогнозы!$D$92:$M$92</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Прогнозы!$D$94:$M$94</c:f>
              <c:numCache>
                <c:formatCode>0.00</c:formatCode>
                <c:ptCount val="10"/>
                <c:pt idx="0">
                  <c:v>18.684210526315788</c:v>
                </c:pt>
                <c:pt idx="1">
                  <c:v>19.377819548872189</c:v>
                </c:pt>
                <c:pt idx="2" formatCode="0.0">
                  <c:v>20.349624060150376</c:v>
                </c:pt>
                <c:pt idx="3" formatCode="0.0">
                  <c:v>20.962406015037576</c:v>
                </c:pt>
                <c:pt idx="4" formatCode="0.0">
                  <c:v>21.558270676691727</c:v>
                </c:pt>
                <c:pt idx="5" formatCode="0.0">
                  <c:v>22.184210526315788</c:v>
                </c:pt>
                <c:pt idx="6" formatCode="0.0">
                  <c:v>22.796992481203006</c:v>
                </c:pt>
                <c:pt idx="7" formatCode="0.0">
                  <c:v>23.214285714285733</c:v>
                </c:pt>
                <c:pt idx="8" formatCode="0.0">
                  <c:v>23.590225563909772</c:v>
                </c:pt>
                <c:pt idx="9" formatCode="0.0">
                  <c:v>24.043233082706756</c:v>
                </c:pt>
              </c:numCache>
            </c:numRef>
          </c:val>
        </c:ser>
        <c:ser>
          <c:idx val="2"/>
          <c:order val="2"/>
          <c:tx>
            <c:strRef>
              <c:f>Прогнозы!$C$95</c:f>
              <c:strCache>
                <c:ptCount val="1"/>
                <c:pt idx="0">
                  <c:v>Москва-мировой город (2,6%)</c:v>
                </c:pt>
              </c:strCache>
            </c:strRef>
          </c:tx>
          <c:spPr>
            <a:ln>
              <a:solidFill>
                <a:schemeClr val="accent6">
                  <a:lumMod val="50000"/>
                </a:schemeClr>
              </a:solidFill>
            </a:ln>
          </c:spPr>
          <c:marker>
            <c:symbol val="circle"/>
            <c:size val="7"/>
            <c:spPr>
              <a:solidFill>
                <a:schemeClr val="accent6">
                  <a:lumMod val="50000"/>
                </a:schemeClr>
              </a:solidFill>
              <a:ln>
                <a:solidFill>
                  <a:srgbClr val="F79646">
                    <a:lumMod val="50000"/>
                  </a:srgbClr>
                </a:solidFill>
              </a:ln>
            </c:spPr>
          </c:marker>
          <c:dLbls>
            <c:dLbl>
              <c:idx val="1"/>
              <c:spPr/>
              <c:txPr>
                <a:bodyPr/>
                <a:lstStyle/>
                <a:p>
                  <a:pPr>
                    <a:defRPr sz="1200" b="1">
                      <a:solidFill>
                        <a:schemeClr val="accent6">
                          <a:lumMod val="50000"/>
                        </a:schemeClr>
                      </a:solidFill>
                    </a:defRPr>
                  </a:pPr>
                  <a:endParaRPr lang="ru-RU"/>
                </a:p>
              </c:txPr>
              <c:dLblPos val="t"/>
              <c:showVal val="1"/>
            </c:dLbl>
            <c:dLbl>
              <c:idx val="6"/>
              <c:spPr/>
              <c:txPr>
                <a:bodyPr/>
                <a:lstStyle/>
                <a:p>
                  <a:pPr>
                    <a:defRPr sz="1200" b="1">
                      <a:solidFill>
                        <a:schemeClr val="accent6">
                          <a:lumMod val="50000"/>
                        </a:schemeClr>
                      </a:solidFill>
                    </a:defRPr>
                  </a:pPr>
                  <a:endParaRPr lang="ru-RU"/>
                </a:p>
              </c:txPr>
              <c:dLblPos val="t"/>
              <c:showVal val="1"/>
            </c:dLbl>
            <c:dLbl>
              <c:idx val="9"/>
              <c:spPr/>
              <c:txPr>
                <a:bodyPr/>
                <a:lstStyle/>
                <a:p>
                  <a:pPr>
                    <a:defRPr sz="1200" b="1">
                      <a:solidFill>
                        <a:schemeClr val="accent6">
                          <a:lumMod val="50000"/>
                        </a:schemeClr>
                      </a:solidFill>
                    </a:defRPr>
                  </a:pPr>
                  <a:endParaRPr lang="ru-RU"/>
                </a:p>
              </c:txPr>
              <c:dLblPos val="t"/>
              <c:showVal val="1"/>
            </c:dLbl>
            <c:delete val="1"/>
          </c:dLbls>
          <c:cat>
            <c:numRef>
              <c:f>Прогнозы!$D$92:$M$92</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Прогнозы!$D$95:$M$95</c:f>
              <c:numCache>
                <c:formatCode>0.00</c:formatCode>
                <c:ptCount val="10"/>
                <c:pt idx="1">
                  <c:v>18.05</c:v>
                </c:pt>
                <c:pt idx="2" formatCode="0.0">
                  <c:v>19.459285714285727</c:v>
                </c:pt>
                <c:pt idx="3" formatCode="0.0">
                  <c:v>19.965227142857124</c:v>
                </c:pt>
                <c:pt idx="4" formatCode="0.0">
                  <c:v>20.484323048571419</c:v>
                </c:pt>
                <c:pt idx="5" formatCode="0.0">
                  <c:v>21.0169154478343</c:v>
                </c:pt>
                <c:pt idx="6" formatCode="0.0">
                  <c:v>21.563355249477979</c:v>
                </c:pt>
                <c:pt idx="7" formatCode="0.0">
                  <c:v>22.124002485964407</c:v>
                </c:pt>
                <c:pt idx="8" formatCode="0.0">
                  <c:v>22.699226550599484</c:v>
                </c:pt>
                <c:pt idx="9" formatCode="0.0">
                  <c:v>23.289406440915062</c:v>
                </c:pt>
              </c:numCache>
            </c:numRef>
          </c:val>
        </c:ser>
        <c:ser>
          <c:idx val="3"/>
          <c:order val="3"/>
          <c:tx>
            <c:strRef>
              <c:f>Прогнозы!$C$96</c:f>
              <c:strCache>
                <c:ptCount val="1"/>
                <c:pt idx="0">
                  <c:v>Статус-Кво (2,3%)</c:v>
                </c:pt>
              </c:strCache>
            </c:strRef>
          </c:tx>
          <c:spPr>
            <a:ln>
              <a:solidFill>
                <a:srgbClr val="DB07B3"/>
              </a:solidFill>
            </a:ln>
          </c:spPr>
          <c:marker>
            <c:symbol val="circle"/>
            <c:size val="7"/>
            <c:spPr>
              <a:solidFill>
                <a:srgbClr val="DB07B3"/>
              </a:solidFill>
              <a:ln>
                <a:solidFill>
                  <a:srgbClr val="DB07B3"/>
                </a:solidFill>
              </a:ln>
            </c:spPr>
          </c:marker>
          <c:dLbls>
            <c:dLbl>
              <c:idx val="7"/>
              <c:spPr/>
              <c:txPr>
                <a:bodyPr/>
                <a:lstStyle/>
                <a:p>
                  <a:pPr>
                    <a:defRPr sz="1100" b="1">
                      <a:solidFill>
                        <a:srgbClr val="DB07B3"/>
                      </a:solidFill>
                    </a:defRPr>
                  </a:pPr>
                  <a:endParaRPr lang="ru-RU"/>
                </a:p>
              </c:txPr>
              <c:dLblPos val="b"/>
              <c:showVal val="1"/>
            </c:dLbl>
            <c:dLbl>
              <c:idx val="9"/>
              <c:spPr/>
              <c:txPr>
                <a:bodyPr/>
                <a:lstStyle/>
                <a:p>
                  <a:pPr>
                    <a:defRPr sz="1100" b="1">
                      <a:solidFill>
                        <a:srgbClr val="DB07B3"/>
                      </a:solidFill>
                    </a:defRPr>
                  </a:pPr>
                  <a:endParaRPr lang="ru-RU"/>
                </a:p>
              </c:txPr>
              <c:dLblPos val="b"/>
              <c:showVal val="1"/>
            </c:dLbl>
            <c:delete val="1"/>
          </c:dLbls>
          <c:cat>
            <c:numRef>
              <c:f>Прогнозы!$D$92:$M$92</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Прогнозы!$D$96:$M$96</c:f>
              <c:numCache>
                <c:formatCode>0.00</c:formatCode>
                <c:ptCount val="10"/>
                <c:pt idx="1">
                  <c:v>18.05</c:v>
                </c:pt>
                <c:pt idx="2" formatCode="0.0">
                  <c:v>19.402387218045099</c:v>
                </c:pt>
                <c:pt idx="3" formatCode="0.0">
                  <c:v>19.848642124060131</c:v>
                </c:pt>
                <c:pt idx="4" formatCode="0.0">
                  <c:v>20.305160892913527</c:v>
                </c:pt>
                <c:pt idx="5" formatCode="0.0">
                  <c:v>20.772179593450527</c:v>
                </c:pt>
                <c:pt idx="6" formatCode="0.0">
                  <c:v>21.2499397240999</c:v>
                </c:pt>
                <c:pt idx="7" formatCode="0.0">
                  <c:v>21.738688337754187</c:v>
                </c:pt>
                <c:pt idx="8" formatCode="0.0">
                  <c:v>22.238678169522537</c:v>
                </c:pt>
                <c:pt idx="9" formatCode="0.0">
                  <c:v>22.750167767421555</c:v>
                </c:pt>
              </c:numCache>
            </c:numRef>
          </c:val>
        </c:ser>
        <c:ser>
          <c:idx val="4"/>
          <c:order val="4"/>
          <c:tx>
            <c:strRef>
              <c:f>Прогнозы!$C$97</c:f>
              <c:strCache>
                <c:ptCount val="1"/>
                <c:pt idx="0">
                  <c:v>Консервативно-оптимистичный (1,6%)</c:v>
                </c:pt>
              </c:strCache>
            </c:strRef>
          </c:tx>
          <c:spPr>
            <a:ln>
              <a:solidFill>
                <a:srgbClr val="FF0000"/>
              </a:solidFill>
            </a:ln>
          </c:spPr>
          <c:marker>
            <c:symbol val="circle"/>
            <c:size val="7"/>
            <c:spPr>
              <a:solidFill>
                <a:srgbClr val="FF0000"/>
              </a:solidFill>
              <a:ln>
                <a:solidFill>
                  <a:srgbClr val="FF0000"/>
                </a:solidFill>
              </a:ln>
            </c:spPr>
          </c:marker>
          <c:dLbls>
            <c:dLbl>
              <c:idx val="6"/>
              <c:spPr/>
              <c:txPr>
                <a:bodyPr/>
                <a:lstStyle/>
                <a:p>
                  <a:pPr>
                    <a:defRPr sz="1200" b="1">
                      <a:solidFill>
                        <a:srgbClr val="FF0000"/>
                      </a:solidFill>
                    </a:defRPr>
                  </a:pPr>
                  <a:endParaRPr lang="ru-RU"/>
                </a:p>
              </c:txPr>
              <c:dLblPos val="t"/>
              <c:showVal val="1"/>
            </c:dLbl>
            <c:dLbl>
              <c:idx val="8"/>
              <c:spPr/>
              <c:txPr>
                <a:bodyPr/>
                <a:lstStyle/>
                <a:p>
                  <a:pPr>
                    <a:defRPr sz="1200" b="1">
                      <a:solidFill>
                        <a:srgbClr val="FF0000"/>
                      </a:solidFill>
                    </a:defRPr>
                  </a:pPr>
                  <a:endParaRPr lang="ru-RU"/>
                </a:p>
              </c:txPr>
              <c:dLblPos val="t"/>
              <c:showVal val="1"/>
            </c:dLbl>
            <c:dLbl>
              <c:idx val="9"/>
              <c:spPr/>
              <c:txPr>
                <a:bodyPr/>
                <a:lstStyle/>
                <a:p>
                  <a:pPr>
                    <a:defRPr sz="1200" b="1">
                      <a:solidFill>
                        <a:srgbClr val="FF0000"/>
                      </a:solidFill>
                    </a:defRPr>
                  </a:pPr>
                  <a:endParaRPr lang="ru-RU"/>
                </a:p>
              </c:txPr>
              <c:dLblPos val="t"/>
              <c:showVal val="1"/>
            </c:dLbl>
            <c:delete val="1"/>
          </c:dLbls>
          <c:cat>
            <c:numRef>
              <c:f>Прогнозы!$D$92:$M$92</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Прогнозы!$D$97:$M$97</c:f>
              <c:numCache>
                <c:formatCode>0.00</c:formatCode>
                <c:ptCount val="10"/>
                <c:pt idx="1">
                  <c:v>18.05</c:v>
                </c:pt>
                <c:pt idx="2" formatCode="0.0">
                  <c:v>19.269624060150367</c:v>
                </c:pt>
                <c:pt idx="3" formatCode="0.0">
                  <c:v>19.577938045112791</c:v>
                </c:pt>
                <c:pt idx="4" formatCode="0.0">
                  <c:v>19.891185053834601</c:v>
                </c:pt>
                <c:pt idx="5" formatCode="0.0">
                  <c:v>20.209444014695929</c:v>
                </c:pt>
                <c:pt idx="6" formatCode="0.0">
                  <c:v>20.532795118931077</c:v>
                </c:pt>
                <c:pt idx="7" formatCode="0.0">
                  <c:v>20.86131984083395</c:v>
                </c:pt>
                <c:pt idx="8" formatCode="0.0">
                  <c:v>21.195100958287316</c:v>
                </c:pt>
                <c:pt idx="9" formatCode="0.0">
                  <c:v>21.534222573619903</c:v>
                </c:pt>
              </c:numCache>
            </c:numRef>
          </c:val>
        </c:ser>
        <c:ser>
          <c:idx val="5"/>
          <c:order val="5"/>
          <c:tx>
            <c:strRef>
              <c:f>Прогнозы!$C$98</c:f>
              <c:strCache>
                <c:ptCount val="1"/>
                <c:pt idx="0">
                  <c:v>Консервативный базовый (1,3%)</c:v>
                </c:pt>
              </c:strCache>
            </c:strRef>
          </c:tx>
          <c:dLbls>
            <c:dLbl>
              <c:idx val="6"/>
              <c:spPr/>
              <c:txPr>
                <a:bodyPr/>
                <a:lstStyle/>
                <a:p>
                  <a:pPr>
                    <a:defRPr sz="1200" b="1">
                      <a:solidFill>
                        <a:schemeClr val="accent6"/>
                      </a:solidFill>
                    </a:defRPr>
                  </a:pPr>
                  <a:endParaRPr lang="ru-RU"/>
                </a:p>
              </c:txPr>
              <c:dLblPos val="b"/>
              <c:showVal val="1"/>
            </c:dLbl>
            <c:dLbl>
              <c:idx val="9"/>
              <c:spPr/>
              <c:txPr>
                <a:bodyPr/>
                <a:lstStyle/>
                <a:p>
                  <a:pPr>
                    <a:defRPr sz="1200" b="1">
                      <a:solidFill>
                        <a:schemeClr val="accent6"/>
                      </a:solidFill>
                    </a:defRPr>
                  </a:pPr>
                  <a:endParaRPr lang="ru-RU"/>
                </a:p>
              </c:txPr>
              <c:dLblPos val="b"/>
              <c:showVal val="1"/>
            </c:dLbl>
            <c:delete val="1"/>
          </c:dLbls>
          <c:cat>
            <c:numRef>
              <c:f>Прогнозы!$D$92:$M$92</c:f>
              <c:numCache>
                <c:formatCode>0</c:formatCode>
                <c:ptCount val="10"/>
                <c:pt idx="0">
                  <c:v>2011</c:v>
                </c:pt>
                <c:pt idx="1">
                  <c:v>2012</c:v>
                </c:pt>
                <c:pt idx="2">
                  <c:v>2013</c:v>
                </c:pt>
                <c:pt idx="3">
                  <c:v>2014</c:v>
                </c:pt>
                <c:pt idx="4">
                  <c:v>2015</c:v>
                </c:pt>
                <c:pt idx="5">
                  <c:v>2016</c:v>
                </c:pt>
                <c:pt idx="6">
                  <c:v>2017</c:v>
                </c:pt>
                <c:pt idx="7">
                  <c:v>2018</c:v>
                </c:pt>
                <c:pt idx="8">
                  <c:v>2019</c:v>
                </c:pt>
                <c:pt idx="9">
                  <c:v>2020</c:v>
                </c:pt>
              </c:numCache>
            </c:numRef>
          </c:cat>
          <c:val>
            <c:numRef>
              <c:f>Прогнозы!$D$98:$M$98</c:f>
              <c:numCache>
                <c:formatCode>0.00</c:formatCode>
                <c:ptCount val="10"/>
                <c:pt idx="1">
                  <c:v>18.05</c:v>
                </c:pt>
                <c:pt idx="2" formatCode="0.0">
                  <c:v>19.21272556390976</c:v>
                </c:pt>
                <c:pt idx="3" formatCode="0.0">
                  <c:v>19.462490996240589</c:v>
                </c:pt>
                <c:pt idx="4" formatCode="0.0">
                  <c:v>19.715503379191713</c:v>
                </c:pt>
                <c:pt idx="5" formatCode="0.0">
                  <c:v>19.971804923121216</c:v>
                </c:pt>
                <c:pt idx="6" formatCode="0.0">
                  <c:v>20.231438387121777</c:v>
                </c:pt>
                <c:pt idx="7" formatCode="0.0">
                  <c:v>20.494447086154359</c:v>
                </c:pt>
                <c:pt idx="8" formatCode="0.0">
                  <c:v>20.760874898274373</c:v>
                </c:pt>
                <c:pt idx="9" formatCode="0.0">
                  <c:v>21.030766271951922</c:v>
                </c:pt>
              </c:numCache>
            </c:numRef>
          </c:val>
        </c:ser>
        <c:marker val="1"/>
        <c:axId val="271123584"/>
        <c:axId val="271125120"/>
      </c:lineChart>
      <c:catAx>
        <c:axId val="271123584"/>
        <c:scaling>
          <c:orientation val="minMax"/>
        </c:scaling>
        <c:axPos val="b"/>
        <c:numFmt formatCode="0" sourceLinked="1"/>
        <c:tickLblPos val="nextTo"/>
        <c:crossAx val="271125120"/>
        <c:crosses val="autoZero"/>
        <c:auto val="1"/>
        <c:lblAlgn val="ctr"/>
        <c:lblOffset val="100"/>
        <c:tickLblSkip val="1"/>
      </c:catAx>
      <c:valAx>
        <c:axId val="271125120"/>
        <c:scaling>
          <c:orientation val="minMax"/>
          <c:min val="16"/>
        </c:scaling>
        <c:axPos val="l"/>
        <c:majorGridlines/>
        <c:numFmt formatCode="0.00" sourceLinked="1"/>
        <c:tickLblPos val="nextTo"/>
        <c:crossAx val="271123584"/>
        <c:crosses val="autoZero"/>
        <c:crossBetween val="between"/>
      </c:valAx>
    </c:plotArea>
    <c:legend>
      <c:legendPos val="r"/>
      <c:layout>
        <c:manualLayout>
          <c:xMode val="edge"/>
          <c:yMode val="edge"/>
          <c:x val="6.868698104186792E-2"/>
          <c:y val="3.5088671348513872E-2"/>
          <c:w val="0.32402462703314577"/>
          <c:h val="0.40403880258210967"/>
        </c:manualLayout>
      </c:layout>
    </c:legend>
    <c:plotVisOnly val="1"/>
    <c:dispBlanksAs val="gap"/>
  </c:chart>
  <c:externalData r:id="rId1"/>
  <c:userShapes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Генерация!$A$3</c:f>
              <c:strCache>
                <c:ptCount val="1"/>
                <c:pt idx="0">
                  <c:v>Генерация Минэнерго 2011</c:v>
                </c:pt>
              </c:strCache>
            </c:strRef>
          </c:tx>
          <c:spPr>
            <a:solidFill>
              <a:srgbClr val="00B050"/>
            </a:solidFill>
          </c:spPr>
          <c:dLbls>
            <c:numFmt formatCode="#,##0" sourceLinked="0"/>
            <c:txPr>
              <a:bodyPr/>
              <a:lstStyle/>
              <a:p>
                <a:pPr>
                  <a:defRPr b="1">
                    <a:solidFill>
                      <a:srgbClr val="00B050"/>
                    </a:solidFill>
                  </a:defRPr>
                </a:pPr>
                <a:endParaRPr lang="ru-RU"/>
              </a:p>
            </c:txPr>
            <c:showVal val="1"/>
          </c:dLbls>
          <c:cat>
            <c:numRef>
              <c:f>Генерация!$B$2:$J$2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Генерация!$B$3:$J$3</c:f>
              <c:numCache>
                <c:formatCode>General</c:formatCode>
                <c:ptCount val="9"/>
                <c:pt idx="0">
                  <c:v>438.7</c:v>
                </c:pt>
                <c:pt idx="1">
                  <c:v>493.7</c:v>
                </c:pt>
                <c:pt idx="2">
                  <c:v>617.9</c:v>
                </c:pt>
                <c:pt idx="3">
                  <c:v>584.5</c:v>
                </c:pt>
                <c:pt idx="4">
                  <c:v>356.9</c:v>
                </c:pt>
                <c:pt idx="5">
                  <c:v>173.5</c:v>
                </c:pt>
                <c:pt idx="6">
                  <c:v>64.099999999999994</c:v>
                </c:pt>
              </c:numCache>
            </c:numRef>
          </c:val>
        </c:ser>
        <c:ser>
          <c:idx val="1"/>
          <c:order val="1"/>
          <c:tx>
            <c:strRef>
              <c:f>Генерация!$A$4</c:f>
              <c:strCache>
                <c:ptCount val="1"/>
                <c:pt idx="0">
                  <c:v>Генерация Минэнерго 2012</c:v>
                </c:pt>
              </c:strCache>
            </c:strRef>
          </c:tx>
          <c:spPr>
            <a:solidFill>
              <a:srgbClr val="FF0000"/>
            </a:solidFill>
          </c:spPr>
          <c:dLbls>
            <c:numFmt formatCode="#,##0" sourceLinked="0"/>
            <c:txPr>
              <a:bodyPr/>
              <a:lstStyle/>
              <a:p>
                <a:pPr>
                  <a:defRPr b="1">
                    <a:solidFill>
                      <a:srgbClr val="FF0000"/>
                    </a:solidFill>
                  </a:defRPr>
                </a:pPr>
                <a:endParaRPr lang="ru-RU"/>
              </a:p>
            </c:txPr>
            <c:showVal val="1"/>
          </c:dLbls>
          <c:cat>
            <c:numRef>
              <c:f>Генерация!$B$2:$J$2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Генерация!$B$4:$J$4</c:f>
              <c:numCache>
                <c:formatCode>General</c:formatCode>
                <c:ptCount val="9"/>
                <c:pt idx="1">
                  <c:v>774.7</c:v>
                </c:pt>
                <c:pt idx="2">
                  <c:v>718.1</c:v>
                </c:pt>
                <c:pt idx="3">
                  <c:v>528.4</c:v>
                </c:pt>
                <c:pt idx="4">
                  <c:v>364.3</c:v>
                </c:pt>
                <c:pt idx="5">
                  <c:v>228.7</c:v>
                </c:pt>
                <c:pt idx="6">
                  <c:v>154.80000000000001</c:v>
                </c:pt>
                <c:pt idx="7">
                  <c:v>78</c:v>
                </c:pt>
              </c:numCache>
            </c:numRef>
          </c:val>
        </c:ser>
        <c:ser>
          <c:idx val="2"/>
          <c:order val="2"/>
          <c:tx>
            <c:strRef>
              <c:f>Генерация!$A$5</c:f>
              <c:strCache>
                <c:ptCount val="1"/>
                <c:pt idx="0">
                  <c:v>Генерация Минэнерго 2013</c:v>
                </c:pt>
              </c:strCache>
            </c:strRef>
          </c:tx>
          <c:spPr>
            <a:solidFill>
              <a:srgbClr val="0070C0"/>
            </a:solidFill>
          </c:spPr>
          <c:dLbls>
            <c:numFmt formatCode="#,##0" sourceLinked="0"/>
            <c:txPr>
              <a:bodyPr/>
              <a:lstStyle/>
              <a:p>
                <a:pPr>
                  <a:defRPr b="1">
                    <a:solidFill>
                      <a:schemeClr val="tx2"/>
                    </a:solidFill>
                  </a:defRPr>
                </a:pPr>
                <a:endParaRPr lang="ru-RU"/>
              </a:p>
            </c:txPr>
            <c:showVal val="1"/>
          </c:dLbls>
          <c:cat>
            <c:numRef>
              <c:f>Генерация!$B$2:$J$2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Генерация!$B$5:$J$5</c:f>
              <c:numCache>
                <c:formatCode>General</c:formatCode>
                <c:ptCount val="9"/>
                <c:pt idx="2">
                  <c:v>534.6</c:v>
                </c:pt>
                <c:pt idx="3">
                  <c:v>490.6</c:v>
                </c:pt>
                <c:pt idx="4">
                  <c:v>370.6</c:v>
                </c:pt>
                <c:pt idx="5">
                  <c:v>198.1</c:v>
                </c:pt>
                <c:pt idx="6">
                  <c:v>138</c:v>
                </c:pt>
                <c:pt idx="7">
                  <c:v>76</c:v>
                </c:pt>
                <c:pt idx="8">
                  <c:v>20.6</c:v>
                </c:pt>
              </c:numCache>
            </c:numRef>
          </c:val>
        </c:ser>
        <c:ser>
          <c:idx val="3"/>
          <c:order val="3"/>
          <c:tx>
            <c:strRef>
              <c:f>Генерация!$A$6</c:f>
              <c:strCache>
                <c:ptCount val="1"/>
                <c:pt idx="0">
                  <c:v>СПЭ 2013</c:v>
                </c:pt>
              </c:strCache>
            </c:strRef>
          </c:tx>
          <c:spPr>
            <a:solidFill>
              <a:srgbClr val="663300"/>
            </a:solidFill>
          </c:spPr>
          <c:dLbls>
            <c:dLbl>
              <c:idx val="5"/>
              <c:layout>
                <c:manualLayout>
                  <c:x val="6.0331825037707523E-3"/>
                  <c:y val="6.6500415627597674E-3"/>
                </c:manualLayout>
              </c:layout>
              <c:showVal val="1"/>
            </c:dLbl>
            <c:dLbl>
              <c:idx val="6"/>
              <c:layout>
                <c:manualLayout>
                  <c:x val="8.0442433383609846E-3"/>
                  <c:y val="1.9950124688279426E-2"/>
                </c:manualLayout>
              </c:layout>
              <c:showVal val="1"/>
            </c:dLbl>
            <c:dLbl>
              <c:idx val="7"/>
              <c:layout>
                <c:manualLayout>
                  <c:x val="1.2066365007541479E-2"/>
                  <c:y val="1.6625103906899422E-2"/>
                </c:manualLayout>
              </c:layout>
              <c:showVal val="1"/>
            </c:dLbl>
            <c:dLbl>
              <c:idx val="8"/>
              <c:layout>
                <c:manualLayout>
                  <c:x val="6.0331825037707523E-3"/>
                  <c:y val="6.6500415627597674E-3"/>
                </c:manualLayout>
              </c:layout>
              <c:showVal val="1"/>
            </c:dLbl>
            <c:numFmt formatCode="#,##0" sourceLinked="0"/>
            <c:txPr>
              <a:bodyPr/>
              <a:lstStyle/>
              <a:p>
                <a:pPr>
                  <a:defRPr b="1">
                    <a:solidFill>
                      <a:schemeClr val="bg2">
                        <a:lumMod val="25000"/>
                      </a:schemeClr>
                    </a:solidFill>
                  </a:defRPr>
                </a:pPr>
                <a:endParaRPr lang="ru-RU"/>
              </a:p>
            </c:txPr>
            <c:showVal val="1"/>
          </c:dLbls>
          <c:cat>
            <c:numRef>
              <c:f>Генерация!$B$2:$J$2</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Генерация!$B$6:$J$6</c:f>
              <c:numCache>
                <c:formatCode>General</c:formatCode>
                <c:ptCount val="9"/>
                <c:pt idx="2">
                  <c:v>374.2</c:v>
                </c:pt>
                <c:pt idx="3">
                  <c:v>343.4</c:v>
                </c:pt>
                <c:pt idx="4">
                  <c:v>259.39999999999969</c:v>
                </c:pt>
                <c:pt idx="5">
                  <c:v>138.69999999999999</c:v>
                </c:pt>
                <c:pt idx="6">
                  <c:v>96.6</c:v>
                </c:pt>
                <c:pt idx="7">
                  <c:v>53.2</c:v>
                </c:pt>
                <c:pt idx="8">
                  <c:v>14.4</c:v>
                </c:pt>
              </c:numCache>
            </c:numRef>
          </c:val>
        </c:ser>
        <c:axId val="271166080"/>
        <c:axId val="272499072"/>
      </c:barChart>
      <c:catAx>
        <c:axId val="271166080"/>
        <c:scaling>
          <c:orientation val="minMax"/>
        </c:scaling>
        <c:axPos val="b"/>
        <c:numFmt formatCode="General" sourceLinked="1"/>
        <c:tickLblPos val="nextTo"/>
        <c:crossAx val="272499072"/>
        <c:crosses val="autoZero"/>
        <c:auto val="1"/>
        <c:lblAlgn val="ctr"/>
        <c:lblOffset val="100"/>
      </c:catAx>
      <c:valAx>
        <c:axId val="272499072"/>
        <c:scaling>
          <c:orientation val="minMax"/>
        </c:scaling>
        <c:axPos val="l"/>
        <c:majorGridlines/>
        <c:numFmt formatCode="General" sourceLinked="1"/>
        <c:tickLblPos val="nextTo"/>
        <c:crossAx val="271166080"/>
        <c:crosses val="autoZero"/>
        <c:crossBetween val="between"/>
      </c:valAx>
    </c:plotArea>
    <c:legend>
      <c:legendPos val="b"/>
    </c:legend>
    <c:plotVisOnly val="1"/>
  </c:chart>
  <c:externalData r:id="rId1"/>
  <c:userShapes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1"/>
          <c:order val="0"/>
          <c:tx>
            <c:strRef>
              <c:f>Генерация!$A$10</c:f>
              <c:strCache>
                <c:ptCount val="1"/>
                <c:pt idx="0">
                  <c:v>Минэнерго 2011</c:v>
                </c:pt>
              </c:strCache>
            </c:strRef>
          </c:tx>
          <c:spPr>
            <a:solidFill>
              <a:srgbClr val="00B050"/>
            </a:solidFill>
          </c:spPr>
          <c:dLbls>
            <c:numFmt formatCode="#,##0" sourceLinked="0"/>
            <c:txPr>
              <a:bodyPr/>
              <a:lstStyle/>
              <a:p>
                <a:pPr>
                  <a:defRPr b="1">
                    <a:solidFill>
                      <a:srgbClr val="00B050"/>
                    </a:solidFill>
                  </a:defRPr>
                </a:pPr>
                <a:endParaRPr lang="ru-RU"/>
              </a:p>
            </c:txPr>
            <c:showVal val="1"/>
          </c:dLbls>
          <c:cat>
            <c:numRef>
              <c:f>Генерация!$B$9:$J$9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Генерация!$B$10:$J$10</c:f>
              <c:numCache>
                <c:formatCode>General</c:formatCode>
                <c:ptCount val="9"/>
                <c:pt idx="0">
                  <c:v>274.5</c:v>
                </c:pt>
                <c:pt idx="1">
                  <c:v>311.8</c:v>
                </c:pt>
                <c:pt idx="2">
                  <c:v>307.3</c:v>
                </c:pt>
                <c:pt idx="3">
                  <c:v>309.7</c:v>
                </c:pt>
                <c:pt idx="4">
                  <c:v>299.7</c:v>
                </c:pt>
                <c:pt idx="5">
                  <c:v>274.89999999999969</c:v>
                </c:pt>
                <c:pt idx="6">
                  <c:v>108.4</c:v>
                </c:pt>
              </c:numCache>
            </c:numRef>
          </c:val>
        </c:ser>
        <c:ser>
          <c:idx val="2"/>
          <c:order val="1"/>
          <c:tx>
            <c:strRef>
              <c:f>Генерация!$A$11</c:f>
              <c:strCache>
                <c:ptCount val="1"/>
                <c:pt idx="0">
                  <c:v>Минэнерго 2012</c:v>
                </c:pt>
              </c:strCache>
            </c:strRef>
          </c:tx>
          <c:spPr>
            <a:solidFill>
              <a:srgbClr val="FF0000"/>
            </a:solidFill>
          </c:spPr>
          <c:dLbls>
            <c:numFmt formatCode="#,##0" sourceLinked="0"/>
            <c:txPr>
              <a:bodyPr/>
              <a:lstStyle/>
              <a:p>
                <a:pPr>
                  <a:defRPr b="1">
                    <a:solidFill>
                      <a:srgbClr val="FF0000"/>
                    </a:solidFill>
                  </a:defRPr>
                </a:pPr>
                <a:endParaRPr lang="ru-RU"/>
              </a:p>
            </c:txPr>
            <c:showVal val="1"/>
          </c:dLbls>
          <c:cat>
            <c:numRef>
              <c:f>Генерация!$B$9:$J$9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Генерация!$B$11:$J$11</c:f>
              <c:numCache>
                <c:formatCode>General</c:formatCode>
                <c:ptCount val="9"/>
                <c:pt idx="1">
                  <c:v>231</c:v>
                </c:pt>
                <c:pt idx="2">
                  <c:v>175.3</c:v>
                </c:pt>
                <c:pt idx="3">
                  <c:v>225</c:v>
                </c:pt>
                <c:pt idx="4">
                  <c:v>499.3</c:v>
                </c:pt>
                <c:pt idx="5">
                  <c:v>316.3</c:v>
                </c:pt>
                <c:pt idx="6">
                  <c:v>211.9</c:v>
                </c:pt>
                <c:pt idx="7">
                  <c:v>70.400000000000006</c:v>
                </c:pt>
              </c:numCache>
            </c:numRef>
          </c:val>
        </c:ser>
        <c:ser>
          <c:idx val="3"/>
          <c:order val="2"/>
          <c:tx>
            <c:strRef>
              <c:f>Генерация!$A$12</c:f>
              <c:strCache>
                <c:ptCount val="1"/>
                <c:pt idx="0">
                  <c:v>Минэнерго 2013</c:v>
                </c:pt>
              </c:strCache>
            </c:strRef>
          </c:tx>
          <c:spPr>
            <a:solidFill>
              <a:srgbClr val="0070C0"/>
            </a:solidFill>
          </c:spPr>
          <c:dLbls>
            <c:numFmt formatCode="#,##0" sourceLinked="0"/>
            <c:txPr>
              <a:bodyPr/>
              <a:lstStyle/>
              <a:p>
                <a:pPr>
                  <a:defRPr b="1">
                    <a:solidFill>
                      <a:schemeClr val="tx2"/>
                    </a:solidFill>
                  </a:defRPr>
                </a:pPr>
                <a:endParaRPr lang="ru-RU"/>
              </a:p>
            </c:txPr>
            <c:showVal val="1"/>
          </c:dLbls>
          <c:cat>
            <c:numRef>
              <c:f>Генерация!$B$9:$J$9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Генерация!$B$12:$J$12</c:f>
              <c:numCache>
                <c:formatCode>General</c:formatCode>
                <c:ptCount val="9"/>
                <c:pt idx="2">
                  <c:v>213.4</c:v>
                </c:pt>
                <c:pt idx="3">
                  <c:v>212.7</c:v>
                </c:pt>
                <c:pt idx="4">
                  <c:v>248</c:v>
                </c:pt>
                <c:pt idx="5">
                  <c:v>292.89999999999969</c:v>
                </c:pt>
                <c:pt idx="6">
                  <c:v>305.10000000000002</c:v>
                </c:pt>
                <c:pt idx="7">
                  <c:v>196.8</c:v>
                </c:pt>
                <c:pt idx="8">
                  <c:v>119.7</c:v>
                </c:pt>
              </c:numCache>
            </c:numRef>
          </c:val>
        </c:ser>
        <c:ser>
          <c:idx val="4"/>
          <c:order val="3"/>
          <c:tx>
            <c:strRef>
              <c:f>Генерация!$A$13</c:f>
              <c:strCache>
                <c:ptCount val="1"/>
                <c:pt idx="0">
                  <c:v>СПЭ 2013</c:v>
                </c:pt>
              </c:strCache>
            </c:strRef>
          </c:tx>
          <c:spPr>
            <a:solidFill>
              <a:srgbClr val="663300"/>
            </a:solidFill>
          </c:spPr>
          <c:dLbls>
            <c:numFmt formatCode="#,##0" sourceLinked="0"/>
            <c:txPr>
              <a:bodyPr/>
              <a:lstStyle/>
              <a:p>
                <a:pPr>
                  <a:defRPr b="1">
                    <a:solidFill>
                      <a:schemeClr val="bg2">
                        <a:lumMod val="25000"/>
                      </a:schemeClr>
                    </a:solidFill>
                  </a:defRPr>
                </a:pPr>
                <a:endParaRPr lang="ru-RU"/>
              </a:p>
            </c:txPr>
            <c:showVal val="1"/>
          </c:dLbls>
          <c:cat>
            <c:numRef>
              <c:f>Генерация!$B$9:$J$9</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Генерация!$B$13:$J$13</c:f>
              <c:numCache>
                <c:formatCode>General</c:formatCode>
                <c:ptCount val="9"/>
                <c:pt idx="2">
                  <c:v>149.38000000000042</c:v>
                </c:pt>
                <c:pt idx="3">
                  <c:v>148.89000000000001</c:v>
                </c:pt>
                <c:pt idx="4">
                  <c:v>173.6</c:v>
                </c:pt>
                <c:pt idx="5">
                  <c:v>205.02999999999997</c:v>
                </c:pt>
                <c:pt idx="6">
                  <c:v>213.57</c:v>
                </c:pt>
                <c:pt idx="7">
                  <c:v>137.76</c:v>
                </c:pt>
                <c:pt idx="8">
                  <c:v>83.789999999999992</c:v>
                </c:pt>
              </c:numCache>
            </c:numRef>
          </c:val>
        </c:ser>
        <c:axId val="272522624"/>
        <c:axId val="272540800"/>
      </c:barChart>
      <c:catAx>
        <c:axId val="272522624"/>
        <c:scaling>
          <c:orientation val="minMax"/>
        </c:scaling>
        <c:axPos val="b"/>
        <c:numFmt formatCode="General" sourceLinked="1"/>
        <c:tickLblPos val="nextTo"/>
        <c:crossAx val="272540800"/>
        <c:crosses val="autoZero"/>
        <c:auto val="1"/>
        <c:lblAlgn val="ctr"/>
        <c:lblOffset val="100"/>
      </c:catAx>
      <c:valAx>
        <c:axId val="272540800"/>
        <c:scaling>
          <c:orientation val="minMax"/>
        </c:scaling>
        <c:axPos val="l"/>
        <c:majorGridlines/>
        <c:numFmt formatCode="General" sourceLinked="1"/>
        <c:tickLblPos val="nextTo"/>
        <c:crossAx val="272522624"/>
        <c:crosses val="autoZero"/>
        <c:crossBetween val="between"/>
      </c:valAx>
    </c:plotArea>
    <c:legend>
      <c:legendPos val="b"/>
    </c:legend>
    <c:plotVisOnly val="1"/>
  </c:chart>
  <c:externalData r:id="rId1"/>
  <c:userShapes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5233846317639311E-2"/>
          <c:y val="4.1466005415795204E-2"/>
          <c:w val="0.85474106855921528"/>
          <c:h val="0.80894794296240702"/>
        </c:manualLayout>
      </c:layout>
      <c:barChart>
        <c:barDir val="col"/>
        <c:grouping val="clustered"/>
        <c:ser>
          <c:idx val="4"/>
          <c:order val="0"/>
          <c:tx>
            <c:strRef>
              <c:f>Генерация!$A$17</c:f>
              <c:strCache>
                <c:ptCount val="1"/>
                <c:pt idx="0">
                  <c:v>Факт</c:v>
                </c:pt>
              </c:strCache>
            </c:strRef>
          </c:tx>
          <c:spPr>
            <a:solidFill>
              <a:schemeClr val="accent4"/>
            </a:solidFill>
            <a:ln>
              <a:solidFill>
                <a:schemeClr val="accent4"/>
              </a:solidFill>
            </a:ln>
          </c:spPr>
          <c:dLbls>
            <c:showVal val="1"/>
          </c:dLbls>
          <c:val>
            <c:numRef>
              <c:f>Генерация!$B$17:$J$17</c:f>
              <c:numCache>
                <c:formatCode>General</c:formatCode>
                <c:ptCount val="9"/>
                <c:pt idx="0">
                  <c:v>896</c:v>
                </c:pt>
              </c:numCache>
            </c:numRef>
          </c:val>
        </c:ser>
        <c:ser>
          <c:idx val="0"/>
          <c:order val="1"/>
          <c:tx>
            <c:strRef>
              <c:f>Генерация!$A$18</c:f>
              <c:strCache>
                <c:ptCount val="1"/>
                <c:pt idx="0">
                  <c:v>Минэнерго 2011</c:v>
                </c:pt>
              </c:strCache>
            </c:strRef>
          </c:tx>
          <c:spPr>
            <a:solidFill>
              <a:srgbClr val="00B050"/>
            </a:solidFill>
          </c:spPr>
          <c:dLbls>
            <c:dLbl>
              <c:idx val="0"/>
              <c:layout>
                <c:manualLayout>
                  <c:x val="3.755867927516679E-2"/>
                  <c:y val="3.734828362580679E-3"/>
                </c:manualLayout>
              </c:layout>
              <c:showVal val="1"/>
            </c:dLbl>
            <c:numFmt formatCode="#,##0" sourceLinked="0"/>
            <c:txPr>
              <a:bodyPr/>
              <a:lstStyle/>
              <a:p>
                <a:pPr>
                  <a:defRPr>
                    <a:solidFill>
                      <a:srgbClr val="00B050"/>
                    </a:solidFill>
                  </a:defRPr>
                </a:pPr>
                <a:endParaRPr lang="ru-RU"/>
              </a:p>
            </c:txPr>
            <c:showVal val="1"/>
          </c:dLbls>
          <c:cat>
            <c:numRef>
              <c:f>Генерация!$B$16:$J$16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Генерация!$B$18:$J$18</c:f>
              <c:numCache>
                <c:formatCode>General</c:formatCode>
                <c:ptCount val="9"/>
                <c:pt idx="0">
                  <c:v>713.2</c:v>
                </c:pt>
                <c:pt idx="1">
                  <c:v>805.5</c:v>
                </c:pt>
                <c:pt idx="2">
                  <c:v>925.2</c:v>
                </c:pt>
                <c:pt idx="3">
                  <c:v>894.2</c:v>
                </c:pt>
                <c:pt idx="4">
                  <c:v>656.1</c:v>
                </c:pt>
                <c:pt idx="5">
                  <c:v>448.3</c:v>
                </c:pt>
                <c:pt idx="6">
                  <c:v>172.5</c:v>
                </c:pt>
              </c:numCache>
            </c:numRef>
          </c:val>
        </c:ser>
        <c:ser>
          <c:idx val="1"/>
          <c:order val="2"/>
          <c:tx>
            <c:strRef>
              <c:f>Генерация!$A$19</c:f>
              <c:strCache>
                <c:ptCount val="1"/>
                <c:pt idx="0">
                  <c:v>Минэнерго 2012</c:v>
                </c:pt>
              </c:strCache>
            </c:strRef>
          </c:tx>
          <c:spPr>
            <a:solidFill>
              <a:srgbClr val="FF0000"/>
            </a:solidFill>
          </c:spPr>
          <c:dLbls>
            <c:dLbl>
              <c:idx val="2"/>
              <c:layout>
                <c:manualLayout>
                  <c:x val="2.086593293064821E-3"/>
                  <c:y val="1.4939313450322638E-2"/>
                </c:manualLayout>
              </c:layout>
              <c:showVal val="1"/>
            </c:dLbl>
            <c:numFmt formatCode="#,##0" sourceLinked="0"/>
            <c:txPr>
              <a:bodyPr/>
              <a:lstStyle/>
              <a:p>
                <a:pPr>
                  <a:defRPr>
                    <a:solidFill>
                      <a:srgbClr val="FF0000"/>
                    </a:solidFill>
                  </a:defRPr>
                </a:pPr>
                <a:endParaRPr lang="ru-RU"/>
              </a:p>
            </c:txPr>
            <c:showVal val="1"/>
          </c:dLbls>
          <c:cat>
            <c:numRef>
              <c:f>Генерация!$B$16:$J$16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Генерация!$B$19:$J$19</c:f>
              <c:numCache>
                <c:formatCode>General</c:formatCode>
                <c:ptCount val="9"/>
                <c:pt idx="1">
                  <c:v>1005.6</c:v>
                </c:pt>
                <c:pt idx="2">
                  <c:v>893.4</c:v>
                </c:pt>
                <c:pt idx="3">
                  <c:v>753.4</c:v>
                </c:pt>
                <c:pt idx="4">
                  <c:v>863.7</c:v>
                </c:pt>
                <c:pt idx="5">
                  <c:v>545.29999999999995</c:v>
                </c:pt>
                <c:pt idx="6">
                  <c:v>366.7</c:v>
                </c:pt>
                <c:pt idx="7">
                  <c:v>148.5</c:v>
                </c:pt>
              </c:numCache>
            </c:numRef>
          </c:val>
        </c:ser>
        <c:ser>
          <c:idx val="2"/>
          <c:order val="3"/>
          <c:tx>
            <c:strRef>
              <c:f>Генерация!$A$20</c:f>
              <c:strCache>
                <c:ptCount val="1"/>
                <c:pt idx="0">
                  <c:v>Минэнерго 2013</c:v>
                </c:pt>
              </c:strCache>
            </c:strRef>
          </c:tx>
          <c:spPr>
            <a:solidFill>
              <a:srgbClr val="0070C0"/>
            </a:solidFill>
          </c:spPr>
          <c:dLbls>
            <c:txPr>
              <a:bodyPr/>
              <a:lstStyle/>
              <a:p>
                <a:pPr>
                  <a:defRPr>
                    <a:solidFill>
                      <a:schemeClr val="tx2"/>
                    </a:solidFill>
                  </a:defRPr>
                </a:pPr>
                <a:endParaRPr lang="ru-RU"/>
              </a:p>
            </c:txPr>
            <c:showVal val="1"/>
          </c:dLbls>
          <c:cat>
            <c:numRef>
              <c:f>Генерация!$B$16:$J$16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Генерация!$B$20:$J$20</c:f>
              <c:numCache>
                <c:formatCode>General</c:formatCode>
                <c:ptCount val="9"/>
                <c:pt idx="2">
                  <c:v>748</c:v>
                </c:pt>
                <c:pt idx="3">
                  <c:v>703.2</c:v>
                </c:pt>
                <c:pt idx="4">
                  <c:v>555.6</c:v>
                </c:pt>
                <c:pt idx="5">
                  <c:v>491</c:v>
                </c:pt>
                <c:pt idx="6">
                  <c:v>443</c:v>
                </c:pt>
                <c:pt idx="7">
                  <c:v>273</c:v>
                </c:pt>
                <c:pt idx="8">
                  <c:v>140.19999999999999</c:v>
                </c:pt>
              </c:numCache>
            </c:numRef>
          </c:val>
        </c:ser>
        <c:ser>
          <c:idx val="3"/>
          <c:order val="4"/>
          <c:tx>
            <c:strRef>
              <c:f>Генерация!$A$21</c:f>
              <c:strCache>
                <c:ptCount val="1"/>
                <c:pt idx="0">
                  <c:v>СПЭ 2013</c:v>
                </c:pt>
              </c:strCache>
            </c:strRef>
          </c:tx>
          <c:spPr>
            <a:solidFill>
              <a:srgbClr val="663300"/>
            </a:solidFill>
          </c:spPr>
          <c:dLbls>
            <c:dLbl>
              <c:idx val="5"/>
              <c:layout>
                <c:manualLayout>
                  <c:x val="8.3463731722592076E-3"/>
                  <c:y val="1.4939313450322718E-2"/>
                </c:manualLayout>
              </c:layout>
              <c:showVal val="1"/>
            </c:dLbl>
            <c:numFmt formatCode="#,##0" sourceLinked="0"/>
            <c:txPr>
              <a:bodyPr/>
              <a:lstStyle/>
              <a:p>
                <a:pPr>
                  <a:defRPr>
                    <a:solidFill>
                      <a:schemeClr val="bg2">
                        <a:lumMod val="25000"/>
                      </a:schemeClr>
                    </a:solidFill>
                  </a:defRPr>
                </a:pPr>
                <a:endParaRPr lang="ru-RU"/>
              </a:p>
            </c:txPr>
            <c:showVal val="1"/>
          </c:dLbls>
          <c:cat>
            <c:numRef>
              <c:f>Генерация!$B$16:$J$16</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Генерация!$B$21:$J$21</c:f>
              <c:numCache>
                <c:formatCode>General</c:formatCode>
                <c:ptCount val="9"/>
                <c:pt idx="2">
                  <c:v>523.6</c:v>
                </c:pt>
                <c:pt idx="3">
                  <c:v>492.24</c:v>
                </c:pt>
                <c:pt idx="4">
                  <c:v>388.91999999999916</c:v>
                </c:pt>
                <c:pt idx="5">
                  <c:v>343.7</c:v>
                </c:pt>
                <c:pt idx="6">
                  <c:v>310.09999999999923</c:v>
                </c:pt>
                <c:pt idx="7">
                  <c:v>191.1</c:v>
                </c:pt>
                <c:pt idx="8">
                  <c:v>98.139999999999986</c:v>
                </c:pt>
              </c:numCache>
            </c:numRef>
          </c:val>
        </c:ser>
        <c:axId val="272422016"/>
        <c:axId val="272423552"/>
      </c:barChart>
      <c:catAx>
        <c:axId val="272422016"/>
        <c:scaling>
          <c:orientation val="minMax"/>
        </c:scaling>
        <c:axPos val="b"/>
        <c:numFmt formatCode="General" sourceLinked="1"/>
        <c:tickLblPos val="nextTo"/>
        <c:crossAx val="272423552"/>
        <c:crosses val="autoZero"/>
        <c:auto val="1"/>
        <c:lblAlgn val="ctr"/>
        <c:lblOffset val="100"/>
      </c:catAx>
      <c:valAx>
        <c:axId val="272423552"/>
        <c:scaling>
          <c:orientation val="minMax"/>
        </c:scaling>
        <c:axPos val="l"/>
        <c:majorGridlines/>
        <c:numFmt formatCode="General" sourceLinked="1"/>
        <c:tickLblPos val="nextTo"/>
        <c:crossAx val="272422016"/>
        <c:crosses val="autoZero"/>
        <c:crossBetween val="between"/>
      </c:valAx>
    </c:plotArea>
    <c:legend>
      <c:legendPos val="r"/>
      <c:layout>
        <c:manualLayout>
          <c:xMode val="edge"/>
          <c:yMode val="edge"/>
          <c:x val="8.0731444599470015E-2"/>
          <c:y val="0.91379163304341327"/>
          <c:w val="0.75442768524840975"/>
          <c:h val="8.3714560301892518E-2"/>
        </c:manualLayout>
      </c:layout>
    </c:legend>
    <c:plotVisOnly val="1"/>
  </c:chart>
  <c:externalData r:id="rId1"/>
  <c:userShapes r:id="rId2"/>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dLbls>
            <c:dLbl>
              <c:idx val="0"/>
              <c:layout>
                <c:manualLayout>
                  <c:x val="0"/>
                  <c:y val="-2.5276461295418627E-2"/>
                </c:manualLayout>
              </c:layout>
              <c:showVal val="1"/>
            </c:dLbl>
            <c:dLbl>
              <c:idx val="4"/>
              <c:layout>
                <c:manualLayout>
                  <c:x val="-1.0319917440660475E-2"/>
                  <c:y val="-1.5797788309636601E-2"/>
                </c:manualLayout>
              </c:layout>
              <c:showVal val="1"/>
            </c:dLbl>
            <c:dLbl>
              <c:idx val="5"/>
              <c:layout>
                <c:manualLayout>
                  <c:x val="0"/>
                  <c:y val="-2.2116903633491308E-2"/>
                </c:manualLayout>
              </c:layout>
              <c:showVal val="1"/>
            </c:dLbl>
            <c:dLbl>
              <c:idx val="8"/>
              <c:numFmt formatCode="#,##0" sourceLinked="0"/>
              <c:spPr/>
              <c:txPr>
                <a:bodyPr/>
                <a:lstStyle/>
                <a:p>
                  <a:pPr>
                    <a:defRPr/>
                  </a:pPr>
                  <a:endParaRPr lang="ru-RU"/>
                </a:p>
              </c:txPr>
            </c:dLbl>
            <c:dLbl>
              <c:idx val="15"/>
              <c:layout>
                <c:manualLayout>
                  <c:x val="-5.8548891169820769E-17"/>
                  <c:y val="-2.8436018957346001E-2"/>
                </c:manualLayout>
              </c:layout>
              <c:showVal val="1"/>
            </c:dLbl>
            <c:dLbl>
              <c:idx val="17"/>
              <c:layout>
                <c:manualLayout>
                  <c:x val="-4.6865846514352666E-3"/>
                  <c:y val="-1.8957345971563982E-2"/>
                </c:manualLayout>
              </c:layout>
              <c:showVal val="1"/>
            </c:dLbl>
            <c:dLbl>
              <c:idx val="18"/>
              <c:layout>
                <c:manualLayout>
                  <c:x val="2.3432923257176402E-3"/>
                  <c:y val="-3.7914691943127965E-2"/>
                </c:manualLayout>
              </c:layout>
              <c:showVal val="1"/>
            </c:dLbl>
            <c:dLbl>
              <c:idx val="22"/>
              <c:numFmt formatCode="#,##0" sourceLinked="0"/>
              <c:spPr/>
              <c:txPr>
                <a:bodyPr/>
                <a:lstStyle/>
                <a:p>
                  <a:pPr>
                    <a:defRPr/>
                  </a:pPr>
                  <a:endParaRPr lang="ru-RU"/>
                </a:p>
              </c:txPr>
            </c:dLbl>
            <c:dLbl>
              <c:idx val="24"/>
              <c:layout>
                <c:manualLayout>
                  <c:x val="-1.0319917440660475E-2"/>
                  <c:y val="0"/>
                </c:manualLayout>
              </c:layout>
              <c:showVal val="1"/>
            </c:dLbl>
            <c:numFmt formatCode="#,##0" sourceLinked="0"/>
            <c:showVal val="1"/>
          </c:dLbls>
          <c:cat>
            <c:strRef>
              <c:f>электроэф!$Y$4:$Y$34</c:f>
              <c:strCache>
                <c:ptCount val="31"/>
                <c:pt idx="0">
                  <c:v>Австрия</c:v>
                </c:pt>
                <c:pt idx="1">
                  <c:v>Бельгия</c:v>
                </c:pt>
                <c:pt idx="2">
                  <c:v>Болгария</c:v>
                </c:pt>
                <c:pt idx="3">
                  <c:v>Великобритания</c:v>
                </c:pt>
                <c:pt idx="4">
                  <c:v>Венгрия</c:v>
                </c:pt>
                <c:pt idx="5">
                  <c:v>Германия</c:v>
                </c:pt>
                <c:pt idx="6">
                  <c:v>Греция</c:v>
                </c:pt>
                <c:pt idx="7">
                  <c:v>Дания</c:v>
                </c:pt>
                <c:pt idx="8">
                  <c:v>ЕС 15 стран + UK</c:v>
                </c:pt>
                <c:pt idx="9">
                  <c:v>Ирландия</c:v>
                </c:pt>
                <c:pt idx="10">
                  <c:v>Испания</c:v>
                </c:pt>
                <c:pt idx="11">
                  <c:v>Италия</c:v>
                </c:pt>
                <c:pt idx="12">
                  <c:v>Люксембург</c:v>
                </c:pt>
                <c:pt idx="13">
                  <c:v>Нидерланды</c:v>
                </c:pt>
                <c:pt idx="14">
                  <c:v>Норвегия</c:v>
                </c:pt>
                <c:pt idx="15">
                  <c:v>Польша</c:v>
                </c:pt>
                <c:pt idx="16">
                  <c:v>Португалия</c:v>
                </c:pt>
                <c:pt idx="17">
                  <c:v>Словакия</c:v>
                </c:pt>
                <c:pt idx="18">
                  <c:v>Словения</c:v>
                </c:pt>
                <c:pt idx="19">
                  <c:v>Турция</c:v>
                </c:pt>
                <c:pt idx="20">
                  <c:v>Финляндия</c:v>
                </c:pt>
                <c:pt idx="21">
                  <c:v>Франция</c:v>
                </c:pt>
                <c:pt idx="22">
                  <c:v>Чехия</c:v>
                </c:pt>
                <c:pt idx="23">
                  <c:v>Швейцария</c:v>
                </c:pt>
                <c:pt idx="24">
                  <c:v>Швеция</c:v>
                </c:pt>
                <c:pt idx="25">
                  <c:v>Эстония</c:v>
                </c:pt>
                <c:pt idx="26">
                  <c:v>Япония</c:v>
                </c:pt>
                <c:pt idx="27">
                  <c:v>США</c:v>
                </c:pt>
                <c:pt idx="28">
                  <c:v>Е. РФ, Урал</c:v>
                </c:pt>
                <c:pt idx="29">
                  <c:v>Вся Россия</c:v>
                </c:pt>
                <c:pt idx="30">
                  <c:v>Сибирь и Дальний Восток</c:v>
                </c:pt>
              </c:strCache>
            </c:strRef>
          </c:cat>
          <c:val>
            <c:numRef>
              <c:f>электроэф!$X$4:$X$34</c:f>
              <c:numCache>
                <c:formatCode>_-* #,##0.00_р_._-;\-* #,##0.00_р_._-;_-* "-"??_р_._-;_-@_-</c:formatCode>
                <c:ptCount val="31"/>
                <c:pt idx="0">
                  <c:v>195.08281903789612</c:v>
                </c:pt>
                <c:pt idx="1">
                  <c:v>221.1126961483595</c:v>
                </c:pt>
                <c:pt idx="2">
                  <c:v>677.56837626871334</c:v>
                </c:pt>
                <c:pt idx="3">
                  <c:v>189.12624272946275</c:v>
                </c:pt>
                <c:pt idx="4">
                  <c:v>348.70053258818575</c:v>
                </c:pt>
                <c:pt idx="5">
                  <c:v>201.41943697566867</c:v>
                </c:pt>
                <c:pt idx="6">
                  <c:v>253.72681503747057</c:v>
                </c:pt>
                <c:pt idx="7">
                  <c:v>134.94807126045112</c:v>
                </c:pt>
                <c:pt idx="8">
                  <c:v>221</c:v>
                </c:pt>
                <c:pt idx="9">
                  <c:v>150.84182383120165</c:v>
                </c:pt>
                <c:pt idx="10">
                  <c:v>238.21834046208016</c:v>
                </c:pt>
                <c:pt idx="11">
                  <c:v>195.52507633183401</c:v>
                </c:pt>
                <c:pt idx="12">
                  <c:v>98.701126354030166</c:v>
                </c:pt>
                <c:pt idx="13">
                  <c:v>187.5186839268396</c:v>
                </c:pt>
                <c:pt idx="14">
                  <c:v>332.8460138611336</c:v>
                </c:pt>
                <c:pt idx="15">
                  <c:v>343.97102317397326</c:v>
                </c:pt>
                <c:pt idx="16">
                  <c:v>282.14380857814052</c:v>
                </c:pt>
                <c:pt idx="17">
                  <c:v>354.91647681335076</c:v>
                </c:pt>
                <c:pt idx="18">
                  <c:v>297.63345967007569</c:v>
                </c:pt>
                <c:pt idx="19">
                  <c:v>309.45991765560666</c:v>
                </c:pt>
                <c:pt idx="20">
                  <c:v>434.55096400386458</c:v>
                </c:pt>
                <c:pt idx="21">
                  <c:v>219.84841097469169</c:v>
                </c:pt>
                <c:pt idx="22">
                  <c:v>376.00584036340217</c:v>
                </c:pt>
                <c:pt idx="23">
                  <c:v>129.85412991794007</c:v>
                </c:pt>
                <c:pt idx="24">
                  <c:v>362.16056577326702</c:v>
                </c:pt>
                <c:pt idx="25">
                  <c:v>450.35652017770985</c:v>
                </c:pt>
                <c:pt idx="26">
                  <c:v>226</c:v>
                </c:pt>
                <c:pt idx="27">
                  <c:v>344.11681613653479</c:v>
                </c:pt>
                <c:pt idx="28">
                  <c:v>672.8725636394928</c:v>
                </c:pt>
                <c:pt idx="29">
                  <c:v>741</c:v>
                </c:pt>
                <c:pt idx="30">
                  <c:v>1060</c:v>
                </c:pt>
              </c:numCache>
            </c:numRef>
          </c:val>
        </c:ser>
        <c:axId val="272579200"/>
        <c:axId val="272585088"/>
      </c:barChart>
      <c:catAx>
        <c:axId val="272579200"/>
        <c:scaling>
          <c:orientation val="minMax"/>
        </c:scaling>
        <c:axPos val="b"/>
        <c:tickLblPos val="nextTo"/>
        <c:txPr>
          <a:bodyPr rot="-5400000" vert="horz"/>
          <a:lstStyle/>
          <a:p>
            <a:pPr>
              <a:defRPr/>
            </a:pPr>
            <a:endParaRPr lang="ru-RU"/>
          </a:p>
        </c:txPr>
        <c:crossAx val="272585088"/>
        <c:crosses val="autoZero"/>
        <c:auto val="1"/>
        <c:lblAlgn val="ctr"/>
        <c:lblOffset val="100"/>
      </c:catAx>
      <c:valAx>
        <c:axId val="272585088"/>
        <c:scaling>
          <c:orientation val="minMax"/>
        </c:scaling>
        <c:axPos val="l"/>
        <c:majorGridlines/>
        <c:numFmt formatCode="_-* #,##0_р_._-;\-* #,##0_р_._-;_-* &quot;-&quot;_р_._-;_-@_-" sourceLinked="0"/>
        <c:tickLblPos val="nextTo"/>
        <c:crossAx val="272579200"/>
        <c:crosses val="autoZero"/>
        <c:crossBetween val="between"/>
      </c:valAx>
      <c:spPr>
        <a:noFill/>
        <a:ln w="25400">
          <a:noFill/>
        </a:ln>
      </c:spPr>
    </c:plotArea>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010086974422317E-2"/>
          <c:y val="4.4321435868420918E-2"/>
          <c:w val="0.60744212855745949"/>
          <c:h val="0.85567196316029648"/>
        </c:manualLayout>
      </c:layout>
      <c:barChart>
        <c:barDir val="col"/>
        <c:grouping val="stacked"/>
        <c:ser>
          <c:idx val="0"/>
          <c:order val="0"/>
          <c:tx>
            <c:strRef>
              <c:f>макра!$A$57</c:f>
              <c:strCache>
                <c:ptCount val="1"/>
                <c:pt idx="0">
                  <c:v>    государственная собственность</c:v>
                </c:pt>
              </c:strCache>
            </c:strRef>
          </c:tx>
          <c:dLbls>
            <c:dLbl>
              <c:idx val="0"/>
              <c:layout>
                <c:manualLayout>
                  <c:x val="-1.1632571934176189E-2"/>
                  <c:y val="-1.1180722439005699E-2"/>
                </c:manualLayout>
              </c:layout>
              <c:tx>
                <c:rich>
                  <a:bodyPr/>
                  <a:lstStyle/>
                  <a:p>
                    <a:r>
                      <a:rPr lang="en-US"/>
                      <a:t> 2,18   </a:t>
                    </a:r>
                  </a:p>
                </c:rich>
              </c:tx>
              <c:showVal val="1"/>
            </c:dLbl>
            <c:dLbl>
              <c:idx val="1"/>
              <c:tx>
                <c:rich>
                  <a:bodyPr/>
                  <a:lstStyle/>
                  <a:p>
                    <a:r>
                      <a:rPr lang="en-US"/>
                      <a:t> 1,92   </a:t>
                    </a:r>
                  </a:p>
                </c:rich>
              </c:tx>
              <c:showVal val="1"/>
            </c:dLbl>
            <c:showVal val="1"/>
          </c:dLbls>
          <c:cat>
            <c:strRef>
              <c:f>макра!$B$56:$G$56</c:f>
              <c:strCache>
                <c:ptCount val="6"/>
                <c:pt idx="0">
                  <c:v>2008</c:v>
                </c:pt>
                <c:pt idx="1">
                  <c:v>2009</c:v>
                </c:pt>
                <c:pt idx="2">
                  <c:v>2010</c:v>
                </c:pt>
                <c:pt idx="3">
                  <c:v>2011</c:v>
                </c:pt>
                <c:pt idx="4">
                  <c:v>2012</c:v>
                </c:pt>
                <c:pt idx="5">
                  <c:v>2013 (прог)</c:v>
                </c:pt>
              </c:strCache>
            </c:strRef>
          </c:cat>
          <c:val>
            <c:numRef>
              <c:f>макра!$B$63:$G$63</c:f>
              <c:numCache>
                <c:formatCode>_-* #,##0.00_р_._-;\-* #,##0.00_р_._-;_-* "-"??_р_._-;_-@_-</c:formatCode>
                <c:ptCount val="6"/>
                <c:pt idx="0">
                  <c:v>2199.66765150848</c:v>
                </c:pt>
                <c:pt idx="1">
                  <c:v>1929.4657237095018</c:v>
                </c:pt>
                <c:pt idx="2">
                  <c:v>1833.7297270296217</c:v>
                </c:pt>
                <c:pt idx="3">
                  <c:v>1989.1601537911731</c:v>
                </c:pt>
                <c:pt idx="4">
                  <c:v>1908.9</c:v>
                </c:pt>
                <c:pt idx="5">
                  <c:v>1831.9713299999999</c:v>
                </c:pt>
              </c:numCache>
            </c:numRef>
          </c:val>
        </c:ser>
        <c:ser>
          <c:idx val="1"/>
          <c:order val="1"/>
          <c:tx>
            <c:strRef>
              <c:f>макра!$A$58</c:f>
              <c:strCache>
                <c:ptCount val="1"/>
                <c:pt idx="0">
                  <c:v>частная+смешанная</c:v>
                </c:pt>
              </c:strCache>
            </c:strRef>
          </c:tx>
          <c:dLbls>
            <c:dLbl>
              <c:idx val="0"/>
              <c:tx>
                <c:rich>
                  <a:bodyPr/>
                  <a:lstStyle/>
                  <a:p>
                    <a:r>
                      <a:rPr lang="en-US"/>
                      <a:t> 7,01   </a:t>
                    </a:r>
                  </a:p>
                </c:rich>
              </c:tx>
              <c:showVal val="1"/>
            </c:dLbl>
            <c:dLbl>
              <c:idx val="1"/>
              <c:tx>
                <c:rich>
                  <a:bodyPr/>
                  <a:lstStyle/>
                  <a:p>
                    <a:r>
                      <a:rPr lang="en-US"/>
                      <a:t> 6,17   </a:t>
                    </a:r>
                  </a:p>
                </c:rich>
              </c:tx>
              <c:showVal val="1"/>
            </c:dLbl>
            <c:dLbl>
              <c:idx val="3"/>
              <c:tx>
                <c:rich>
                  <a:bodyPr/>
                  <a:lstStyle/>
                  <a:p>
                    <a:r>
                      <a:rPr lang="en-US"/>
                      <a:t> 7,83   </a:t>
                    </a:r>
                  </a:p>
                </c:rich>
              </c:tx>
              <c:showVal val="1"/>
            </c:dLbl>
            <c:showVal val="1"/>
          </c:dLbls>
          <c:cat>
            <c:strRef>
              <c:f>макра!$B$56:$G$56</c:f>
              <c:strCache>
                <c:ptCount val="6"/>
                <c:pt idx="0">
                  <c:v>2008</c:v>
                </c:pt>
                <c:pt idx="1">
                  <c:v>2009</c:v>
                </c:pt>
                <c:pt idx="2">
                  <c:v>2010</c:v>
                </c:pt>
                <c:pt idx="3">
                  <c:v>2011</c:v>
                </c:pt>
                <c:pt idx="4">
                  <c:v>2012</c:v>
                </c:pt>
                <c:pt idx="5">
                  <c:v>2013 (прог)</c:v>
                </c:pt>
              </c:strCache>
            </c:strRef>
          </c:cat>
          <c:val>
            <c:numRef>
              <c:f>макра!$B$64:$G$64</c:f>
              <c:numCache>
                <c:formatCode>_-* #,##0.00_р_._-;\-* #,##0.00_р_._-;_-* "-"??_р_._-;_-@_-</c:formatCode>
                <c:ptCount val="6"/>
                <c:pt idx="0">
                  <c:v>7442.2826895715543</c:v>
                </c:pt>
                <c:pt idx="1">
                  <c:v>6227.3057534359241</c:v>
                </c:pt>
                <c:pt idx="2">
                  <c:v>6856.4585805091474</c:v>
                </c:pt>
                <c:pt idx="3">
                  <c:v>7797.4479720693616</c:v>
                </c:pt>
                <c:pt idx="4">
                  <c:v>8648.6</c:v>
                </c:pt>
                <c:pt idx="5">
                  <c:v>8545.674169999993</c:v>
                </c:pt>
              </c:numCache>
            </c:numRef>
          </c:val>
        </c:ser>
        <c:ser>
          <c:idx val="2"/>
          <c:order val="2"/>
          <c:tx>
            <c:strRef>
              <c:f>макра!$A$59</c:f>
              <c:strCache>
                <c:ptCount val="1"/>
                <c:pt idx="0">
                  <c:v>иностр+совместная</c:v>
                </c:pt>
              </c:strCache>
            </c:strRef>
          </c:tx>
          <c:dLbls>
            <c:dLbl>
              <c:idx val="0"/>
              <c:tx>
                <c:rich>
                  <a:bodyPr/>
                  <a:lstStyle/>
                  <a:p>
                    <a:r>
                      <a:rPr lang="en-US"/>
                      <a:t> 1,86   </a:t>
                    </a:r>
                  </a:p>
                </c:rich>
              </c:tx>
              <c:showVal val="1"/>
            </c:dLbl>
            <c:dLbl>
              <c:idx val="1"/>
              <c:tx>
                <c:rich>
                  <a:bodyPr/>
                  <a:lstStyle/>
                  <a:p>
                    <a:r>
                      <a:rPr lang="en-US"/>
                      <a:t> 1,47   </a:t>
                    </a:r>
                  </a:p>
                </c:rich>
              </c:tx>
              <c:showVal val="1"/>
            </c:dLbl>
            <c:showVal val="1"/>
          </c:dLbls>
          <c:cat>
            <c:strRef>
              <c:f>макра!$B$56:$G$56</c:f>
              <c:strCache>
                <c:ptCount val="6"/>
                <c:pt idx="0">
                  <c:v>2008</c:v>
                </c:pt>
                <c:pt idx="1">
                  <c:v>2009</c:v>
                </c:pt>
                <c:pt idx="2">
                  <c:v>2010</c:v>
                </c:pt>
                <c:pt idx="3">
                  <c:v>2011</c:v>
                </c:pt>
                <c:pt idx="4">
                  <c:v>2012</c:v>
                </c:pt>
                <c:pt idx="5">
                  <c:v>2013 (прог)</c:v>
                </c:pt>
              </c:strCache>
            </c:strRef>
          </c:cat>
          <c:val>
            <c:numRef>
              <c:f>макра!$B$65:$G$65</c:f>
              <c:numCache>
                <c:formatCode>_-* #,##0.00_р_._-;\-* #,##0.00_р_._-;_-* "-"??_р_._-;_-@_-</c:formatCode>
                <c:ptCount val="6"/>
                <c:pt idx="0">
                  <c:v>1968.7136183952657</c:v>
                </c:pt>
                <c:pt idx="1">
                  <c:v>1481.5204190897621</c:v>
                </c:pt>
                <c:pt idx="2">
                  <c:v>1471.4253817487765</c:v>
                </c:pt>
                <c:pt idx="3">
                  <c:v>1434.2295576588631</c:v>
                </c:pt>
                <c:pt idx="4">
                  <c:v>1432.8</c:v>
                </c:pt>
                <c:pt idx="5">
                  <c:v>1432.8</c:v>
                </c:pt>
              </c:numCache>
            </c:numRef>
          </c:val>
        </c:ser>
        <c:overlap val="100"/>
        <c:axId val="249860864"/>
        <c:axId val="249862400"/>
      </c:barChart>
      <c:lineChart>
        <c:grouping val="standard"/>
        <c:ser>
          <c:idx val="3"/>
          <c:order val="3"/>
          <c:tx>
            <c:strRef>
              <c:f>макра!$A$60</c:f>
              <c:strCache>
                <c:ptCount val="1"/>
                <c:pt idx="0">
                  <c:v>Итого</c:v>
                </c:pt>
              </c:strCache>
            </c:strRef>
          </c:tx>
          <c:spPr>
            <a:ln>
              <a:solidFill>
                <a:schemeClr val="accent6"/>
              </a:solidFill>
            </a:ln>
          </c:spPr>
          <c:marker>
            <c:spPr>
              <a:solidFill>
                <a:schemeClr val="accent6"/>
              </a:solidFill>
              <a:ln>
                <a:solidFill>
                  <a:schemeClr val="accent6"/>
                </a:solidFill>
              </a:ln>
            </c:spPr>
          </c:marker>
          <c:dLbls>
            <c:dLbl>
              <c:idx val="0"/>
              <c:tx>
                <c:rich>
                  <a:bodyPr/>
                  <a:lstStyle/>
                  <a:p>
                    <a:r>
                      <a:rPr lang="en-US"/>
                      <a:t>11,05</a:t>
                    </a:r>
                  </a:p>
                </c:rich>
              </c:tx>
              <c:dLblPos val="t"/>
              <c:showVal val="1"/>
            </c:dLbl>
            <c:dLbl>
              <c:idx val="1"/>
              <c:tx>
                <c:rich>
                  <a:bodyPr/>
                  <a:lstStyle/>
                  <a:p>
                    <a:r>
                      <a:rPr lang="en-US"/>
                      <a:t>9,56</a:t>
                    </a:r>
                  </a:p>
                </c:rich>
              </c:tx>
              <c:dLblPos val="t"/>
              <c:showVal val="1"/>
            </c:dLbl>
            <c:dLbl>
              <c:idx val="3"/>
              <c:tx>
                <c:rich>
                  <a:bodyPr/>
                  <a:lstStyle/>
                  <a:p>
                    <a:r>
                      <a:rPr lang="en-US"/>
                      <a:t>11,25</a:t>
                    </a:r>
                  </a:p>
                </c:rich>
              </c:tx>
              <c:dLblPos val="t"/>
              <c:showVal val="1"/>
            </c:dLbl>
            <c:numFmt formatCode="#,##0.00" sourceLinked="0"/>
            <c:dLblPos val="t"/>
            <c:showVal val="1"/>
          </c:dLbls>
          <c:cat>
            <c:strRef>
              <c:f>макра!$B$56:$G$56</c:f>
              <c:strCache>
                <c:ptCount val="6"/>
                <c:pt idx="0">
                  <c:v>2008</c:v>
                </c:pt>
                <c:pt idx="1">
                  <c:v>2009</c:v>
                </c:pt>
                <c:pt idx="2">
                  <c:v>2010</c:v>
                </c:pt>
                <c:pt idx="3">
                  <c:v>2011</c:v>
                </c:pt>
                <c:pt idx="4">
                  <c:v>2012</c:v>
                </c:pt>
                <c:pt idx="5">
                  <c:v>2013 (прог)</c:v>
                </c:pt>
              </c:strCache>
            </c:strRef>
          </c:cat>
          <c:val>
            <c:numRef>
              <c:f>макра!$B$66:$G$66</c:f>
              <c:numCache>
                <c:formatCode>_-* #,##0.00_р_._-;\-* #,##0.00_р_._-;_-* "-"??_р_._-;_-@_-</c:formatCode>
                <c:ptCount val="6"/>
                <c:pt idx="0">
                  <c:v>11610.66395947528</c:v>
                </c:pt>
                <c:pt idx="1">
                  <c:v>9638.2918962351869</c:v>
                </c:pt>
                <c:pt idx="2">
                  <c:v>10161.613689287509</c:v>
                </c:pt>
                <c:pt idx="3">
                  <c:v>11220.837683519389</c:v>
                </c:pt>
                <c:pt idx="4">
                  <c:v>11990.3</c:v>
                </c:pt>
                <c:pt idx="5">
                  <c:v>11810.445499999993</c:v>
                </c:pt>
              </c:numCache>
            </c:numRef>
          </c:val>
        </c:ser>
        <c:marker val="1"/>
        <c:axId val="249860864"/>
        <c:axId val="249862400"/>
      </c:lineChart>
      <c:catAx>
        <c:axId val="249860864"/>
        <c:scaling>
          <c:orientation val="minMax"/>
        </c:scaling>
        <c:axPos val="b"/>
        <c:numFmt formatCode="General" sourceLinked="1"/>
        <c:tickLblPos val="nextTo"/>
        <c:crossAx val="249862400"/>
        <c:crosses val="autoZero"/>
        <c:auto val="1"/>
        <c:lblAlgn val="ctr"/>
        <c:lblOffset val="100"/>
      </c:catAx>
      <c:valAx>
        <c:axId val="249862400"/>
        <c:scaling>
          <c:orientation val="minMax"/>
        </c:scaling>
        <c:axPos val="l"/>
        <c:majorGridlines/>
        <c:numFmt formatCode="0" sourceLinked="0"/>
        <c:tickLblPos val="nextTo"/>
        <c:crossAx val="249860864"/>
        <c:crosses val="autoZero"/>
        <c:crossBetween val="between"/>
        <c:dispUnits>
          <c:builtInUnit val="thousands"/>
          <c:dispUnitsLbl>
            <c:layout>
              <c:manualLayout>
                <c:xMode val="edge"/>
                <c:yMode val="edge"/>
                <c:x val="7.3366064536050823E-2"/>
                <c:y val="2.4361356028101279E-2"/>
              </c:manualLayout>
            </c:layout>
            <c:tx>
              <c:rich>
                <a:bodyPr rot="0" vert="horz"/>
                <a:lstStyle/>
                <a:p>
                  <a:pPr>
                    <a:defRPr/>
                  </a:pPr>
                  <a:r>
                    <a:rPr lang="ru-RU"/>
                    <a:t>трлн</a:t>
                  </a:r>
                  <a:r>
                    <a:rPr lang="ru-RU" baseline="0"/>
                    <a:t> руб</a:t>
                  </a:r>
                  <a:endParaRPr lang="ru-RU"/>
                </a:p>
              </c:rich>
            </c:tx>
          </c:dispUnitsLbl>
        </c:dispUnits>
      </c:valAx>
    </c:plotArea>
    <c:legend>
      <c:legendPos val="r"/>
      <c:layout>
        <c:manualLayout>
          <c:xMode val="edge"/>
          <c:yMode val="edge"/>
          <c:x val="0.67583333333333673"/>
          <c:y val="0.27512313954767631"/>
          <c:w val="0.30750000000000038"/>
          <c:h val="0.48568186461722357"/>
        </c:manualLayout>
      </c:layout>
      <c:txPr>
        <a:bodyPr/>
        <a:lstStyle/>
        <a:p>
          <a:pPr>
            <a:defRPr sz="900"/>
          </a:pPr>
          <a:endParaRPr lang="ru-RU"/>
        </a:p>
      </c:txPr>
    </c:legend>
    <c:plotVisOnly val="1"/>
    <c:dispBlanksAs val="gap"/>
  </c:chart>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dLbls>
            <c:dLbl>
              <c:idx val="0"/>
              <c:layout>
                <c:manualLayout>
                  <c:x val="0"/>
                  <c:y val="-2.5276461295418627E-2"/>
                </c:manualLayout>
              </c:layout>
              <c:showVal val="1"/>
            </c:dLbl>
            <c:dLbl>
              <c:idx val="4"/>
              <c:layout>
                <c:manualLayout>
                  <c:x val="-1.0319917440660475E-2"/>
                  <c:y val="-1.5797788309636601E-2"/>
                </c:manualLayout>
              </c:layout>
              <c:showVal val="1"/>
            </c:dLbl>
            <c:dLbl>
              <c:idx val="5"/>
              <c:layout>
                <c:manualLayout>
                  <c:x val="0"/>
                  <c:y val="-2.2116903633491308E-2"/>
                </c:manualLayout>
              </c:layout>
              <c:showVal val="1"/>
            </c:dLbl>
            <c:dLbl>
              <c:idx val="8"/>
              <c:numFmt formatCode="#,##0" sourceLinked="0"/>
              <c:spPr/>
              <c:txPr>
                <a:bodyPr/>
                <a:lstStyle/>
                <a:p>
                  <a:pPr>
                    <a:defRPr/>
                  </a:pPr>
                  <a:endParaRPr lang="ru-RU"/>
                </a:p>
              </c:txPr>
            </c:dLbl>
            <c:dLbl>
              <c:idx val="15"/>
              <c:layout>
                <c:manualLayout>
                  <c:x val="-5.8548891169820868E-17"/>
                  <c:y val="-2.8436018957346001E-2"/>
                </c:manualLayout>
              </c:layout>
              <c:showVal val="1"/>
            </c:dLbl>
            <c:dLbl>
              <c:idx val="17"/>
              <c:layout>
                <c:manualLayout>
                  <c:x val="-4.6865846514352666E-3"/>
                  <c:y val="-1.8957345971563982E-2"/>
                </c:manualLayout>
              </c:layout>
              <c:showVal val="1"/>
            </c:dLbl>
            <c:dLbl>
              <c:idx val="18"/>
              <c:layout>
                <c:manualLayout>
                  <c:x val="2.3432923257176402E-3"/>
                  <c:y val="-3.7914691943127965E-2"/>
                </c:manualLayout>
              </c:layout>
              <c:showVal val="1"/>
            </c:dLbl>
            <c:dLbl>
              <c:idx val="22"/>
              <c:numFmt formatCode="#,##0" sourceLinked="0"/>
              <c:spPr/>
              <c:txPr>
                <a:bodyPr/>
                <a:lstStyle/>
                <a:p>
                  <a:pPr>
                    <a:defRPr/>
                  </a:pPr>
                  <a:endParaRPr lang="ru-RU"/>
                </a:p>
              </c:txPr>
            </c:dLbl>
            <c:dLbl>
              <c:idx val="24"/>
              <c:layout>
                <c:manualLayout>
                  <c:x val="-6.2965874529819334E-3"/>
                  <c:y val="8.4507904483445053E-3"/>
                </c:manualLayout>
              </c:layout>
              <c:showVal val="1"/>
            </c:dLbl>
            <c:dLbl>
              <c:idx val="30"/>
              <c:dLblPos val="outEnd"/>
              <c:showVal val="1"/>
            </c:dLbl>
            <c:showVal val="1"/>
          </c:dLbls>
          <c:cat>
            <c:strRef>
              <c:f>электроэф!$A$4:$A$36</c:f>
              <c:strCache>
                <c:ptCount val="33"/>
                <c:pt idx="0">
                  <c:v>Австрия</c:v>
                </c:pt>
                <c:pt idx="1">
                  <c:v>Бельгия</c:v>
                </c:pt>
                <c:pt idx="2">
                  <c:v>Болгария</c:v>
                </c:pt>
                <c:pt idx="3">
                  <c:v>Великобритания</c:v>
                </c:pt>
                <c:pt idx="4">
                  <c:v>Венгрия</c:v>
                </c:pt>
                <c:pt idx="5">
                  <c:v>Германия</c:v>
                </c:pt>
                <c:pt idx="6">
                  <c:v>Греция</c:v>
                </c:pt>
                <c:pt idx="7">
                  <c:v>Дания</c:v>
                </c:pt>
                <c:pt idx="8">
                  <c:v>ЕС 15 стран + UK</c:v>
                </c:pt>
                <c:pt idx="9">
                  <c:v>Ирландия</c:v>
                </c:pt>
                <c:pt idx="10">
                  <c:v>Испания</c:v>
                </c:pt>
                <c:pt idx="11">
                  <c:v>Италия</c:v>
                </c:pt>
                <c:pt idx="12">
                  <c:v>Канада</c:v>
                </c:pt>
                <c:pt idx="13">
                  <c:v>Люксембург</c:v>
                </c:pt>
                <c:pt idx="14">
                  <c:v>Нидерланды</c:v>
                </c:pt>
                <c:pt idx="15">
                  <c:v>Норвегия</c:v>
                </c:pt>
                <c:pt idx="16">
                  <c:v>Польша</c:v>
                </c:pt>
                <c:pt idx="17">
                  <c:v>Португалия</c:v>
                </c:pt>
                <c:pt idx="18">
                  <c:v>Словакия</c:v>
                </c:pt>
                <c:pt idx="19">
                  <c:v>Словения</c:v>
                </c:pt>
                <c:pt idx="20">
                  <c:v>Турция</c:v>
                </c:pt>
                <c:pt idx="21">
                  <c:v>Финляндия</c:v>
                </c:pt>
                <c:pt idx="22">
                  <c:v>Франция</c:v>
                </c:pt>
                <c:pt idx="23">
                  <c:v>Чехия</c:v>
                </c:pt>
                <c:pt idx="24">
                  <c:v>Швейцария</c:v>
                </c:pt>
                <c:pt idx="25">
                  <c:v>Швеция</c:v>
                </c:pt>
                <c:pt idx="26">
                  <c:v>Эстония</c:v>
                </c:pt>
                <c:pt idx="27">
                  <c:v>Южная Корея</c:v>
                </c:pt>
                <c:pt idx="28">
                  <c:v>Япония</c:v>
                </c:pt>
                <c:pt idx="29">
                  <c:v>США</c:v>
                </c:pt>
                <c:pt idx="30">
                  <c:v>Е. РФ+ Урал</c:v>
                </c:pt>
                <c:pt idx="31">
                  <c:v>Вся Россия</c:v>
                </c:pt>
                <c:pt idx="32">
                  <c:v>Сибирь+ДВ</c:v>
                </c:pt>
              </c:strCache>
            </c:strRef>
          </c:cat>
          <c:val>
            <c:numRef>
              <c:f>электроэф!$Q$4:$Q$36</c:f>
              <c:numCache>
                <c:formatCode>General</c:formatCode>
                <c:ptCount val="33"/>
                <c:pt idx="0">
                  <c:v>214</c:v>
                </c:pt>
                <c:pt idx="1">
                  <c:v>248</c:v>
                </c:pt>
                <c:pt idx="2" formatCode="_-* #,##0.0_р_._-;\-* #,##0.0_р_._-;_-* &quot;-&quot;??_р_._-;_-@_-">
                  <c:v>303</c:v>
                </c:pt>
                <c:pt idx="3">
                  <c:v>191</c:v>
                </c:pt>
                <c:pt idx="4">
                  <c:v>212</c:v>
                </c:pt>
                <c:pt idx="5">
                  <c:v>212</c:v>
                </c:pt>
                <c:pt idx="6">
                  <c:v>235</c:v>
                </c:pt>
                <c:pt idx="7">
                  <c:v>184</c:v>
                </c:pt>
                <c:pt idx="8" formatCode="_-* #,##0.00_р_._-;\-* #,##0.00_р_._-;_-* &quot;-&quot;?_р_._-;_-@_-">
                  <c:v>221</c:v>
                </c:pt>
                <c:pt idx="9">
                  <c:v>167</c:v>
                </c:pt>
                <c:pt idx="10">
                  <c:v>223</c:v>
                </c:pt>
                <c:pt idx="11">
                  <c:v>203</c:v>
                </c:pt>
                <c:pt idx="12">
                  <c:v>476</c:v>
                </c:pt>
                <c:pt idx="13">
                  <c:v>119</c:v>
                </c:pt>
                <c:pt idx="14">
                  <c:v>207</c:v>
                </c:pt>
                <c:pt idx="15">
                  <c:v>489</c:v>
                </c:pt>
                <c:pt idx="16">
                  <c:v>207</c:v>
                </c:pt>
                <c:pt idx="17">
                  <c:v>233</c:v>
                </c:pt>
                <c:pt idx="18">
                  <c:v>241</c:v>
                </c:pt>
                <c:pt idx="19">
                  <c:v>252</c:v>
                </c:pt>
                <c:pt idx="20">
                  <c:v>192</c:v>
                </c:pt>
                <c:pt idx="21">
                  <c:v>522</c:v>
                </c:pt>
                <c:pt idx="22">
                  <c:v>248</c:v>
                </c:pt>
                <c:pt idx="23" formatCode="_-* #,##0.0_р_._-;\-* #,##0.0_р_._-;_-* &quot;-&quot;??_р_._-;_-@_-">
                  <c:v>275</c:v>
                </c:pt>
                <c:pt idx="24">
                  <c:v>184</c:v>
                </c:pt>
                <c:pt idx="25">
                  <c:v>447</c:v>
                </c:pt>
                <c:pt idx="26">
                  <c:v>311</c:v>
                </c:pt>
                <c:pt idx="27">
                  <c:v>418</c:v>
                </c:pt>
                <c:pt idx="28">
                  <c:v>283</c:v>
                </c:pt>
                <c:pt idx="29">
                  <c:v>337</c:v>
                </c:pt>
                <c:pt idx="30">
                  <c:v>365</c:v>
                </c:pt>
                <c:pt idx="31">
                  <c:v>402</c:v>
                </c:pt>
                <c:pt idx="32">
                  <c:v>575</c:v>
                </c:pt>
              </c:numCache>
            </c:numRef>
          </c:val>
        </c:ser>
        <c:axId val="272674816"/>
        <c:axId val="272676352"/>
      </c:barChart>
      <c:catAx>
        <c:axId val="272674816"/>
        <c:scaling>
          <c:orientation val="minMax"/>
        </c:scaling>
        <c:axPos val="b"/>
        <c:tickLblPos val="nextTo"/>
        <c:txPr>
          <a:bodyPr rot="-5400000" vert="horz"/>
          <a:lstStyle/>
          <a:p>
            <a:pPr>
              <a:defRPr/>
            </a:pPr>
            <a:endParaRPr lang="ru-RU"/>
          </a:p>
        </c:txPr>
        <c:crossAx val="272676352"/>
        <c:crosses val="autoZero"/>
        <c:auto val="1"/>
        <c:lblAlgn val="ctr"/>
        <c:lblOffset val="100"/>
      </c:catAx>
      <c:valAx>
        <c:axId val="272676352"/>
        <c:scaling>
          <c:orientation val="minMax"/>
        </c:scaling>
        <c:axPos val="l"/>
        <c:majorGridlines/>
        <c:numFmt formatCode="General" sourceLinked="1"/>
        <c:tickLblPos val="nextTo"/>
        <c:crossAx val="272674816"/>
        <c:crosses val="autoZero"/>
        <c:crossBetween val="between"/>
      </c:valAx>
    </c:plotArea>
  </c:chart>
  <c:externalData r:id="rId1"/>
  <c:userShapes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9318145801497404E-2"/>
          <c:y val="6.7279477988642103E-2"/>
          <c:w val="0.93034221035082565"/>
          <c:h val="0.56449334150662756"/>
        </c:manualLayout>
      </c:layout>
      <c:barChart>
        <c:barDir val="col"/>
        <c:grouping val="clustered"/>
        <c:ser>
          <c:idx val="0"/>
          <c:order val="0"/>
          <c:tx>
            <c:strRef>
              <c:f>Лист2!$A$1</c:f>
              <c:strCache>
                <c:ptCount val="1"/>
                <c:pt idx="0">
                  <c:v>Доля выручки от продажи электроэнергии в ВВП в различных странах ЕС, России и США в 2011году. </c:v>
                </c:pt>
              </c:strCache>
            </c:strRef>
          </c:tx>
          <c:dLbls>
            <c:dLbl>
              <c:idx val="14"/>
              <c:layout>
                <c:manualLayout>
                  <c:x val="-1.8018015461727281E-3"/>
                  <c:y val="1.6501390296510519E-2"/>
                </c:manualLayout>
              </c:layout>
              <c:showVal val="1"/>
            </c:dLbl>
            <c:dLbl>
              <c:idx val="16"/>
              <c:layout>
                <c:manualLayout>
                  <c:x val="0"/>
                  <c:y val="1.7937219730941704E-2"/>
                </c:manualLayout>
              </c:layout>
              <c:showVal val="1"/>
            </c:dLbl>
            <c:dLbl>
              <c:idx val="18"/>
              <c:numFmt formatCode="#,##0.00" sourceLinked="0"/>
              <c:spPr/>
              <c:txPr>
                <a:bodyPr/>
                <a:lstStyle/>
                <a:p>
                  <a:pPr>
                    <a:defRPr sz="900"/>
                  </a:pPr>
                  <a:endParaRPr lang="ru-RU"/>
                </a:p>
              </c:txPr>
            </c:dLbl>
            <c:txPr>
              <a:bodyPr/>
              <a:lstStyle/>
              <a:p>
                <a:pPr>
                  <a:defRPr sz="900"/>
                </a:pPr>
                <a:endParaRPr lang="ru-RU"/>
              </a:p>
            </c:txPr>
            <c:showVal val="1"/>
          </c:dLbls>
          <c:cat>
            <c:strRef>
              <c:f>Лист2!$A$2:$A$31</c:f>
              <c:strCache>
                <c:ptCount val="30"/>
                <c:pt idx="0">
                  <c:v>Болгария (2012)</c:v>
                </c:pt>
                <c:pt idx="1">
                  <c:v>Чехия (2011)</c:v>
                </c:pt>
                <c:pt idx="2">
                  <c:v>Чехия (2012)</c:v>
                </c:pt>
                <c:pt idx="3">
                  <c:v>Словакия</c:v>
                </c:pt>
                <c:pt idx="4">
                  <c:v>Россия (2013-2014)</c:v>
                </c:pt>
                <c:pt idx="5">
                  <c:v>Венгрия</c:v>
                </c:pt>
                <c:pt idx="6">
                  <c:v>Россия (2012)</c:v>
                </c:pt>
                <c:pt idx="7">
                  <c:v>Россия (2011)</c:v>
                </c:pt>
                <c:pt idx="8">
                  <c:v>Финляндия</c:v>
                </c:pt>
                <c:pt idx="9">
                  <c:v>Швеция</c:v>
                </c:pt>
                <c:pt idx="10">
                  <c:v>Испания</c:v>
                </c:pt>
                <c:pt idx="11">
                  <c:v>Италия</c:v>
                </c:pt>
                <c:pt idx="12">
                  <c:v>Словения</c:v>
                </c:pt>
                <c:pt idx="13">
                  <c:v>Польша</c:v>
                </c:pt>
                <c:pt idx="14">
                  <c:v>Турция</c:v>
                </c:pt>
                <c:pt idx="15">
                  <c:v>Япония</c:v>
                </c:pt>
                <c:pt idx="16">
                  <c:v>Германия</c:v>
                </c:pt>
                <c:pt idx="17">
                  <c:v>Южная Корея</c:v>
                </c:pt>
                <c:pt idx="18">
                  <c:v>Австрия</c:v>
                </c:pt>
                <c:pt idx="19">
                  <c:v>Бельгия</c:v>
                </c:pt>
                <c:pt idx="20">
                  <c:v>Дания</c:v>
                </c:pt>
                <c:pt idx="21">
                  <c:v>Норвегия</c:v>
                </c:pt>
                <c:pt idx="22">
                  <c:v>Греция</c:v>
                </c:pt>
                <c:pt idx="23">
                  <c:v>США</c:v>
                </c:pt>
                <c:pt idx="24">
                  <c:v>Канада</c:v>
                </c:pt>
                <c:pt idx="25">
                  <c:v>Франция</c:v>
                </c:pt>
                <c:pt idx="26">
                  <c:v>Нидерланды</c:v>
                </c:pt>
                <c:pt idx="27">
                  <c:v>Великобритания</c:v>
                </c:pt>
                <c:pt idx="28">
                  <c:v>Люксембург</c:v>
                </c:pt>
                <c:pt idx="29">
                  <c:v>Швейцария</c:v>
                </c:pt>
              </c:strCache>
            </c:strRef>
          </c:cat>
          <c:val>
            <c:numRef>
              <c:f>Лист2!$B$2:$B$31</c:f>
              <c:numCache>
                <c:formatCode>General</c:formatCode>
                <c:ptCount val="30"/>
                <c:pt idx="0">
                  <c:v>5.75</c:v>
                </c:pt>
                <c:pt idx="1">
                  <c:v>5.1899999999999995</c:v>
                </c:pt>
                <c:pt idx="2">
                  <c:v>5.13</c:v>
                </c:pt>
                <c:pt idx="3">
                  <c:v>4.92</c:v>
                </c:pt>
                <c:pt idx="4">
                  <c:v>4.8499999999999996</c:v>
                </c:pt>
                <c:pt idx="5">
                  <c:v>4.8099999999999996</c:v>
                </c:pt>
                <c:pt idx="6">
                  <c:v>4.6599999999999975</c:v>
                </c:pt>
                <c:pt idx="7">
                  <c:v>4.4700000000000024</c:v>
                </c:pt>
                <c:pt idx="8">
                  <c:v>4.38</c:v>
                </c:pt>
                <c:pt idx="9">
                  <c:v>4.1199999999999966</c:v>
                </c:pt>
                <c:pt idx="10">
                  <c:v>3.98</c:v>
                </c:pt>
                <c:pt idx="11">
                  <c:v>3.9499999999999997</c:v>
                </c:pt>
                <c:pt idx="12">
                  <c:v>3.92</c:v>
                </c:pt>
                <c:pt idx="13">
                  <c:v>3.88</c:v>
                </c:pt>
                <c:pt idx="14">
                  <c:v>3.68</c:v>
                </c:pt>
                <c:pt idx="15">
                  <c:v>3.54</c:v>
                </c:pt>
                <c:pt idx="16">
                  <c:v>3.17</c:v>
                </c:pt>
                <c:pt idx="17">
                  <c:v>3.14</c:v>
                </c:pt>
                <c:pt idx="18">
                  <c:v>3.01</c:v>
                </c:pt>
                <c:pt idx="19">
                  <c:v>3</c:v>
                </c:pt>
                <c:pt idx="20">
                  <c:v>2.72</c:v>
                </c:pt>
                <c:pt idx="21">
                  <c:v>2.69</c:v>
                </c:pt>
                <c:pt idx="22">
                  <c:v>2.5299999999999998</c:v>
                </c:pt>
                <c:pt idx="23">
                  <c:v>2.4899999999999998</c:v>
                </c:pt>
                <c:pt idx="24">
                  <c:v>2.4899999999999998</c:v>
                </c:pt>
                <c:pt idx="25">
                  <c:v>2.2799999999999998</c:v>
                </c:pt>
                <c:pt idx="26">
                  <c:v>2.27</c:v>
                </c:pt>
                <c:pt idx="27">
                  <c:v>2.2400000000000002</c:v>
                </c:pt>
                <c:pt idx="28">
                  <c:v>1.6400000000000001</c:v>
                </c:pt>
                <c:pt idx="29">
                  <c:v>1.57</c:v>
                </c:pt>
              </c:numCache>
            </c:numRef>
          </c:val>
        </c:ser>
        <c:axId val="272684544"/>
        <c:axId val="272686080"/>
      </c:barChart>
      <c:catAx>
        <c:axId val="272684544"/>
        <c:scaling>
          <c:orientation val="minMax"/>
        </c:scaling>
        <c:axPos val="b"/>
        <c:tickLblPos val="nextTo"/>
        <c:txPr>
          <a:bodyPr rot="-5400000" vert="horz"/>
          <a:lstStyle/>
          <a:p>
            <a:pPr>
              <a:defRPr/>
            </a:pPr>
            <a:endParaRPr lang="ru-RU"/>
          </a:p>
        </c:txPr>
        <c:crossAx val="272686080"/>
        <c:crosses val="autoZero"/>
        <c:auto val="1"/>
        <c:lblAlgn val="ctr"/>
        <c:lblOffset val="100"/>
      </c:catAx>
      <c:valAx>
        <c:axId val="272686080"/>
        <c:scaling>
          <c:orientation val="minMax"/>
        </c:scaling>
        <c:axPos val="l"/>
        <c:majorGridlines/>
        <c:numFmt formatCode="General" sourceLinked="1"/>
        <c:tickLblPos val="nextTo"/>
        <c:crossAx val="272684544"/>
        <c:crosses val="autoZero"/>
        <c:crossBetween val="between"/>
      </c:valAx>
    </c:plotArea>
    <c:plotVisOnly val="1"/>
  </c:chart>
  <c:externalData r:id="rId1"/>
  <c:userShapes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2234708525511976E-2"/>
          <c:y val="3.8956209421190782E-2"/>
          <c:w val="0.90403282114007588"/>
          <c:h val="0.63576294654540477"/>
        </c:manualLayout>
      </c:layout>
      <c:barChart>
        <c:barDir val="col"/>
        <c:grouping val="clustered"/>
        <c:ser>
          <c:idx val="0"/>
          <c:order val="0"/>
          <c:dLbls>
            <c:numFmt formatCode="#,##0.0" sourceLinked="0"/>
            <c:txPr>
              <a:bodyPr/>
              <a:lstStyle/>
              <a:p>
                <a:pPr>
                  <a:defRPr sz="800"/>
                </a:pPr>
                <a:endParaRPr lang="ru-RU"/>
              </a:p>
            </c:txPr>
            <c:showVal val="1"/>
          </c:dLbls>
          <c:cat>
            <c:strRef>
              <c:f>Лист2!$F$2:$F$29</c:f>
              <c:strCache>
                <c:ptCount val="28"/>
                <c:pt idx="0">
                  <c:v>Россия</c:v>
                </c:pt>
                <c:pt idx="1">
                  <c:v>Люксембург</c:v>
                </c:pt>
                <c:pt idx="2">
                  <c:v>Южная Корея</c:v>
                </c:pt>
                <c:pt idx="3">
                  <c:v>Финляндия</c:v>
                </c:pt>
                <c:pt idx="4">
                  <c:v>Бельгия</c:v>
                </c:pt>
                <c:pt idx="5">
                  <c:v>Словения</c:v>
                </c:pt>
                <c:pt idx="6">
                  <c:v>Турция</c:v>
                </c:pt>
                <c:pt idx="7">
                  <c:v>Австрия</c:v>
                </c:pt>
                <c:pt idx="8">
                  <c:v>Италия</c:v>
                </c:pt>
                <c:pt idx="9">
                  <c:v>Германия</c:v>
                </c:pt>
                <c:pt idx="10">
                  <c:v>Словакия</c:v>
                </c:pt>
                <c:pt idx="11">
                  <c:v>Швеция</c:v>
                </c:pt>
                <c:pt idx="12">
                  <c:v>Чехия (2011)</c:v>
                </c:pt>
                <c:pt idx="13">
                  <c:v>Чехия (2012)</c:v>
                </c:pt>
                <c:pt idx="14">
                  <c:v>Норвегия</c:v>
                </c:pt>
                <c:pt idx="15">
                  <c:v>Польша</c:v>
                </c:pt>
                <c:pt idx="16">
                  <c:v>Нидерланды</c:v>
                </c:pt>
                <c:pt idx="17">
                  <c:v>Канада</c:v>
                </c:pt>
                <c:pt idx="18">
                  <c:v>Испания</c:v>
                </c:pt>
                <c:pt idx="19">
                  <c:v>Болгария</c:v>
                </c:pt>
                <c:pt idx="20">
                  <c:v>Япония</c:v>
                </c:pt>
                <c:pt idx="21">
                  <c:v>Великобритания</c:v>
                </c:pt>
                <c:pt idx="22">
                  <c:v>Швейцария</c:v>
                </c:pt>
                <c:pt idx="23">
                  <c:v>Венгрия</c:v>
                </c:pt>
                <c:pt idx="24">
                  <c:v>Франция</c:v>
                </c:pt>
                <c:pt idx="25">
                  <c:v>Греция</c:v>
                </c:pt>
                <c:pt idx="26">
                  <c:v>Дания</c:v>
                </c:pt>
                <c:pt idx="27">
                  <c:v>США</c:v>
                </c:pt>
              </c:strCache>
            </c:strRef>
          </c:cat>
          <c:val>
            <c:numRef>
              <c:f>Лист2!$G$2:$G$29</c:f>
              <c:numCache>
                <c:formatCode>General</c:formatCode>
                <c:ptCount val="28"/>
                <c:pt idx="0">
                  <c:v>62.8</c:v>
                </c:pt>
                <c:pt idx="1">
                  <c:v>54.5</c:v>
                </c:pt>
                <c:pt idx="2">
                  <c:v>52.2</c:v>
                </c:pt>
                <c:pt idx="3">
                  <c:v>49.3</c:v>
                </c:pt>
                <c:pt idx="4">
                  <c:v>47.5</c:v>
                </c:pt>
                <c:pt idx="5">
                  <c:v>46.7</c:v>
                </c:pt>
                <c:pt idx="6">
                  <c:v>46</c:v>
                </c:pt>
                <c:pt idx="7">
                  <c:v>44.8</c:v>
                </c:pt>
                <c:pt idx="8">
                  <c:v>44.3</c:v>
                </c:pt>
                <c:pt idx="9">
                  <c:v>44.21</c:v>
                </c:pt>
                <c:pt idx="10">
                  <c:v>43.6</c:v>
                </c:pt>
                <c:pt idx="11">
                  <c:v>43.2</c:v>
                </c:pt>
                <c:pt idx="12">
                  <c:v>42.3</c:v>
                </c:pt>
                <c:pt idx="13">
                  <c:v>42.2</c:v>
                </c:pt>
                <c:pt idx="14">
                  <c:v>41.6</c:v>
                </c:pt>
                <c:pt idx="15">
                  <c:v>40.1</c:v>
                </c:pt>
                <c:pt idx="16">
                  <c:v>39.800000000000004</c:v>
                </c:pt>
                <c:pt idx="17">
                  <c:v>38.800000000000004</c:v>
                </c:pt>
                <c:pt idx="18">
                  <c:v>35.4</c:v>
                </c:pt>
                <c:pt idx="19">
                  <c:v>35.1</c:v>
                </c:pt>
                <c:pt idx="20">
                  <c:v>34.300000000000004</c:v>
                </c:pt>
                <c:pt idx="21">
                  <c:v>33.6</c:v>
                </c:pt>
                <c:pt idx="22">
                  <c:v>32.25</c:v>
                </c:pt>
                <c:pt idx="23">
                  <c:v>32.1</c:v>
                </c:pt>
                <c:pt idx="24">
                  <c:v>31.1</c:v>
                </c:pt>
                <c:pt idx="25">
                  <c:v>29.45</c:v>
                </c:pt>
                <c:pt idx="26">
                  <c:v>28.8</c:v>
                </c:pt>
                <c:pt idx="27">
                  <c:v>24.9</c:v>
                </c:pt>
              </c:numCache>
            </c:numRef>
          </c:val>
        </c:ser>
        <c:axId val="272730368"/>
        <c:axId val="272797696"/>
      </c:barChart>
      <c:catAx>
        <c:axId val="272730368"/>
        <c:scaling>
          <c:orientation val="minMax"/>
        </c:scaling>
        <c:axPos val="b"/>
        <c:tickLblPos val="nextTo"/>
        <c:txPr>
          <a:bodyPr rot="-5400000" vert="horz"/>
          <a:lstStyle/>
          <a:p>
            <a:pPr>
              <a:defRPr/>
            </a:pPr>
            <a:endParaRPr lang="ru-RU"/>
          </a:p>
        </c:txPr>
        <c:crossAx val="272797696"/>
        <c:crosses val="autoZero"/>
        <c:auto val="1"/>
        <c:lblAlgn val="ctr"/>
        <c:lblOffset val="100"/>
      </c:catAx>
      <c:valAx>
        <c:axId val="272797696"/>
        <c:scaling>
          <c:orientation val="minMax"/>
        </c:scaling>
        <c:axPos val="l"/>
        <c:majorGridlines/>
        <c:numFmt formatCode="General" sourceLinked="1"/>
        <c:tickLblPos val="nextTo"/>
        <c:crossAx val="272730368"/>
        <c:crosses val="autoZero"/>
        <c:crossBetween val="between"/>
      </c:valAx>
    </c:plotArea>
    <c:plotVisOnly val="1"/>
  </c:chart>
  <c:externalData r:id="rId1"/>
  <c:userShapes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2963023973467832E-2"/>
          <c:y val="3.8956209421190782E-2"/>
          <c:w val="0.94703697602653225"/>
          <c:h val="0.7237827164127929"/>
        </c:manualLayout>
      </c:layout>
      <c:barChart>
        <c:barDir val="col"/>
        <c:grouping val="clustered"/>
        <c:ser>
          <c:idx val="0"/>
          <c:order val="0"/>
          <c:dLbls>
            <c:dLbl>
              <c:idx val="4"/>
              <c:layout>
                <c:manualLayout>
                  <c:x val="-3.7796504615967802E-3"/>
                  <c:y val="1.4109347442680775E-2"/>
                </c:manualLayout>
              </c:layout>
              <c:showVal val="1"/>
            </c:dLbl>
            <c:dLbl>
              <c:idx val="9"/>
              <c:layout>
                <c:manualLayout>
                  <c:x val="3.5938903863432202E-3"/>
                  <c:y val="1.1757789535567638E-2"/>
                </c:manualLayout>
              </c:layout>
              <c:showVal val="1"/>
            </c:dLbl>
            <c:dLbl>
              <c:idx val="10"/>
              <c:layout>
                <c:manualLayout>
                  <c:x val="3.5938903863432202E-3"/>
                  <c:y val="1.4109347442680775E-2"/>
                </c:manualLayout>
              </c:layout>
              <c:showVal val="1"/>
            </c:dLbl>
            <c:dLbl>
              <c:idx val="15"/>
              <c:layout>
                <c:manualLayout>
                  <c:x val="0"/>
                  <c:y val="9.4062316284538507E-3"/>
                </c:manualLayout>
              </c:layout>
              <c:showVal val="1"/>
            </c:dLbl>
            <c:dLbl>
              <c:idx val="16"/>
              <c:layout>
                <c:manualLayout>
                  <c:x val="3.5938903863432202E-3"/>
                  <c:y val="2.3515579071134631E-3"/>
                </c:manualLayout>
              </c:layout>
              <c:showVal val="1"/>
            </c:dLbl>
            <c:dLbl>
              <c:idx val="17"/>
              <c:layout>
                <c:manualLayout>
                  <c:x val="-2.4430726928550812E-3"/>
                  <c:y val="1.4109347442680775E-2"/>
                </c:manualLayout>
              </c:layout>
              <c:showVal val="1"/>
            </c:dLbl>
            <c:dLbl>
              <c:idx val="19"/>
              <c:layout>
                <c:manualLayout>
                  <c:x val="-1.7969451931716379E-3"/>
                  <c:y val="9.4062316284538507E-3"/>
                </c:manualLayout>
              </c:layout>
              <c:showVal val="1"/>
            </c:dLbl>
            <c:dLbl>
              <c:idx val="20"/>
              <c:layout>
                <c:manualLayout>
                  <c:x val="0"/>
                  <c:y val="1.1757789535567638E-2"/>
                </c:manualLayout>
              </c:layout>
              <c:showVal val="1"/>
            </c:dLbl>
            <c:dLbl>
              <c:idx val="21"/>
              <c:layout>
                <c:manualLayout>
                  <c:x val="7.1877807726864335E-3"/>
                  <c:y val="0"/>
                </c:manualLayout>
              </c:layout>
              <c:showVal val="1"/>
            </c:dLbl>
            <c:dLbl>
              <c:idx val="22"/>
              <c:layout>
                <c:manualLayout>
                  <c:x val="-3.0892785588943752E-3"/>
                  <c:y val="9.4062316284538507E-3"/>
                </c:manualLayout>
              </c:layout>
              <c:showVal val="1"/>
            </c:dLbl>
            <c:dLbl>
              <c:idx val="25"/>
              <c:layout>
                <c:manualLayout>
                  <c:x val="0"/>
                  <c:y val="7.05467372134049E-3"/>
                </c:manualLayout>
              </c:layout>
              <c:showVal val="1"/>
            </c:dLbl>
            <c:dLbl>
              <c:idx val="26"/>
              <c:layout>
                <c:manualLayout>
                  <c:x val="-1.3177445856280255E-16"/>
                  <c:y val="9.4062316284538507E-3"/>
                </c:manualLayout>
              </c:layout>
              <c:showVal val="1"/>
            </c:dLbl>
            <c:numFmt formatCode="#,##0.000" sourceLinked="0"/>
            <c:txPr>
              <a:bodyPr/>
              <a:lstStyle/>
              <a:p>
                <a:pPr>
                  <a:defRPr sz="700"/>
                </a:pPr>
                <a:endParaRPr lang="ru-RU"/>
              </a:p>
            </c:txPr>
            <c:showVal val="1"/>
          </c:dLbls>
          <c:cat>
            <c:strRef>
              <c:f>Лист2!$B$32:$B$61</c:f>
              <c:strCache>
                <c:ptCount val="30"/>
                <c:pt idx="0">
                  <c:v>Болгария</c:v>
                </c:pt>
                <c:pt idx="1">
                  <c:v>Россия (2013)</c:v>
                </c:pt>
                <c:pt idx="2">
                  <c:v>Россия (2012)</c:v>
                </c:pt>
                <c:pt idx="3">
                  <c:v>Россия (2011)</c:v>
                </c:pt>
                <c:pt idx="4">
                  <c:v>Чехия (2011)</c:v>
                </c:pt>
                <c:pt idx="5">
                  <c:v>Чехия (2012)</c:v>
                </c:pt>
                <c:pt idx="6">
                  <c:v>Словакия</c:v>
                </c:pt>
                <c:pt idx="7">
                  <c:v>Италия</c:v>
                </c:pt>
                <c:pt idx="8">
                  <c:v>Венгрия</c:v>
                </c:pt>
                <c:pt idx="9">
                  <c:v>Финляндия</c:v>
                </c:pt>
                <c:pt idx="10">
                  <c:v>Турция</c:v>
                </c:pt>
                <c:pt idx="11">
                  <c:v>Словения</c:v>
                </c:pt>
                <c:pt idx="12">
                  <c:v>Польша</c:v>
                </c:pt>
                <c:pt idx="13">
                  <c:v>Япония</c:v>
                </c:pt>
                <c:pt idx="14">
                  <c:v>Южная Корея</c:v>
                </c:pt>
                <c:pt idx="15">
                  <c:v>Великобритания</c:v>
                </c:pt>
                <c:pt idx="16">
                  <c:v>Испания</c:v>
                </c:pt>
                <c:pt idx="17">
                  <c:v>Канада</c:v>
                </c:pt>
                <c:pt idx="18">
                  <c:v>Швеция</c:v>
                </c:pt>
                <c:pt idx="19">
                  <c:v>Австрия</c:v>
                </c:pt>
                <c:pt idx="20">
                  <c:v>Германия</c:v>
                </c:pt>
                <c:pt idx="21">
                  <c:v>Бельгия</c:v>
                </c:pt>
                <c:pt idx="22">
                  <c:v>Греция</c:v>
                </c:pt>
                <c:pt idx="23">
                  <c:v>Франция</c:v>
                </c:pt>
                <c:pt idx="24">
                  <c:v>США</c:v>
                </c:pt>
                <c:pt idx="25">
                  <c:v>Норвегия</c:v>
                </c:pt>
                <c:pt idx="26">
                  <c:v>Нидерланды</c:v>
                </c:pt>
                <c:pt idx="27">
                  <c:v>Швейцария</c:v>
                </c:pt>
                <c:pt idx="28">
                  <c:v>Люксембург</c:v>
                </c:pt>
                <c:pt idx="29">
                  <c:v>Дания</c:v>
                </c:pt>
              </c:strCache>
            </c:strRef>
          </c:cat>
          <c:val>
            <c:numRef>
              <c:f>Лист2!$C$32:$C$61</c:f>
              <c:numCache>
                <c:formatCode>_-* #,##0.0000_р_._-;\-* #,##0.0000_р_._-;_-* "-"??_р_._-;_-@_-</c:formatCode>
                <c:ptCount val="30"/>
                <c:pt idx="0">
                  <c:v>0.112</c:v>
                </c:pt>
                <c:pt idx="1">
                  <c:v>6.2000000000000034E-2</c:v>
                </c:pt>
                <c:pt idx="2">
                  <c:v>5.9200000000000003E-2</c:v>
                </c:pt>
                <c:pt idx="3">
                  <c:v>5.6800000000000003E-2</c:v>
                </c:pt>
                <c:pt idx="4">
                  <c:v>4.9400000000000034E-2</c:v>
                </c:pt>
                <c:pt idx="5">
                  <c:v>4.7300000000000113E-2</c:v>
                </c:pt>
                <c:pt idx="6">
                  <c:v>4.3299999999999998E-2</c:v>
                </c:pt>
                <c:pt idx="7">
                  <c:v>4.0000000000000022E-2</c:v>
                </c:pt>
                <c:pt idx="8">
                  <c:v>3.5200000000000002E-2</c:v>
                </c:pt>
                <c:pt idx="9">
                  <c:v>3.5099999999999999E-2</c:v>
                </c:pt>
                <c:pt idx="10">
                  <c:v>3.39E-2</c:v>
                </c:pt>
                <c:pt idx="11">
                  <c:v>3.1700000000000006E-2</c:v>
                </c:pt>
                <c:pt idx="12">
                  <c:v>3.1399999999999997E-2</c:v>
                </c:pt>
                <c:pt idx="13">
                  <c:v>2.9100000000000001E-2</c:v>
                </c:pt>
                <c:pt idx="14">
                  <c:v>2.8500000000000001E-2</c:v>
                </c:pt>
                <c:pt idx="15">
                  <c:v>2.8000000000000001E-2</c:v>
                </c:pt>
                <c:pt idx="16">
                  <c:v>2.63E-2</c:v>
                </c:pt>
                <c:pt idx="17">
                  <c:v>2.63E-2</c:v>
                </c:pt>
                <c:pt idx="18">
                  <c:v>2.5500000000000002E-2</c:v>
                </c:pt>
                <c:pt idx="19">
                  <c:v>2.5111607142857151E-2</c:v>
                </c:pt>
                <c:pt idx="20">
                  <c:v>2.3699999999999999E-2</c:v>
                </c:pt>
                <c:pt idx="21">
                  <c:v>2.1999999999999999E-2</c:v>
                </c:pt>
                <c:pt idx="22">
                  <c:v>2.1100000000000001E-2</c:v>
                </c:pt>
                <c:pt idx="23">
                  <c:v>1.9284552845528678E-2</c:v>
                </c:pt>
                <c:pt idx="24">
                  <c:v>1.803921568627451E-2</c:v>
                </c:pt>
                <c:pt idx="25">
                  <c:v>1.6500000000000101E-2</c:v>
                </c:pt>
                <c:pt idx="26">
                  <c:v>1.6400000000000001E-2</c:v>
                </c:pt>
                <c:pt idx="27">
                  <c:v>1.1700000000000125E-2</c:v>
                </c:pt>
                <c:pt idx="28">
                  <c:v>1.2999999999999998E-2</c:v>
                </c:pt>
                <c:pt idx="29">
                  <c:v>1.0900000000000003E-2</c:v>
                </c:pt>
              </c:numCache>
            </c:numRef>
          </c:val>
        </c:ser>
        <c:axId val="272825344"/>
        <c:axId val="272438016"/>
      </c:barChart>
      <c:catAx>
        <c:axId val="272825344"/>
        <c:scaling>
          <c:orientation val="minMax"/>
        </c:scaling>
        <c:axPos val="b"/>
        <c:tickLblPos val="nextTo"/>
        <c:txPr>
          <a:bodyPr rot="-5400000" vert="horz"/>
          <a:lstStyle/>
          <a:p>
            <a:pPr>
              <a:defRPr/>
            </a:pPr>
            <a:endParaRPr lang="ru-RU"/>
          </a:p>
        </c:txPr>
        <c:crossAx val="272438016"/>
        <c:crosses val="autoZero"/>
        <c:auto val="1"/>
        <c:lblAlgn val="ctr"/>
        <c:lblOffset val="100"/>
      </c:catAx>
      <c:valAx>
        <c:axId val="272438016"/>
        <c:scaling>
          <c:orientation val="minMax"/>
        </c:scaling>
        <c:axPos val="l"/>
        <c:majorGridlines/>
        <c:numFmt formatCode="#,##0.00" sourceLinked="0"/>
        <c:tickLblPos val="nextTo"/>
        <c:crossAx val="272825344"/>
        <c:crosses val="autoZero"/>
        <c:crossBetween val="between"/>
      </c:valAx>
    </c:plotArea>
    <c:plotVisOnly val="1"/>
  </c:chart>
  <c:externalData r:id="rId1"/>
  <c:userShapes r:id="rId2"/>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3.7888401533700919E-2"/>
          <c:y val="2.3497396158813612E-2"/>
          <c:w val="0.95694751243343568"/>
          <c:h val="0.72856809565470981"/>
        </c:manualLayout>
      </c:layout>
      <c:barChart>
        <c:barDir val="col"/>
        <c:grouping val="clustered"/>
        <c:ser>
          <c:idx val="0"/>
          <c:order val="0"/>
          <c:dLbls>
            <c:dLbl>
              <c:idx val="6"/>
              <c:layout>
                <c:manualLayout>
                  <c:x val="0"/>
                  <c:y val="8.4656084656085234E-3"/>
                </c:manualLayout>
              </c:layout>
              <c:showVal val="1"/>
            </c:dLbl>
            <c:dLbl>
              <c:idx val="11"/>
              <c:layout>
                <c:manualLayout>
                  <c:x val="0"/>
                  <c:y val="4.2328042328042374E-3"/>
                </c:manualLayout>
              </c:layout>
              <c:showVal val="1"/>
            </c:dLbl>
            <c:dLbl>
              <c:idx val="12"/>
              <c:layout>
                <c:manualLayout>
                  <c:x val="8.9485458612974886E-3"/>
                  <c:y val="6.3492063492063796E-3"/>
                </c:manualLayout>
              </c:layout>
              <c:showVal val="1"/>
            </c:dLbl>
            <c:dLbl>
              <c:idx val="16"/>
              <c:layout>
                <c:manualLayout>
                  <c:x val="1.4914243102162564E-3"/>
                  <c:y val="6.3492063492063796E-3"/>
                </c:manualLayout>
              </c:layout>
              <c:showVal val="1"/>
            </c:dLbl>
            <c:dLbl>
              <c:idx val="30"/>
              <c:layout>
                <c:manualLayout>
                  <c:x val="-1.1743498494703028E-7"/>
                  <c:y val="1.058201058201058E-2"/>
                </c:manualLayout>
              </c:layout>
              <c:showVal val="1"/>
            </c:dLbl>
            <c:txPr>
              <a:bodyPr/>
              <a:lstStyle/>
              <a:p>
                <a:pPr>
                  <a:defRPr sz="800"/>
                </a:pPr>
                <a:endParaRPr lang="ru-RU"/>
              </a:p>
            </c:txPr>
            <c:showVal val="1"/>
          </c:dLbls>
          <c:cat>
            <c:strRef>
              <c:f>Лист1!$A$50:$A$82</c:f>
              <c:strCache>
                <c:ptCount val="33"/>
                <c:pt idx="0">
                  <c:v>Великобритания</c:v>
                </c:pt>
                <c:pt idx="1">
                  <c:v>США</c:v>
                </c:pt>
                <c:pt idx="2">
                  <c:v>Франция</c:v>
                </c:pt>
                <c:pt idx="3">
                  <c:v>Ирландия</c:v>
                </c:pt>
                <c:pt idx="4">
                  <c:v>Греция</c:v>
                </c:pt>
                <c:pt idx="5">
                  <c:v>OECD Total</c:v>
                </c:pt>
                <c:pt idx="6">
                  <c:v>Дания</c:v>
                </c:pt>
                <c:pt idx="7">
                  <c:v>Швейцария</c:v>
                </c:pt>
                <c:pt idx="8">
                  <c:v>Венгрия</c:v>
                </c:pt>
                <c:pt idx="9">
                  <c:v>Швеция</c:v>
                </c:pt>
                <c:pt idx="10">
                  <c:v>Испания</c:v>
                </c:pt>
                <c:pt idx="11">
                  <c:v>Норвегия</c:v>
                </c:pt>
                <c:pt idx="12">
                  <c:v>Канада</c:v>
                </c:pt>
                <c:pt idx="13">
                  <c:v>Австрия</c:v>
                </c:pt>
                <c:pt idx="14">
                  <c:v>Португалия</c:v>
                </c:pt>
                <c:pt idx="15">
                  <c:v>Япония</c:v>
                </c:pt>
                <c:pt idx="16">
                  <c:v>OECD Europe (2010)</c:v>
                </c:pt>
                <c:pt idx="17">
                  <c:v>Польша (2011)</c:v>
                </c:pt>
                <c:pt idx="18">
                  <c:v>Финляндия</c:v>
                </c:pt>
                <c:pt idx="19">
                  <c:v>Эстония</c:v>
                </c:pt>
                <c:pt idx="20">
                  <c:v>Словакия</c:v>
                </c:pt>
                <c:pt idx="21">
                  <c:v>Германия</c:v>
                </c:pt>
                <c:pt idx="22">
                  <c:v>OECD Asia</c:v>
                </c:pt>
                <c:pt idx="23">
                  <c:v>Чехия</c:v>
                </c:pt>
                <c:pt idx="24">
                  <c:v>Бельгия</c:v>
                </c:pt>
                <c:pt idx="25">
                  <c:v>Польша</c:v>
                </c:pt>
                <c:pt idx="26">
                  <c:v>Италия</c:v>
                </c:pt>
                <c:pt idx="27">
                  <c:v>Нидерланды</c:v>
                </c:pt>
                <c:pt idx="28">
                  <c:v>Турция</c:v>
                </c:pt>
                <c:pt idx="29">
                  <c:v>Словения</c:v>
                </c:pt>
                <c:pt idx="30">
                  <c:v>Россия</c:v>
                </c:pt>
                <c:pt idx="31">
                  <c:v>Люксембург</c:v>
                </c:pt>
                <c:pt idx="32">
                  <c:v>Южная Корея</c:v>
                </c:pt>
              </c:strCache>
            </c:strRef>
          </c:cat>
          <c:val>
            <c:numRef>
              <c:f>Лист1!$B$50:$B$82</c:f>
              <c:numCache>
                <c:formatCode>0.0%</c:formatCode>
                <c:ptCount val="33"/>
                <c:pt idx="0">
                  <c:v>0.35200000000000031</c:v>
                </c:pt>
                <c:pt idx="1">
                  <c:v>0.34800000000000031</c:v>
                </c:pt>
                <c:pt idx="2">
                  <c:v>0.3430000000000003</c:v>
                </c:pt>
                <c:pt idx="3">
                  <c:v>0.33600000000000152</c:v>
                </c:pt>
                <c:pt idx="4">
                  <c:v>0.32900000000000146</c:v>
                </c:pt>
                <c:pt idx="5">
                  <c:v>0.31300000000000117</c:v>
                </c:pt>
                <c:pt idx="6">
                  <c:v>0.31300000000000117</c:v>
                </c:pt>
                <c:pt idx="7">
                  <c:v>0.31100000000000116</c:v>
                </c:pt>
                <c:pt idx="8">
                  <c:v>0.31000000000000116</c:v>
                </c:pt>
                <c:pt idx="9">
                  <c:v>0.30900000000000116</c:v>
                </c:pt>
                <c:pt idx="10">
                  <c:v>0.30000000000000032</c:v>
                </c:pt>
                <c:pt idx="11">
                  <c:v>0.29800000000000032</c:v>
                </c:pt>
                <c:pt idx="12">
                  <c:v>0.29600000000000032</c:v>
                </c:pt>
                <c:pt idx="13">
                  <c:v>0.28800000000000031</c:v>
                </c:pt>
                <c:pt idx="14">
                  <c:v>0.28700000000000031</c:v>
                </c:pt>
                <c:pt idx="15">
                  <c:v>0.28500000000000031</c:v>
                </c:pt>
                <c:pt idx="16">
                  <c:v>0.28400000000000031</c:v>
                </c:pt>
                <c:pt idx="17">
                  <c:v>0.27800000000000002</c:v>
                </c:pt>
                <c:pt idx="18">
                  <c:v>0.27800000000000002</c:v>
                </c:pt>
                <c:pt idx="19">
                  <c:v>0.27</c:v>
                </c:pt>
                <c:pt idx="20">
                  <c:v>0.26500000000000001</c:v>
                </c:pt>
                <c:pt idx="21">
                  <c:v>0.26</c:v>
                </c:pt>
                <c:pt idx="22">
                  <c:v>0.25700000000000001</c:v>
                </c:pt>
                <c:pt idx="23">
                  <c:v>0.24200000000000021</c:v>
                </c:pt>
                <c:pt idx="24">
                  <c:v>0.23500000000000001</c:v>
                </c:pt>
                <c:pt idx="25">
                  <c:v>0.23</c:v>
                </c:pt>
                <c:pt idx="26">
                  <c:v>0.22500000000000006</c:v>
                </c:pt>
                <c:pt idx="27">
                  <c:v>0.21900000000000044</c:v>
                </c:pt>
                <c:pt idx="28">
                  <c:v>0.20900000000000021</c:v>
                </c:pt>
                <c:pt idx="29">
                  <c:v>0.18800000000000044</c:v>
                </c:pt>
                <c:pt idx="30">
                  <c:v>0.14000000000000001</c:v>
                </c:pt>
                <c:pt idx="31">
                  <c:v>0.13600000000000001</c:v>
                </c:pt>
                <c:pt idx="32">
                  <c:v>0.13400000000000001</c:v>
                </c:pt>
              </c:numCache>
            </c:numRef>
          </c:val>
        </c:ser>
        <c:axId val="272800000"/>
        <c:axId val="273953920"/>
      </c:barChart>
      <c:catAx>
        <c:axId val="272800000"/>
        <c:scaling>
          <c:orientation val="minMax"/>
        </c:scaling>
        <c:axPos val="b"/>
        <c:tickLblPos val="nextTo"/>
        <c:txPr>
          <a:bodyPr rot="-5400000" vert="horz"/>
          <a:lstStyle/>
          <a:p>
            <a:pPr>
              <a:defRPr/>
            </a:pPr>
            <a:endParaRPr lang="ru-RU"/>
          </a:p>
        </c:txPr>
        <c:crossAx val="273953920"/>
        <c:crosses val="autoZero"/>
        <c:auto val="1"/>
        <c:lblAlgn val="ctr"/>
        <c:lblOffset val="100"/>
      </c:catAx>
      <c:valAx>
        <c:axId val="273953920"/>
        <c:scaling>
          <c:orientation val="minMax"/>
        </c:scaling>
        <c:axPos val="l"/>
        <c:majorGridlines/>
        <c:numFmt formatCode="0%" sourceLinked="0"/>
        <c:tickLblPos val="nextTo"/>
        <c:txPr>
          <a:bodyPr/>
          <a:lstStyle/>
          <a:p>
            <a:pPr>
              <a:defRPr sz="900"/>
            </a:pPr>
            <a:endParaRPr lang="ru-RU"/>
          </a:p>
        </c:txPr>
        <c:crossAx val="272800000"/>
        <c:crosses val="autoZero"/>
        <c:crossBetween val="between"/>
      </c:valAx>
    </c:plotArea>
    <c:plotVisOnly val="1"/>
  </c:chart>
  <c:externalData r:id="rId1"/>
  <c:userShapes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Лист3!$B$117</c:f>
              <c:strCache>
                <c:ptCount val="1"/>
                <c:pt idx="0">
                  <c:v>Электропотребление домашних хозяйств, приходящееся на 1 чел, кВт.ч</c:v>
                </c:pt>
              </c:strCache>
            </c:strRef>
          </c:tx>
          <c:dLbls>
            <c:txPr>
              <a:bodyPr/>
              <a:lstStyle/>
              <a:p>
                <a:pPr>
                  <a:defRPr sz="700"/>
                </a:pPr>
                <a:endParaRPr lang="ru-RU"/>
              </a:p>
            </c:txPr>
            <c:showVal val="1"/>
          </c:dLbls>
          <c:cat>
            <c:strRef>
              <c:f>Лист3!$A$118:$A$148</c:f>
              <c:strCache>
                <c:ptCount val="31"/>
                <c:pt idx="0">
                  <c:v>Норвегия</c:v>
                </c:pt>
                <c:pt idx="1">
                  <c:v>США</c:v>
                </c:pt>
                <c:pt idx="2">
                  <c:v>Канада</c:v>
                </c:pt>
                <c:pt idx="3">
                  <c:v>Швеция</c:v>
                </c:pt>
                <c:pt idx="4">
                  <c:v>Финляндия</c:v>
                </c:pt>
                <c:pt idx="5">
                  <c:v>OECD Total</c:v>
                </c:pt>
                <c:pt idx="6">
                  <c:v>Франция</c:v>
                </c:pt>
                <c:pt idx="7">
                  <c:v>Швецария</c:v>
                </c:pt>
                <c:pt idx="8">
                  <c:v>Япония</c:v>
                </c:pt>
                <c:pt idx="9">
                  <c:v>Австрия</c:v>
                </c:pt>
                <c:pt idx="10">
                  <c:v>OECD Asia</c:v>
                </c:pt>
                <c:pt idx="11">
                  <c:v>Великобритания</c:v>
                </c:pt>
                <c:pt idx="12">
                  <c:v>Дания</c:v>
                </c:pt>
                <c:pt idx="13">
                  <c:v>Бельгия</c:v>
                </c:pt>
                <c:pt idx="14">
                  <c:v>Германия</c:v>
                </c:pt>
                <c:pt idx="15">
                  <c:v>Люксембург</c:v>
                </c:pt>
                <c:pt idx="16">
                  <c:v>Испания</c:v>
                </c:pt>
                <c:pt idx="17">
                  <c:v>OECD Europe</c:v>
                </c:pt>
                <c:pt idx="18">
                  <c:v>Словения</c:v>
                </c:pt>
                <c:pt idx="19">
                  <c:v>Нидерланды</c:v>
                </c:pt>
                <c:pt idx="20">
                  <c:v>Греция</c:v>
                </c:pt>
                <c:pt idx="21">
                  <c:v>Чехия</c:v>
                </c:pt>
                <c:pt idx="22">
                  <c:v>Португалия</c:v>
                </c:pt>
                <c:pt idx="23">
                  <c:v>Корея</c:v>
                </c:pt>
                <c:pt idx="24">
                  <c:v>Болгария</c:v>
                </c:pt>
                <c:pt idx="25">
                  <c:v>Италия</c:v>
                </c:pt>
                <c:pt idx="26">
                  <c:v>Венгрия</c:v>
                </c:pt>
                <c:pt idx="27">
                  <c:v>Россия</c:v>
                </c:pt>
                <c:pt idx="28">
                  <c:v>Словакия</c:v>
                </c:pt>
                <c:pt idx="29">
                  <c:v>Польша</c:v>
                </c:pt>
                <c:pt idx="30">
                  <c:v>Турция</c:v>
                </c:pt>
              </c:strCache>
            </c:strRef>
          </c:cat>
          <c:val>
            <c:numRef>
              <c:f>Лист3!$B$118:$B$148</c:f>
              <c:numCache>
                <c:formatCode>General</c:formatCode>
                <c:ptCount val="31"/>
                <c:pt idx="0">
                  <c:v>7350</c:v>
                </c:pt>
                <c:pt idx="1">
                  <c:v>4590</c:v>
                </c:pt>
                <c:pt idx="2">
                  <c:v>4390</c:v>
                </c:pt>
                <c:pt idx="3">
                  <c:v>4315</c:v>
                </c:pt>
                <c:pt idx="4">
                  <c:v>4235</c:v>
                </c:pt>
                <c:pt idx="5">
                  <c:v>2440</c:v>
                </c:pt>
                <c:pt idx="6">
                  <c:v>2390</c:v>
                </c:pt>
                <c:pt idx="7">
                  <c:v>2340</c:v>
                </c:pt>
                <c:pt idx="8">
                  <c:v>2265</c:v>
                </c:pt>
                <c:pt idx="9">
                  <c:v>2160</c:v>
                </c:pt>
                <c:pt idx="10">
                  <c:v>2110</c:v>
                </c:pt>
                <c:pt idx="11">
                  <c:v>1840</c:v>
                </c:pt>
                <c:pt idx="12">
                  <c:v>1780</c:v>
                </c:pt>
                <c:pt idx="13">
                  <c:v>1770</c:v>
                </c:pt>
                <c:pt idx="14">
                  <c:v>1760</c:v>
                </c:pt>
                <c:pt idx="15">
                  <c:v>1730</c:v>
                </c:pt>
                <c:pt idx="16">
                  <c:v>1700</c:v>
                </c:pt>
                <c:pt idx="17">
                  <c:v>1620</c:v>
                </c:pt>
                <c:pt idx="18">
                  <c:v>1550</c:v>
                </c:pt>
                <c:pt idx="19">
                  <c:v>1490</c:v>
                </c:pt>
                <c:pt idx="20">
                  <c:v>1420</c:v>
                </c:pt>
                <c:pt idx="21">
                  <c:v>1350</c:v>
                </c:pt>
                <c:pt idx="22">
                  <c:v>1310</c:v>
                </c:pt>
                <c:pt idx="23">
                  <c:v>1300</c:v>
                </c:pt>
                <c:pt idx="24">
                  <c:v>1300</c:v>
                </c:pt>
                <c:pt idx="25">
                  <c:v>1160</c:v>
                </c:pt>
                <c:pt idx="26">
                  <c:v>1130</c:v>
                </c:pt>
                <c:pt idx="27">
                  <c:v>915</c:v>
                </c:pt>
                <c:pt idx="28">
                  <c:v>810</c:v>
                </c:pt>
                <c:pt idx="29">
                  <c:v>760</c:v>
                </c:pt>
                <c:pt idx="30">
                  <c:v>620</c:v>
                </c:pt>
              </c:numCache>
            </c:numRef>
          </c:val>
        </c:ser>
        <c:axId val="272470784"/>
        <c:axId val="272472320"/>
      </c:barChart>
      <c:catAx>
        <c:axId val="272470784"/>
        <c:scaling>
          <c:orientation val="minMax"/>
        </c:scaling>
        <c:axPos val="b"/>
        <c:tickLblPos val="nextTo"/>
        <c:txPr>
          <a:bodyPr rot="-5400000" vert="horz"/>
          <a:lstStyle/>
          <a:p>
            <a:pPr>
              <a:defRPr/>
            </a:pPr>
            <a:endParaRPr lang="ru-RU"/>
          </a:p>
        </c:txPr>
        <c:crossAx val="272472320"/>
        <c:crosses val="autoZero"/>
        <c:auto val="1"/>
        <c:lblAlgn val="ctr"/>
        <c:lblOffset val="100"/>
        <c:tickLblSkip val="1"/>
      </c:catAx>
      <c:valAx>
        <c:axId val="272472320"/>
        <c:scaling>
          <c:orientation val="minMax"/>
        </c:scaling>
        <c:axPos val="l"/>
        <c:majorGridlines/>
        <c:numFmt formatCode="General" sourceLinked="1"/>
        <c:tickLblPos val="nextTo"/>
        <c:crossAx val="272470784"/>
        <c:crosses val="autoZero"/>
        <c:crossBetween val="between"/>
      </c:valAx>
    </c:plotArea>
    <c:plotVisOnly val="1"/>
  </c:chart>
  <c:externalData r:id="rId1"/>
  <c:userShapes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4848402570368359E-2"/>
          <c:y val="3.9058985433698172E-2"/>
          <c:w val="0.93931004314115907"/>
          <c:h val="0.46216253976005289"/>
        </c:manualLayout>
      </c:layout>
      <c:barChart>
        <c:barDir val="col"/>
        <c:grouping val="clustered"/>
        <c:ser>
          <c:idx val="0"/>
          <c:order val="0"/>
          <c:tx>
            <c:strRef>
              <c:f>Лист3!$G$117</c:f>
              <c:strCache>
                <c:ptCount val="1"/>
                <c:pt idx="0">
                  <c:v>% расходов на эл/энергию в доходах населения</c:v>
                </c:pt>
              </c:strCache>
            </c:strRef>
          </c:tx>
          <c:dLbls>
            <c:dLbl>
              <c:idx val="0"/>
              <c:layout>
                <c:manualLayout>
                  <c:x val="0"/>
                  <c:y val="9.3639070310011525E-3"/>
                </c:manualLayout>
              </c:layout>
              <c:showVal val="1"/>
            </c:dLbl>
            <c:txPr>
              <a:bodyPr/>
              <a:lstStyle/>
              <a:p>
                <a:pPr>
                  <a:defRPr sz="700"/>
                </a:pPr>
                <a:endParaRPr lang="ru-RU"/>
              </a:p>
            </c:txPr>
            <c:showVal val="1"/>
          </c:dLbls>
          <c:cat>
            <c:strRef>
              <c:f>Лист3!$F$118:$F$151</c:f>
              <c:strCache>
                <c:ptCount val="34"/>
                <c:pt idx="0">
                  <c:v>Россия (эл + тепло, город) 2013</c:v>
                </c:pt>
                <c:pt idx="1">
                  <c:v>Венгрия</c:v>
                </c:pt>
                <c:pt idx="2">
                  <c:v>Россия 2013 (город)</c:v>
                </c:pt>
                <c:pt idx="3">
                  <c:v>Болгария, 2012</c:v>
                </c:pt>
                <c:pt idx="4">
                  <c:v>Россия (эл + тепло, город) 2012</c:v>
                </c:pt>
                <c:pt idx="5">
                  <c:v>Болгария, 2011</c:v>
                </c:pt>
                <c:pt idx="6">
                  <c:v>Швеция</c:v>
                </c:pt>
                <c:pt idx="7">
                  <c:v>Финляндия</c:v>
                </c:pt>
                <c:pt idx="8">
                  <c:v>Испания</c:v>
                </c:pt>
                <c:pt idx="9">
                  <c:v>Чехия</c:v>
                </c:pt>
                <c:pt idx="10">
                  <c:v>Португалия</c:v>
                </c:pt>
                <c:pt idx="11">
                  <c:v>Норвегия</c:v>
                </c:pt>
                <c:pt idx="12">
                  <c:v>Словакия</c:v>
                </c:pt>
                <c:pt idx="13">
                  <c:v>Германия</c:v>
                </c:pt>
                <c:pt idx="14">
                  <c:v>Польша</c:v>
                </c:pt>
                <c:pt idx="15">
                  <c:v>Дания</c:v>
                </c:pt>
                <c:pt idx="16">
                  <c:v>Словения</c:v>
                </c:pt>
                <c:pt idx="17">
                  <c:v>Австрия</c:v>
                </c:pt>
                <c:pt idx="18">
                  <c:v>Япония</c:v>
                </c:pt>
                <c:pt idx="19">
                  <c:v>Бельгия</c:v>
                </c:pt>
                <c:pt idx="20">
                  <c:v>США</c:v>
                </c:pt>
                <c:pt idx="21">
                  <c:v>Греция</c:v>
                </c:pt>
                <c:pt idx="22">
                  <c:v>Турция</c:v>
                </c:pt>
                <c:pt idx="23">
                  <c:v>Великобритания</c:v>
                </c:pt>
                <c:pt idx="24">
                  <c:v>Италия</c:v>
                </c:pt>
                <c:pt idx="25">
                  <c:v>Франция</c:v>
                </c:pt>
                <c:pt idx="26">
                  <c:v>Нидерланды</c:v>
                </c:pt>
                <c:pt idx="27">
                  <c:v>Россия (город), 2012</c:v>
                </c:pt>
                <c:pt idx="28">
                  <c:v>Канада</c:v>
                </c:pt>
                <c:pt idx="29">
                  <c:v>Швецария</c:v>
                </c:pt>
                <c:pt idx="30">
                  <c:v>Россия, 2012</c:v>
                </c:pt>
                <c:pt idx="31">
                  <c:v>Россия</c:v>
                </c:pt>
                <c:pt idx="32">
                  <c:v>Люксембург</c:v>
                </c:pt>
                <c:pt idx="33">
                  <c:v>Корея</c:v>
                </c:pt>
              </c:strCache>
            </c:strRef>
          </c:cat>
          <c:val>
            <c:numRef>
              <c:f>Лист3!$G$118:$G$151</c:f>
              <c:numCache>
                <c:formatCode>General</c:formatCode>
                <c:ptCount val="34"/>
                <c:pt idx="0">
                  <c:v>4.2</c:v>
                </c:pt>
                <c:pt idx="1">
                  <c:v>3.9699999999999998</c:v>
                </c:pt>
                <c:pt idx="2">
                  <c:v>3.8499999999999988</c:v>
                </c:pt>
                <c:pt idx="3">
                  <c:v>3.62</c:v>
                </c:pt>
                <c:pt idx="4">
                  <c:v>3.6</c:v>
                </c:pt>
                <c:pt idx="5">
                  <c:v>3.52</c:v>
                </c:pt>
                <c:pt idx="6">
                  <c:v>3.04</c:v>
                </c:pt>
                <c:pt idx="7">
                  <c:v>2.72</c:v>
                </c:pt>
                <c:pt idx="8">
                  <c:v>2.64</c:v>
                </c:pt>
                <c:pt idx="9">
                  <c:v>2.4699999999999998</c:v>
                </c:pt>
                <c:pt idx="10">
                  <c:v>2.38</c:v>
                </c:pt>
                <c:pt idx="11">
                  <c:v>2.29</c:v>
                </c:pt>
                <c:pt idx="12">
                  <c:v>2.0699999999999998</c:v>
                </c:pt>
                <c:pt idx="13">
                  <c:v>2.0329999999999977</c:v>
                </c:pt>
                <c:pt idx="14">
                  <c:v>1.9200000000000021</c:v>
                </c:pt>
                <c:pt idx="15">
                  <c:v>1.905</c:v>
                </c:pt>
                <c:pt idx="16">
                  <c:v>1.76</c:v>
                </c:pt>
                <c:pt idx="17">
                  <c:v>1.71</c:v>
                </c:pt>
                <c:pt idx="18">
                  <c:v>1.6400000000000001</c:v>
                </c:pt>
                <c:pt idx="19">
                  <c:v>1.53</c:v>
                </c:pt>
                <c:pt idx="20">
                  <c:v>1.52</c:v>
                </c:pt>
                <c:pt idx="21">
                  <c:v>1.44</c:v>
                </c:pt>
                <c:pt idx="22">
                  <c:v>1.3800000000000001</c:v>
                </c:pt>
                <c:pt idx="23">
                  <c:v>1.31</c:v>
                </c:pt>
                <c:pt idx="24">
                  <c:v>1.28</c:v>
                </c:pt>
                <c:pt idx="25">
                  <c:v>1.23</c:v>
                </c:pt>
                <c:pt idx="26">
                  <c:v>1.1100000000000001</c:v>
                </c:pt>
                <c:pt idx="27">
                  <c:v>1.05</c:v>
                </c:pt>
                <c:pt idx="28">
                  <c:v>1.03</c:v>
                </c:pt>
                <c:pt idx="29">
                  <c:v>0.92500000000000004</c:v>
                </c:pt>
                <c:pt idx="30" formatCode="0.00">
                  <c:v>0.9</c:v>
                </c:pt>
                <c:pt idx="31">
                  <c:v>0.86400000000000265</c:v>
                </c:pt>
                <c:pt idx="32">
                  <c:v>0.75500000000000356</c:v>
                </c:pt>
                <c:pt idx="33">
                  <c:v>0.58399999999999996</c:v>
                </c:pt>
              </c:numCache>
            </c:numRef>
          </c:val>
        </c:ser>
        <c:axId val="274047360"/>
        <c:axId val="274049664"/>
      </c:barChart>
      <c:catAx>
        <c:axId val="274047360"/>
        <c:scaling>
          <c:orientation val="minMax"/>
        </c:scaling>
        <c:axPos val="b"/>
        <c:numFmt formatCode="General" sourceLinked="1"/>
        <c:tickLblPos val="nextTo"/>
        <c:txPr>
          <a:bodyPr rot="-5400000" vert="horz"/>
          <a:lstStyle/>
          <a:p>
            <a:pPr>
              <a:defRPr/>
            </a:pPr>
            <a:endParaRPr lang="ru-RU"/>
          </a:p>
        </c:txPr>
        <c:crossAx val="274049664"/>
        <c:crosses val="autoZero"/>
        <c:auto val="1"/>
        <c:lblAlgn val="ctr"/>
        <c:lblOffset val="100"/>
        <c:tickLblSkip val="1"/>
      </c:catAx>
      <c:valAx>
        <c:axId val="274049664"/>
        <c:scaling>
          <c:orientation val="minMax"/>
        </c:scaling>
        <c:axPos val="l"/>
        <c:majorGridlines/>
        <c:numFmt formatCode="General" sourceLinked="1"/>
        <c:tickLblPos val="nextTo"/>
        <c:crossAx val="274047360"/>
        <c:crosses val="autoZero"/>
        <c:crossBetween val="between"/>
      </c:valAx>
    </c:plotArea>
    <c:plotVisOnly val="1"/>
  </c:chart>
  <c:externalData r:id="rId1"/>
  <c:userShapes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10506566604127721"/>
          <c:y val="8.4795563766574558E-2"/>
          <c:w val="0.59287054409005557"/>
          <c:h val="0.79824789338877722"/>
        </c:manualLayout>
      </c:layout>
      <c:barChart>
        <c:barDir val="col"/>
        <c:grouping val="clustered"/>
        <c:ser>
          <c:idx val="0"/>
          <c:order val="0"/>
          <c:tx>
            <c:strRef>
              <c:f>'Лист1 (2)'!$D$27</c:f>
              <c:strCache>
                <c:ptCount val="1"/>
                <c:pt idx="0">
                  <c:v>Внутренняя цена</c:v>
                </c:pt>
              </c:strCache>
            </c:strRef>
          </c:tx>
          <c:dLbls>
            <c:numFmt formatCode="#,##0.0" sourceLinked="0"/>
            <c:showVal val="1"/>
          </c:dLbls>
          <c:cat>
            <c:strRef>
              <c:f>'Лист1 (2)'!$A$28:$A$30</c:f>
              <c:strCache>
                <c:ptCount val="3"/>
                <c:pt idx="0">
                  <c:v>Газ</c:v>
                </c:pt>
                <c:pt idx="1">
                  <c:v>Уголь</c:v>
                </c:pt>
                <c:pt idx="2">
                  <c:v>Нефть</c:v>
                </c:pt>
              </c:strCache>
            </c:strRef>
          </c:cat>
          <c:val>
            <c:numRef>
              <c:f>'Лист1 (2)'!$D$28:$D$30</c:f>
              <c:numCache>
                <c:formatCode>0</c:formatCode>
                <c:ptCount val="3"/>
                <c:pt idx="0">
                  <c:v>101.71482223335002</c:v>
                </c:pt>
                <c:pt idx="1">
                  <c:v>38.2105658487733</c:v>
                </c:pt>
                <c:pt idx="2">
                  <c:v>320.40535803705529</c:v>
                </c:pt>
              </c:numCache>
            </c:numRef>
          </c:val>
        </c:ser>
        <c:ser>
          <c:idx val="2"/>
          <c:order val="1"/>
          <c:tx>
            <c:strRef>
              <c:f>'Лист1 (2)'!$E$27</c:f>
              <c:strCache>
                <c:ptCount val="1"/>
                <c:pt idx="0">
                  <c:v>Экспортная цена</c:v>
                </c:pt>
              </c:strCache>
            </c:strRef>
          </c:tx>
          <c:spPr>
            <a:solidFill>
              <a:schemeClr val="accent2"/>
            </a:solidFill>
            <a:ln>
              <a:solidFill>
                <a:schemeClr val="accent2"/>
              </a:solidFill>
            </a:ln>
          </c:spPr>
          <c:dLbls>
            <c:dLbl>
              <c:idx val="1"/>
              <c:layout>
                <c:manualLayout>
                  <c:x val="0"/>
                  <c:y val="-1.9493177387914472E-2"/>
                </c:manualLayout>
              </c:layout>
              <c:showVal val="1"/>
            </c:dLbl>
            <c:numFmt formatCode="#,##0.0" sourceLinked="0"/>
            <c:showVal val="1"/>
          </c:dLbls>
          <c:cat>
            <c:strRef>
              <c:f>'Лист1 (2)'!$A$28:$A$30</c:f>
              <c:strCache>
                <c:ptCount val="3"/>
                <c:pt idx="0">
                  <c:v>Газ</c:v>
                </c:pt>
                <c:pt idx="1">
                  <c:v>Уголь</c:v>
                </c:pt>
                <c:pt idx="2">
                  <c:v>Нефть</c:v>
                </c:pt>
              </c:strCache>
            </c:strRef>
          </c:cat>
          <c:val>
            <c:numRef>
              <c:f>'Лист1 (2)'!$E$28:$E$30</c:f>
              <c:numCache>
                <c:formatCode>0.0</c:formatCode>
                <c:ptCount val="3"/>
                <c:pt idx="0" formatCode="0.00">
                  <c:v>274.26237356034056</c:v>
                </c:pt>
                <c:pt idx="1">
                  <c:v>77.099999999999994</c:v>
                </c:pt>
                <c:pt idx="2" formatCode="0.00">
                  <c:v>630.19948452679455</c:v>
                </c:pt>
              </c:numCache>
            </c:numRef>
          </c:val>
        </c:ser>
        <c:axId val="274147200"/>
        <c:axId val="274148736"/>
      </c:barChart>
      <c:catAx>
        <c:axId val="274147200"/>
        <c:scaling>
          <c:orientation val="minMax"/>
        </c:scaling>
        <c:axPos val="b"/>
        <c:numFmt formatCode="General" sourceLinked="1"/>
        <c:tickLblPos val="nextTo"/>
        <c:crossAx val="274148736"/>
        <c:crosses val="autoZero"/>
        <c:auto val="1"/>
        <c:lblAlgn val="ctr"/>
        <c:lblOffset val="100"/>
      </c:catAx>
      <c:valAx>
        <c:axId val="274148736"/>
        <c:scaling>
          <c:orientation val="minMax"/>
        </c:scaling>
        <c:axPos val="l"/>
        <c:majorGridlines/>
        <c:numFmt formatCode="_-* #,##0_р_._-;\-* #,##0_р_._-;_-* &quot;-&quot;??_р_._-;_-@_-" sourceLinked="0"/>
        <c:tickLblPos val="nextTo"/>
        <c:crossAx val="274147200"/>
        <c:crosses val="autoZero"/>
        <c:crossBetween val="between"/>
      </c:valAx>
    </c:plotArea>
    <c:legend>
      <c:legendPos val="r"/>
      <c:layout>
        <c:manualLayout>
          <c:xMode val="edge"/>
          <c:yMode val="edge"/>
          <c:x val="0.70731707317073167"/>
          <c:y val="0.38304216358920679"/>
          <c:w val="0.28330206378987693"/>
          <c:h val="0.21052692974781634"/>
        </c:manualLayout>
      </c:layout>
    </c:legend>
    <c:plotVisOnly val="1"/>
    <c:dispBlanksAs val="gap"/>
  </c:chart>
  <c:externalData r:id="rId1"/>
  <c:userShapes r:id="rId2"/>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148339381074618E-2"/>
          <c:y val="9.0277890521417228E-2"/>
          <c:w val="0.56041666666666656"/>
          <c:h val="0.75000000000000711"/>
        </c:manualLayout>
      </c:layout>
      <c:barChart>
        <c:barDir val="col"/>
        <c:grouping val="clustered"/>
        <c:ser>
          <c:idx val="0"/>
          <c:order val="0"/>
          <c:tx>
            <c:strRef>
              <c:f>'Лист1 (2)'!$E$21</c:f>
              <c:strCache>
                <c:ptCount val="1"/>
                <c:pt idx="0">
                  <c:v>Внутренняя цена</c:v>
                </c:pt>
              </c:strCache>
            </c:strRef>
          </c:tx>
          <c:dLbls>
            <c:dLbl>
              <c:idx val="0"/>
              <c:layout>
                <c:manualLayout>
                  <c:x val="-9.9712198863565731E-3"/>
                  <c:y val="5.7745504131442252E-3"/>
                </c:manualLayout>
              </c:layout>
              <c:showVal val="1"/>
            </c:dLbl>
            <c:showVal val="1"/>
          </c:dLbls>
          <c:cat>
            <c:strRef>
              <c:f>'Лист1 (2)'!$A$22:$A$24</c:f>
              <c:strCache>
                <c:ptCount val="3"/>
                <c:pt idx="0">
                  <c:v>Газ</c:v>
                </c:pt>
                <c:pt idx="1">
                  <c:v>Уголь</c:v>
                </c:pt>
                <c:pt idx="2">
                  <c:v>Нефть</c:v>
                </c:pt>
              </c:strCache>
            </c:strRef>
          </c:cat>
          <c:val>
            <c:numRef>
              <c:f>'Лист1 (2)'!$E$22:$E$24</c:f>
              <c:numCache>
                <c:formatCode>0.0</c:formatCode>
                <c:ptCount val="3"/>
                <c:pt idx="0">
                  <c:v>162.82525050100199</c:v>
                </c:pt>
                <c:pt idx="1">
                  <c:v>61.167535070140289</c:v>
                </c:pt>
                <c:pt idx="2">
                  <c:v>512.90581162324656</c:v>
                </c:pt>
              </c:numCache>
            </c:numRef>
          </c:val>
        </c:ser>
        <c:ser>
          <c:idx val="1"/>
          <c:order val="1"/>
          <c:tx>
            <c:strRef>
              <c:f>'Лист1 (2)'!$F$21</c:f>
              <c:strCache>
                <c:ptCount val="1"/>
                <c:pt idx="0">
                  <c:v>Равновесная с ЕС цена</c:v>
                </c:pt>
              </c:strCache>
            </c:strRef>
          </c:tx>
          <c:spPr>
            <a:solidFill>
              <a:schemeClr val="accent3"/>
            </a:solidFill>
            <a:ln>
              <a:solidFill>
                <a:schemeClr val="accent3"/>
              </a:solidFill>
            </a:ln>
          </c:spPr>
          <c:dLbls>
            <c:dLbl>
              <c:idx val="0"/>
              <c:layout>
                <c:manualLayout>
                  <c:x val="-6.6745953344920514E-3"/>
                  <c:y val="-4.959664618802051E-2"/>
                </c:manualLayout>
              </c:layout>
              <c:showVal val="1"/>
            </c:dLbl>
            <c:showVal val="1"/>
          </c:dLbls>
          <c:cat>
            <c:strRef>
              <c:f>'Лист1 (2)'!$A$22:$A$24</c:f>
              <c:strCache>
                <c:ptCount val="3"/>
                <c:pt idx="0">
                  <c:v>Газ</c:v>
                </c:pt>
                <c:pt idx="1">
                  <c:v>Уголь</c:v>
                </c:pt>
                <c:pt idx="2">
                  <c:v>Нефть</c:v>
                </c:pt>
              </c:strCache>
            </c:strRef>
          </c:cat>
          <c:val>
            <c:numRef>
              <c:f>'Лист1 (2)'!$F$22:$F$24</c:f>
              <c:numCache>
                <c:formatCode>General</c:formatCode>
                <c:ptCount val="3"/>
                <c:pt idx="0" formatCode="0.0">
                  <c:v>153.69999999999999</c:v>
                </c:pt>
              </c:numCache>
            </c:numRef>
          </c:val>
        </c:ser>
        <c:ser>
          <c:idx val="2"/>
          <c:order val="2"/>
          <c:tx>
            <c:strRef>
              <c:f>'Лист1 (2)'!$G$21</c:f>
              <c:strCache>
                <c:ptCount val="1"/>
                <c:pt idx="0">
                  <c:v>Экспортная цена</c:v>
                </c:pt>
              </c:strCache>
            </c:strRef>
          </c:tx>
          <c:spPr>
            <a:solidFill>
              <a:schemeClr val="accent2"/>
            </a:solidFill>
            <a:ln>
              <a:solidFill>
                <a:schemeClr val="accent2"/>
              </a:solidFill>
            </a:ln>
          </c:spPr>
          <c:dLbls>
            <c:dLbl>
              <c:idx val="0"/>
              <c:layout>
                <c:manualLayout>
                  <c:x val="8.2368085661785381E-3"/>
                  <c:y val="9.4579514533253747E-3"/>
                </c:manualLayout>
              </c:layout>
              <c:tx>
                <c:rich>
                  <a:bodyPr/>
                  <a:lstStyle/>
                  <a:p>
                    <a:r>
                      <a:rPr lang="en-US"/>
                      <a:t>249,</a:t>
                    </a:r>
                    <a:r>
                      <a:rPr lang="ru-RU"/>
                      <a:t>4</a:t>
                    </a:r>
                    <a:endParaRPr lang="en-US"/>
                  </a:p>
                </c:rich>
              </c:tx>
              <c:showVal val="1"/>
            </c:dLbl>
            <c:dLbl>
              <c:idx val="1"/>
              <c:tx>
                <c:rich>
                  <a:bodyPr/>
                  <a:lstStyle/>
                  <a:p>
                    <a:r>
                      <a:rPr lang="ru-RU"/>
                      <a:t>70,0</a:t>
                    </a:r>
                    <a:endParaRPr lang="en-US"/>
                  </a:p>
                </c:rich>
              </c:tx>
              <c:showVal val="1"/>
            </c:dLbl>
            <c:showVal val="1"/>
          </c:dLbls>
          <c:cat>
            <c:strRef>
              <c:f>'Лист1 (2)'!$A$22:$A$24</c:f>
              <c:strCache>
                <c:ptCount val="3"/>
                <c:pt idx="0">
                  <c:v>Газ</c:v>
                </c:pt>
                <c:pt idx="1">
                  <c:v>Уголь</c:v>
                </c:pt>
                <c:pt idx="2">
                  <c:v>Нефть</c:v>
                </c:pt>
              </c:strCache>
            </c:strRef>
          </c:cat>
          <c:val>
            <c:numRef>
              <c:f>'Лист1 (2)'!$G$22:$G$24</c:f>
              <c:numCache>
                <c:formatCode>0.0</c:formatCode>
                <c:ptCount val="3"/>
                <c:pt idx="0">
                  <c:v>249.32943050940102</c:v>
                </c:pt>
                <c:pt idx="1">
                  <c:v>69.815177311421024</c:v>
                </c:pt>
                <c:pt idx="2">
                  <c:v>572.90862229708193</c:v>
                </c:pt>
              </c:numCache>
            </c:numRef>
          </c:val>
        </c:ser>
        <c:axId val="274073088"/>
        <c:axId val="274074624"/>
      </c:barChart>
      <c:catAx>
        <c:axId val="274073088"/>
        <c:scaling>
          <c:orientation val="minMax"/>
        </c:scaling>
        <c:axPos val="b"/>
        <c:numFmt formatCode="General" sourceLinked="1"/>
        <c:tickLblPos val="nextTo"/>
        <c:crossAx val="274074624"/>
        <c:crosses val="autoZero"/>
        <c:auto val="1"/>
        <c:lblAlgn val="ctr"/>
        <c:lblOffset val="100"/>
      </c:catAx>
      <c:valAx>
        <c:axId val="274074624"/>
        <c:scaling>
          <c:orientation val="minMax"/>
        </c:scaling>
        <c:axPos val="l"/>
        <c:majorGridlines/>
        <c:title>
          <c:tx>
            <c:rich>
              <a:bodyPr rot="0" vert="horz"/>
              <a:lstStyle/>
              <a:p>
                <a:pPr algn="ctr">
                  <a:defRPr sz="1000" b="1" i="0" u="none" strike="noStrike" baseline="0">
                    <a:solidFill>
                      <a:srgbClr val="000000"/>
                    </a:solidFill>
                    <a:latin typeface="Calibri"/>
                    <a:ea typeface="Calibri"/>
                    <a:cs typeface="Calibri"/>
                  </a:defRPr>
                </a:pPr>
                <a:r>
                  <a:rPr lang="ru-RU"/>
                  <a:t>ППС</a:t>
                </a:r>
              </a:p>
            </c:rich>
          </c:tx>
          <c:layout>
            <c:manualLayout>
              <c:xMode val="edge"/>
              <c:yMode val="edge"/>
              <c:x val="1.1027989684201161E-2"/>
              <c:y val="6.1891455453447333E-2"/>
            </c:manualLayout>
          </c:layout>
          <c:spPr>
            <a:solidFill>
              <a:srgbClr val="FFFFFF"/>
            </a:solidFill>
            <a:ln w="25400">
              <a:noFill/>
            </a:ln>
          </c:spPr>
        </c:title>
        <c:numFmt formatCode="0" sourceLinked="0"/>
        <c:tickLblPos val="nextTo"/>
        <c:crossAx val="274073088"/>
        <c:crosses val="autoZero"/>
        <c:crossBetween val="between"/>
      </c:valAx>
    </c:plotArea>
    <c:legend>
      <c:legendPos val="r"/>
      <c:layout>
        <c:manualLayout>
          <c:xMode val="edge"/>
          <c:yMode val="edge"/>
          <c:x val="0.66875131233596885"/>
          <c:y val="0.37457152907433294"/>
          <c:w val="0.31458398950131528"/>
          <c:h val="0.24742340197166351"/>
        </c:manualLayout>
      </c:layout>
    </c:legend>
    <c:plotVisOnly val="1"/>
    <c:dispBlanksAs val="gap"/>
  </c:chart>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632593627560344E-2"/>
          <c:y val="6.6062954506949434E-2"/>
          <c:w val="0.68489476938458271"/>
          <c:h val="0.80371074648421925"/>
        </c:manualLayout>
      </c:layout>
      <c:barChart>
        <c:barDir val="col"/>
        <c:grouping val="clustered"/>
        <c:ser>
          <c:idx val="2"/>
          <c:order val="0"/>
          <c:tx>
            <c:strRef>
              <c:f>'Лист1 (2)'!$H$21</c:f>
              <c:strCache>
                <c:ptCount val="1"/>
                <c:pt idx="0">
                  <c:v>Россия</c:v>
                </c:pt>
              </c:strCache>
            </c:strRef>
          </c:tx>
          <c:spPr>
            <a:solidFill>
              <a:schemeClr val="accent2"/>
            </a:solidFill>
            <a:ln>
              <a:solidFill>
                <a:schemeClr val="accent2"/>
              </a:solidFill>
            </a:ln>
          </c:spPr>
          <c:dLbls>
            <c:dLbl>
              <c:idx val="0"/>
              <c:layout>
                <c:manualLayout>
                  <c:x val="-9.1676942306317556E-3"/>
                  <c:y val="-6.4862830081884723E-3"/>
                </c:manualLayout>
              </c:layout>
              <c:showVal val="1"/>
            </c:dLbl>
            <c:showVal val="1"/>
          </c:dLbls>
          <c:cat>
            <c:strRef>
              <c:f>'Лист1 (2)'!$A$22:$A$24</c:f>
              <c:strCache>
                <c:ptCount val="3"/>
                <c:pt idx="0">
                  <c:v>Газ</c:v>
                </c:pt>
                <c:pt idx="1">
                  <c:v>Уголь</c:v>
                </c:pt>
                <c:pt idx="2">
                  <c:v>Нефть</c:v>
                </c:pt>
              </c:strCache>
            </c:strRef>
          </c:cat>
          <c:val>
            <c:numRef>
              <c:f>'Лист1 (2)'!$H$22:$H$24</c:f>
              <c:numCache>
                <c:formatCode>0.0</c:formatCode>
                <c:ptCount val="3"/>
                <c:pt idx="0">
                  <c:v>130.75281622143547</c:v>
                </c:pt>
                <c:pt idx="1">
                  <c:v>49.119085934985563</c:v>
                </c:pt>
                <c:pt idx="2">
                  <c:v>411.8764081107177</c:v>
                </c:pt>
              </c:numCache>
            </c:numRef>
          </c:val>
        </c:ser>
        <c:ser>
          <c:idx val="0"/>
          <c:order val="1"/>
          <c:tx>
            <c:strRef>
              <c:f>'Лист1 (2)'!$I$21</c:f>
              <c:strCache>
                <c:ptCount val="1"/>
                <c:pt idx="0">
                  <c:v>США</c:v>
                </c:pt>
              </c:strCache>
            </c:strRef>
          </c:tx>
          <c:dLbls>
            <c:dLbl>
              <c:idx val="0"/>
              <c:layout>
                <c:manualLayout>
                  <c:x val="3.8104697254210751E-3"/>
                  <c:y val="7.6032953869024575E-3"/>
                </c:manualLayout>
              </c:layout>
              <c:showVal val="1"/>
            </c:dLbl>
            <c:showVal val="1"/>
          </c:dLbls>
          <c:cat>
            <c:strRef>
              <c:f>'Лист1 (2)'!$A$22:$A$24</c:f>
              <c:strCache>
                <c:ptCount val="3"/>
                <c:pt idx="0">
                  <c:v>Газ</c:v>
                </c:pt>
                <c:pt idx="1">
                  <c:v>Уголь</c:v>
                </c:pt>
                <c:pt idx="2">
                  <c:v>Нефть</c:v>
                </c:pt>
              </c:strCache>
            </c:strRef>
          </c:cat>
          <c:val>
            <c:numRef>
              <c:f>'Лист1 (2)'!$I$22:$I$24</c:f>
              <c:numCache>
                <c:formatCode>0.0</c:formatCode>
                <c:ptCount val="3"/>
                <c:pt idx="0">
                  <c:v>97</c:v>
                </c:pt>
                <c:pt idx="1">
                  <c:v>46</c:v>
                </c:pt>
                <c:pt idx="2">
                  <c:v>690.92580000000009</c:v>
                </c:pt>
              </c:numCache>
            </c:numRef>
          </c:val>
        </c:ser>
        <c:axId val="274121088"/>
        <c:axId val="274122624"/>
      </c:barChart>
      <c:catAx>
        <c:axId val="274121088"/>
        <c:scaling>
          <c:orientation val="minMax"/>
        </c:scaling>
        <c:axPos val="b"/>
        <c:numFmt formatCode="General" sourceLinked="1"/>
        <c:tickLblPos val="nextTo"/>
        <c:crossAx val="274122624"/>
        <c:crosses val="autoZero"/>
        <c:auto val="1"/>
        <c:lblAlgn val="ctr"/>
        <c:lblOffset val="100"/>
      </c:catAx>
      <c:valAx>
        <c:axId val="274122624"/>
        <c:scaling>
          <c:orientation val="minMax"/>
        </c:scaling>
        <c:axPos val="l"/>
        <c:majorGridlines/>
        <c:title>
          <c:tx>
            <c:rich>
              <a:bodyPr rot="0" vert="horz"/>
              <a:lstStyle/>
              <a:p>
                <a:pPr algn="ctr">
                  <a:defRPr sz="1000" b="1" i="0" u="none" strike="noStrike" baseline="0">
                    <a:solidFill>
                      <a:srgbClr val="000000"/>
                    </a:solidFill>
                    <a:latin typeface="Calibri"/>
                    <a:ea typeface="Calibri"/>
                    <a:cs typeface="Calibri"/>
                  </a:defRPr>
                </a:pPr>
                <a:r>
                  <a:rPr lang="en-US"/>
                  <a:t>$</a:t>
                </a:r>
                <a:r>
                  <a:rPr lang="ru-RU"/>
                  <a:t> ЦБ</a:t>
                </a:r>
              </a:p>
            </c:rich>
          </c:tx>
          <c:layout>
            <c:manualLayout>
              <c:xMode val="edge"/>
              <c:yMode val="edge"/>
              <c:x val="0.10438647066497768"/>
              <c:y val="3.4075253194657456E-4"/>
            </c:manualLayout>
          </c:layout>
          <c:spPr>
            <a:solidFill>
              <a:srgbClr val="FFFFFF"/>
            </a:solidFill>
            <a:ln w="25400">
              <a:noFill/>
            </a:ln>
          </c:spPr>
        </c:title>
        <c:numFmt formatCode="0" sourceLinked="0"/>
        <c:tickLblPos val="nextTo"/>
        <c:crossAx val="274121088"/>
        <c:crosses val="autoZero"/>
        <c:crossBetween val="between"/>
      </c:valAx>
    </c:plotArea>
    <c:legend>
      <c:legendPos val="r"/>
      <c:layout>
        <c:manualLayout>
          <c:xMode val="edge"/>
          <c:yMode val="edge"/>
          <c:x val="0.830471669371595"/>
          <c:y val="0.38537381305066143"/>
          <c:w val="0.14412187752948388"/>
          <c:h val="0.25859140248587065"/>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0682852143483072E-2"/>
          <c:y val="5.0450210117177992E-2"/>
          <c:w val="0.86952384976922559"/>
          <c:h val="0.8922295368816604"/>
        </c:manualLayout>
      </c:layout>
      <c:lineChart>
        <c:grouping val="standard"/>
        <c:ser>
          <c:idx val="0"/>
          <c:order val="0"/>
          <c:tx>
            <c:strRef>
              <c:f>макра!$A$2</c:f>
              <c:strCache>
                <c:ptCount val="1"/>
                <c:pt idx="0">
                  <c:v>Ввоз/вывоз капиталла за границу</c:v>
                </c:pt>
              </c:strCache>
            </c:strRef>
          </c:tx>
          <c:spPr>
            <a:ln>
              <a:solidFill>
                <a:srgbClr val="F517CB"/>
              </a:solidFill>
            </a:ln>
          </c:spPr>
          <c:marker>
            <c:symbol val="square"/>
            <c:size val="5"/>
            <c:spPr>
              <a:solidFill>
                <a:srgbClr val="F517CB"/>
              </a:solidFill>
              <a:ln>
                <a:solidFill>
                  <a:srgbClr val="F517CB"/>
                </a:solidFill>
              </a:ln>
            </c:spPr>
          </c:marker>
          <c:dPt>
            <c:idx val="13"/>
            <c:spPr>
              <a:ln>
                <a:solidFill>
                  <a:srgbClr val="F517CB"/>
                </a:solidFill>
                <a:prstDash val="dash"/>
              </a:ln>
            </c:spPr>
          </c:dPt>
          <c:dLbls>
            <c:dLbl>
              <c:idx val="0"/>
              <c:layout>
                <c:manualLayout>
                  <c:x val="-4.1666666666666671E-2"/>
                  <c:y val="6.0185185185185147E-2"/>
                </c:manualLayout>
              </c:layout>
              <c:showVal val="1"/>
            </c:dLbl>
            <c:dLbl>
              <c:idx val="3"/>
              <c:layout>
                <c:manualLayout>
                  <c:x val="-5.0000000000000024E-2"/>
                  <c:y val="-5.5555555555555455E-2"/>
                </c:manualLayout>
              </c:layout>
              <c:showVal val="1"/>
            </c:dLbl>
            <c:dLbl>
              <c:idx val="6"/>
              <c:layout>
                <c:manualLayout>
                  <c:x val="-9.1666666666667382E-2"/>
                  <c:y val="-1.3888888888888999E-2"/>
                </c:manualLayout>
              </c:layout>
              <c:showVal val="1"/>
            </c:dLbl>
            <c:dLbl>
              <c:idx val="7"/>
              <c:showVal val="1"/>
            </c:dLbl>
            <c:dLbl>
              <c:idx val="8"/>
              <c:showVal val="1"/>
            </c:dLbl>
            <c:dLbl>
              <c:idx val="10"/>
              <c:layout>
                <c:manualLayout>
                  <c:x val="-4.7222222222222394E-2"/>
                  <c:y val="6.4814814814815352E-2"/>
                </c:manualLayout>
              </c:layout>
              <c:showVal val="1"/>
            </c:dLbl>
            <c:dLbl>
              <c:idx val="11"/>
              <c:layout>
                <c:manualLayout>
                  <c:x val="-5.0000000000000024E-2"/>
                  <c:y val="5.0925925925926332E-2"/>
                </c:manualLayout>
              </c:layout>
              <c:showVal val="1"/>
            </c:dLbl>
            <c:dLbl>
              <c:idx val="12"/>
              <c:showVal val="1"/>
            </c:dLbl>
            <c:dLbl>
              <c:idx val="13"/>
              <c:layout>
                <c:manualLayout>
                  <c:x val="-3.0555555555555596E-2"/>
                  <c:y val="5.5555555555555455E-2"/>
                </c:manualLayout>
              </c:layout>
              <c:showVal val="1"/>
            </c:dLbl>
            <c:delete val="1"/>
          </c:dLbls>
          <c:cat>
            <c:numRef>
              <c:f>макра!$B$1:$O$1</c:f>
              <c:numCache>
                <c:formatCode>General</c:formatCode>
                <c:ptCount val="14"/>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numCache>
            </c:numRef>
          </c:cat>
          <c:val>
            <c:numRef>
              <c:f>макра!$B$2:$O$2</c:f>
              <c:numCache>
                <c:formatCode>General</c:formatCode>
                <c:ptCount val="14"/>
                <c:pt idx="0">
                  <c:v>-24.8</c:v>
                </c:pt>
                <c:pt idx="1">
                  <c:v>-15</c:v>
                </c:pt>
                <c:pt idx="2">
                  <c:v>-8.1</c:v>
                </c:pt>
                <c:pt idx="3">
                  <c:v>-1.9000000000000001</c:v>
                </c:pt>
                <c:pt idx="4">
                  <c:v>-8.9</c:v>
                </c:pt>
                <c:pt idx="5">
                  <c:v>-0.1</c:v>
                </c:pt>
                <c:pt idx="6">
                  <c:v>41.4</c:v>
                </c:pt>
                <c:pt idx="7">
                  <c:v>81.7</c:v>
                </c:pt>
                <c:pt idx="8">
                  <c:v>-133.69999999999999</c:v>
                </c:pt>
                <c:pt idx="9">
                  <c:v>-56.1</c:v>
                </c:pt>
                <c:pt idx="10">
                  <c:v>-34.4</c:v>
                </c:pt>
                <c:pt idx="11">
                  <c:v>-80.5</c:v>
                </c:pt>
                <c:pt idx="12">
                  <c:v>-54.1</c:v>
                </c:pt>
                <c:pt idx="13">
                  <c:v>-74</c:v>
                </c:pt>
              </c:numCache>
            </c:numRef>
          </c:val>
        </c:ser>
        <c:ser>
          <c:idx val="1"/>
          <c:order val="1"/>
          <c:spPr>
            <a:ln>
              <a:solidFill>
                <a:srgbClr val="FF0000"/>
              </a:solidFill>
              <a:prstDash val="dash"/>
            </a:ln>
          </c:spPr>
          <c:marker>
            <c:symbol val="none"/>
          </c:marker>
          <c:dLbls>
            <c:dLbl>
              <c:idx val="0"/>
              <c:layout>
                <c:manualLayout>
                  <c:x val="-0.15937798814597606"/>
                  <c:y val="0"/>
                </c:manualLayout>
              </c:layout>
              <c:spPr/>
              <c:txPr>
                <a:bodyPr/>
                <a:lstStyle/>
                <a:p>
                  <a:pPr>
                    <a:defRPr sz="1400" b="1">
                      <a:solidFill>
                        <a:srgbClr val="FF0000"/>
                      </a:solidFill>
                    </a:defRPr>
                  </a:pPr>
                  <a:endParaRPr lang="ru-RU"/>
                </a:p>
              </c:txPr>
              <c:showVal val="1"/>
            </c:dLbl>
            <c:delete val="1"/>
          </c:dLbls>
          <c:val>
            <c:numRef>
              <c:f>макра!$B$3:$O$3</c:f>
              <c:numCache>
                <c:formatCode>General</c:formatCode>
                <c:ptCount val="14"/>
                <c:pt idx="0">
                  <c:v>-72</c:v>
                </c:pt>
                <c:pt idx="1">
                  <c:v>-72</c:v>
                </c:pt>
                <c:pt idx="2">
                  <c:v>-72</c:v>
                </c:pt>
                <c:pt idx="3">
                  <c:v>-72</c:v>
                </c:pt>
                <c:pt idx="4">
                  <c:v>-72</c:v>
                </c:pt>
                <c:pt idx="5">
                  <c:v>-72</c:v>
                </c:pt>
                <c:pt idx="6">
                  <c:v>-72</c:v>
                </c:pt>
                <c:pt idx="7">
                  <c:v>-72</c:v>
                </c:pt>
                <c:pt idx="8">
                  <c:v>-72</c:v>
                </c:pt>
                <c:pt idx="9">
                  <c:v>-72</c:v>
                </c:pt>
                <c:pt idx="10">
                  <c:v>-72</c:v>
                </c:pt>
                <c:pt idx="11">
                  <c:v>-72</c:v>
                </c:pt>
                <c:pt idx="12">
                  <c:v>-72</c:v>
                </c:pt>
                <c:pt idx="13">
                  <c:v>-72</c:v>
                </c:pt>
              </c:numCache>
            </c:numRef>
          </c:val>
        </c:ser>
        <c:marker val="1"/>
        <c:axId val="251490688"/>
        <c:axId val="251492224"/>
      </c:lineChart>
      <c:catAx>
        <c:axId val="251490688"/>
        <c:scaling>
          <c:orientation val="minMax"/>
        </c:scaling>
        <c:axPos val="b"/>
        <c:numFmt formatCode="General" sourceLinked="1"/>
        <c:tickLblPos val="nextTo"/>
        <c:crossAx val="251492224"/>
        <c:crosses val="autoZero"/>
        <c:auto val="1"/>
        <c:lblAlgn val="ctr"/>
        <c:lblOffset val="100"/>
        <c:tickLblSkip val="2"/>
        <c:tickMarkSkip val="2"/>
      </c:catAx>
      <c:valAx>
        <c:axId val="251492224"/>
        <c:scaling>
          <c:orientation val="minMax"/>
        </c:scaling>
        <c:axPos val="l"/>
        <c:majorGridlines/>
        <c:numFmt formatCode="General" sourceLinked="1"/>
        <c:tickLblPos val="nextTo"/>
        <c:crossAx val="251490688"/>
        <c:crosses val="autoZero"/>
        <c:crossBetween val="between"/>
      </c:valAx>
    </c:plotArea>
    <c:plotVisOnly val="1"/>
  </c:chart>
  <c:externalData r:id="rId1"/>
  <c:userShapes r:id="rId2"/>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632653794665045E-2"/>
          <c:y val="9.0277931967092745E-2"/>
          <c:w val="0.71482528606960538"/>
          <c:h val="0.80371074648421925"/>
        </c:manualLayout>
      </c:layout>
      <c:barChart>
        <c:barDir val="col"/>
        <c:grouping val="clustered"/>
        <c:ser>
          <c:idx val="2"/>
          <c:order val="0"/>
          <c:tx>
            <c:strRef>
              <c:f>'Лист1 (2)'!$J$21</c:f>
              <c:strCache>
                <c:ptCount val="1"/>
                <c:pt idx="0">
                  <c:v>Россия</c:v>
                </c:pt>
              </c:strCache>
            </c:strRef>
          </c:tx>
          <c:spPr>
            <a:solidFill>
              <a:schemeClr val="accent2"/>
            </a:solidFill>
            <a:ln>
              <a:solidFill>
                <a:schemeClr val="accent2"/>
              </a:solidFill>
            </a:ln>
          </c:spPr>
          <c:dLbls>
            <c:dLbl>
              <c:idx val="0"/>
              <c:layout>
                <c:manualLayout>
                  <c:x val="-2.7538433697925652E-3"/>
                  <c:y val="3.8915518976184492E-3"/>
                </c:manualLayout>
              </c:layout>
              <c:showVal val="1"/>
            </c:dLbl>
            <c:dLbl>
              <c:idx val="1"/>
              <c:layout>
                <c:manualLayout>
                  <c:x val="-1.0689470871191877E-2"/>
                  <c:y val="0"/>
                </c:manualLayout>
              </c:layout>
              <c:showVal val="1"/>
            </c:dLbl>
            <c:dLbl>
              <c:idx val="2"/>
              <c:layout>
                <c:manualLayout>
                  <c:x val="-2.1378941742383802E-3"/>
                  <c:y val="1.7296391509678079E-2"/>
                </c:manualLayout>
              </c:layout>
              <c:showVal val="1"/>
            </c:dLbl>
            <c:showVal val="1"/>
          </c:dLbls>
          <c:cat>
            <c:strRef>
              <c:f>'Лист1 (2)'!$A$22:$A$24</c:f>
              <c:strCache>
                <c:ptCount val="3"/>
                <c:pt idx="0">
                  <c:v>Газ</c:v>
                </c:pt>
                <c:pt idx="1">
                  <c:v>Уголь</c:v>
                </c:pt>
                <c:pt idx="2">
                  <c:v>Нефть</c:v>
                </c:pt>
              </c:strCache>
            </c:strRef>
          </c:cat>
          <c:val>
            <c:numRef>
              <c:f>'Лист1 (2)'!$J$22:$J$24</c:f>
              <c:numCache>
                <c:formatCode>0.0</c:formatCode>
                <c:ptCount val="3"/>
                <c:pt idx="0">
                  <c:v>211.03844155844223</c:v>
                </c:pt>
                <c:pt idx="1">
                  <c:v>79.279480519480046</c:v>
                </c:pt>
                <c:pt idx="2">
                  <c:v>664.77922077922074</c:v>
                </c:pt>
              </c:numCache>
            </c:numRef>
          </c:val>
        </c:ser>
        <c:ser>
          <c:idx val="0"/>
          <c:order val="1"/>
          <c:tx>
            <c:strRef>
              <c:f>'Лист1 (2)'!$K$21</c:f>
              <c:strCache>
                <c:ptCount val="1"/>
                <c:pt idx="0">
                  <c:v>США</c:v>
                </c:pt>
              </c:strCache>
            </c:strRef>
          </c:tx>
          <c:dLbls>
            <c:dLbl>
              <c:idx val="0"/>
              <c:layout>
                <c:manualLayout>
                  <c:x val="3.8104697254210751E-3"/>
                  <c:y val="7.603295386902454E-3"/>
                </c:manualLayout>
              </c:layout>
              <c:showVal val="1"/>
            </c:dLbl>
            <c:showVal val="1"/>
          </c:dLbls>
          <c:cat>
            <c:strRef>
              <c:f>'Лист1 (2)'!$A$22:$A$24</c:f>
              <c:strCache>
                <c:ptCount val="3"/>
                <c:pt idx="0">
                  <c:v>Газ</c:v>
                </c:pt>
                <c:pt idx="1">
                  <c:v>Уголь</c:v>
                </c:pt>
                <c:pt idx="2">
                  <c:v>Нефть</c:v>
                </c:pt>
              </c:strCache>
            </c:strRef>
          </c:cat>
          <c:val>
            <c:numRef>
              <c:f>'Лист1 (2)'!$K$22:$K$24</c:f>
              <c:numCache>
                <c:formatCode>0.0</c:formatCode>
                <c:ptCount val="3"/>
                <c:pt idx="0">
                  <c:v>97</c:v>
                </c:pt>
                <c:pt idx="1">
                  <c:v>46</c:v>
                </c:pt>
                <c:pt idx="2">
                  <c:v>690.92580000000009</c:v>
                </c:pt>
              </c:numCache>
            </c:numRef>
          </c:val>
        </c:ser>
        <c:axId val="274340864"/>
        <c:axId val="274363136"/>
      </c:barChart>
      <c:catAx>
        <c:axId val="274340864"/>
        <c:scaling>
          <c:orientation val="minMax"/>
        </c:scaling>
        <c:axPos val="b"/>
        <c:numFmt formatCode="General" sourceLinked="1"/>
        <c:tickLblPos val="nextTo"/>
        <c:crossAx val="274363136"/>
        <c:crosses val="autoZero"/>
        <c:auto val="1"/>
        <c:lblAlgn val="ctr"/>
        <c:lblOffset val="100"/>
      </c:catAx>
      <c:valAx>
        <c:axId val="274363136"/>
        <c:scaling>
          <c:orientation val="minMax"/>
        </c:scaling>
        <c:axPos val="l"/>
        <c:majorGridlines/>
        <c:title>
          <c:tx>
            <c:rich>
              <a:bodyPr rot="0" vert="horz"/>
              <a:lstStyle/>
              <a:p>
                <a:pPr algn="ctr">
                  <a:defRPr sz="1000" b="1" i="0" u="none" strike="noStrike" baseline="0">
                    <a:solidFill>
                      <a:srgbClr val="000000"/>
                    </a:solidFill>
                    <a:latin typeface="Calibri"/>
                    <a:ea typeface="Calibri"/>
                    <a:cs typeface="Calibri"/>
                  </a:defRPr>
                </a:pPr>
                <a:r>
                  <a:rPr lang="en-US"/>
                  <a:t>$</a:t>
                </a:r>
                <a:r>
                  <a:rPr lang="ru-RU"/>
                  <a:t> ППС</a:t>
                </a:r>
              </a:p>
            </c:rich>
          </c:tx>
          <c:layout>
            <c:manualLayout>
              <c:xMode val="edge"/>
              <c:yMode val="edge"/>
              <c:x val="1.9326394996990962E-2"/>
              <c:y val="6.8809948339628127E-2"/>
            </c:manualLayout>
          </c:layout>
          <c:spPr>
            <a:solidFill>
              <a:srgbClr val="FFFFFF"/>
            </a:solidFill>
            <a:ln w="25400">
              <a:noFill/>
            </a:ln>
          </c:spPr>
        </c:title>
        <c:numFmt formatCode="0" sourceLinked="0"/>
        <c:tickLblPos val="nextTo"/>
        <c:crossAx val="274340864"/>
        <c:crosses val="autoZero"/>
        <c:crossBetween val="between"/>
      </c:valAx>
    </c:plotArea>
    <c:legend>
      <c:legendPos val="r"/>
      <c:layout>
        <c:manualLayout>
          <c:xMode val="edge"/>
          <c:yMode val="edge"/>
          <c:x val="0.83047166937159478"/>
          <c:y val="0.3853738130506611"/>
          <c:w val="0.14412187752948388"/>
          <c:h val="0.18248728102359923"/>
        </c:manualLayout>
      </c:layout>
    </c:legend>
    <c:plotVisOnly val="1"/>
    <c:dispBlanksAs val="gap"/>
  </c:chart>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4475281985486689E-2"/>
          <c:y val="1.8411978526775261E-2"/>
          <c:w val="0.60073298429319977"/>
          <c:h val="0.90788371816332669"/>
        </c:manualLayout>
      </c:layout>
      <c:barChart>
        <c:barDir val="bar"/>
        <c:grouping val="clustered"/>
        <c:ser>
          <c:idx val="0"/>
          <c:order val="0"/>
          <c:tx>
            <c:strRef>
              <c:f>'для промышленных 2012 ЦБ'!$A$2</c:f>
              <c:strCache>
                <c:ptCount val="1"/>
                <c:pt idx="0">
                  <c:v>США (2011) 0,049</c:v>
                </c:pt>
              </c:strCache>
            </c:strRef>
          </c:tx>
          <c:spPr>
            <a:blipFill dpi="0" rotWithShape="0">
              <a:blip xmlns:r="http://schemas.openxmlformats.org/officeDocument/2006/relationships" r:embed="rId1"/>
              <a:srcRect/>
              <a:stretch>
                <a:fillRect/>
              </a:stretch>
            </a:blipFill>
            <a:ln w="12700">
              <a:solidFill>
                <a:srgbClr val="000000"/>
              </a:solidFill>
              <a:prstDash val="solid"/>
            </a:ln>
          </c:spPr>
          <c:pictureOptions>
            <c:pictureFormat val="stretch"/>
          </c:pictureOptions>
          <c:dLbls>
            <c:dLbl>
              <c:idx val="0"/>
              <c:layout>
                <c:manualLayout>
                  <c:x val="4.4262007771975493E-3"/>
                  <c:y val="-7.1036608528951923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ЦБ'!$A$3</c:f>
              <c:numCache>
                <c:formatCode>General</c:formatCode>
                <c:ptCount val="1"/>
                <c:pt idx="0">
                  <c:v>4.9000000000000113E-2</c:v>
                </c:pt>
              </c:numCache>
            </c:numRef>
          </c:val>
        </c:ser>
        <c:ser>
          <c:idx val="19"/>
          <c:order val="1"/>
          <c:tx>
            <c:strRef>
              <c:f>'для промышленных 2012 ЦБ'!$U$2</c:f>
              <c:strCache>
                <c:ptCount val="1"/>
                <c:pt idx="0">
                  <c:v>Эстония 0,0647</c:v>
                </c:pt>
              </c:strCache>
            </c:strRef>
          </c:tx>
          <c:spPr>
            <a:blipFill dpi="0" rotWithShape="0">
              <a:blip xmlns:r="http://schemas.openxmlformats.org/officeDocument/2006/relationships" r:embed="rId2"/>
              <a:srcRect/>
              <a:stretch>
                <a:fillRect/>
              </a:stretch>
            </a:blipFill>
            <a:ln w="25400">
              <a:noFill/>
            </a:ln>
          </c:spPr>
          <c:pictureOptions>
            <c:pictureFormat val="stretch"/>
          </c:pictureOptions>
          <c:dPt>
            <c:idx val="0"/>
            <c:spPr>
              <a:blipFill dpi="0" rotWithShape="0">
                <a:blip xmlns:r="http://schemas.openxmlformats.org/officeDocument/2006/relationships" r:embed="rId3"/>
                <a:srcRect/>
                <a:stretch>
                  <a:fillRect/>
                </a:stretch>
              </a:blipFill>
              <a:ln w="25400">
                <a:noFill/>
              </a:ln>
            </c:spPr>
            <c:pictureOptions>
              <c:pictureFormat val="stretch"/>
            </c:pictureOptions>
          </c:dPt>
          <c:dLbls>
            <c:dLbl>
              <c:idx val="0"/>
              <c:layout>
                <c:manualLayout>
                  <c:x val="8.2393983821897211E-3"/>
                  <c:y val="-4.4722798730518279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ЦБ'!$U$3</c:f>
              <c:numCache>
                <c:formatCode>General</c:formatCode>
                <c:ptCount val="1"/>
                <c:pt idx="0">
                  <c:v>6.4699999999999994E-2</c:v>
                </c:pt>
              </c:numCache>
            </c:numRef>
          </c:val>
        </c:ser>
        <c:ser>
          <c:idx val="20"/>
          <c:order val="2"/>
          <c:tx>
            <c:strRef>
              <c:f>'для промышленных 2012 ЦБ'!$V$2</c:f>
              <c:strCache>
                <c:ptCount val="1"/>
                <c:pt idx="0">
                  <c:v>Болгария, 0,0684 € ЦБ</c:v>
                </c:pt>
              </c:strCache>
            </c:strRef>
          </c:tx>
          <c:spPr>
            <a:blipFill dpi="0" rotWithShape="0">
              <a:blip xmlns:r="http://schemas.openxmlformats.org/officeDocument/2006/relationships" r:embed="rId4"/>
              <a:srcRect/>
              <a:stretch>
                <a:fillRect/>
              </a:stretch>
            </a:blipFill>
            <a:ln w="25400">
              <a:noFill/>
            </a:ln>
          </c:spPr>
          <c:pictureOptions>
            <c:pictureFormat val="stretch"/>
          </c:pictureOptions>
          <c:dPt>
            <c:idx val="0"/>
            <c:spPr>
              <a:blipFill dpi="0" rotWithShape="0">
                <a:blip xmlns:r="http://schemas.openxmlformats.org/officeDocument/2006/relationships" r:embed="rId5"/>
                <a:srcRect/>
                <a:stretch>
                  <a:fillRect/>
                </a:stretch>
              </a:blipFill>
              <a:ln w="25400">
                <a:noFill/>
              </a:ln>
            </c:spPr>
            <c:pictureOptions>
              <c:pictureFormat val="stretch"/>
            </c:pictureOptions>
          </c:dPt>
          <c:dLbls>
            <c:dLbl>
              <c:idx val="0"/>
              <c:layout>
                <c:manualLayout>
                  <c:x val="1.5270685468750881E-2"/>
                  <c:y val="2.2811750757380411E-3"/>
                </c:manualLayout>
              </c:layout>
              <c:dLblPos val="outEnd"/>
              <c:showVal val="1"/>
            </c:dLbl>
            <c:spPr>
              <a:noFill/>
              <a:ln w="25400">
                <a:noFill/>
              </a:ln>
            </c:spPr>
            <c:txPr>
              <a:bodyPr/>
              <a:lstStyle/>
              <a:p>
                <a:pPr>
                  <a:defRPr sz="1375" b="1" i="0" u="none" strike="noStrike" baseline="0">
                    <a:solidFill>
                      <a:srgbClr val="00B050"/>
                    </a:solidFill>
                    <a:latin typeface="Arial Cyr"/>
                    <a:ea typeface="Arial Cyr"/>
                    <a:cs typeface="Arial Cyr"/>
                  </a:defRPr>
                </a:pPr>
                <a:endParaRPr lang="ru-RU"/>
              </a:p>
            </c:txPr>
            <c:showVal val="1"/>
          </c:dLbls>
          <c:val>
            <c:numRef>
              <c:f>'для промышленных 2012 ЦБ'!$V$3</c:f>
              <c:numCache>
                <c:formatCode>General</c:formatCode>
                <c:ptCount val="1"/>
                <c:pt idx="0">
                  <c:v>6.8400000000000002E-2</c:v>
                </c:pt>
              </c:numCache>
            </c:numRef>
          </c:val>
        </c:ser>
        <c:ser>
          <c:idx val="15"/>
          <c:order val="3"/>
          <c:tx>
            <c:strRef>
              <c:f>'для промышленных 2012 ЦБ'!$S$2</c:f>
              <c:strCache>
                <c:ptCount val="1"/>
                <c:pt idx="0">
                  <c:v>Финляндия 0,0684</c:v>
                </c:pt>
              </c:strCache>
            </c:strRef>
          </c:tx>
          <c:spPr>
            <a:blipFill dpi="0" rotWithShape="0">
              <a:blip xmlns:r="http://schemas.openxmlformats.org/officeDocument/2006/relationships" r:embed="rId6"/>
              <a:srcRect/>
              <a:stretch>
                <a:fillRect/>
              </a:stretch>
            </a:blipFill>
            <a:ln w="12700">
              <a:solidFill>
                <a:srgbClr val="000000"/>
              </a:solidFill>
              <a:prstDash val="solid"/>
            </a:ln>
          </c:spPr>
          <c:pictureOptions>
            <c:pictureFormat val="stretch"/>
          </c:pictureOptions>
          <c:dLbls>
            <c:dLbl>
              <c:idx val="0"/>
              <c:layout>
                <c:manualLayout>
                  <c:x val="1.9967273615551975E-2"/>
                  <c:y val="-5.3297044066223714E-3"/>
                </c:manualLayout>
              </c:layout>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dLblPos val="outEnd"/>
              <c:showVal val="1"/>
            </c:dLbl>
            <c:spPr>
              <a:noFill/>
              <a:ln w="25400">
                <a:noFill/>
              </a:ln>
            </c:spPr>
            <c:txPr>
              <a:bodyPr/>
              <a:lstStyle/>
              <a:p>
                <a:pPr>
                  <a:defRPr sz="1375" b="0" i="0" u="none" strike="noStrike" baseline="0">
                    <a:solidFill>
                      <a:srgbClr val="000000"/>
                    </a:solidFill>
                    <a:latin typeface="Arial Cyr"/>
                    <a:ea typeface="Arial Cyr"/>
                    <a:cs typeface="Arial Cyr"/>
                  </a:defRPr>
                </a:pPr>
                <a:endParaRPr lang="ru-RU"/>
              </a:p>
            </c:txPr>
            <c:showVal val="1"/>
          </c:dLbls>
          <c:val>
            <c:numRef>
              <c:f>'для промышленных 2012 ЦБ'!$S$3</c:f>
              <c:numCache>
                <c:formatCode>0.0000</c:formatCode>
                <c:ptCount val="1"/>
                <c:pt idx="0">
                  <c:v>6.8400000000000002E-2</c:v>
                </c:pt>
              </c:numCache>
            </c:numRef>
          </c:val>
        </c:ser>
        <c:ser>
          <c:idx val="3"/>
          <c:order val="4"/>
          <c:tx>
            <c:strRef>
              <c:f>'для промышленных 2012 ЦБ'!$C$2</c:f>
              <c:strCache>
                <c:ptCount val="1"/>
                <c:pt idx="0">
                  <c:v>Россия  0,076</c:v>
                </c:pt>
              </c:strCache>
            </c:strRef>
          </c:tx>
          <c:spPr>
            <a:blipFill dpi="0" rotWithShape="0">
              <a:blip xmlns:r="http://schemas.openxmlformats.org/officeDocument/2006/relationships" r:embed="rId7"/>
              <a:srcRect/>
              <a:stretch>
                <a:fillRect/>
              </a:stretch>
            </a:blipFill>
            <a:ln w="12700">
              <a:solidFill>
                <a:schemeClr val="tx1"/>
              </a:solidFill>
              <a:prstDash val="solid"/>
            </a:ln>
          </c:spPr>
          <c:pictureOptions>
            <c:pictureFormat val="stretch"/>
          </c:pictureOptions>
          <c:dLbls>
            <c:dLbl>
              <c:idx val="0"/>
              <c:layout>
                <c:manualLayout>
                  <c:x val="1.9189003036968265E-2"/>
                  <c:y val="-9.0974147587814767E-3"/>
                </c:manualLayout>
              </c:layout>
              <c:dLblPos val="outEnd"/>
              <c:showVal val="1"/>
            </c:dLbl>
            <c:numFmt formatCode="0.000" sourceLinked="0"/>
            <c:spPr>
              <a:noFill/>
              <a:ln w="25400">
                <a:noFill/>
              </a:ln>
            </c:spPr>
            <c:txPr>
              <a:bodyPr/>
              <a:lstStyle/>
              <a:p>
                <a:pPr>
                  <a:defRPr sz="1375" b="1" i="0" u="none" strike="noStrike" baseline="0">
                    <a:solidFill>
                      <a:srgbClr val="FF0000"/>
                    </a:solidFill>
                    <a:latin typeface="Arial Cyr"/>
                    <a:ea typeface="Arial Cyr"/>
                    <a:cs typeface="Arial Cyr"/>
                  </a:defRPr>
                </a:pPr>
                <a:endParaRPr lang="ru-RU"/>
              </a:p>
            </c:txPr>
            <c:showVal val="1"/>
          </c:dLbls>
          <c:val>
            <c:numRef>
              <c:f>'для промышленных 2012 ЦБ'!$C$3</c:f>
              <c:numCache>
                <c:formatCode>0.0000</c:formatCode>
                <c:ptCount val="1"/>
                <c:pt idx="0">
                  <c:v>7.5999999999999998E-2</c:v>
                </c:pt>
              </c:numCache>
            </c:numRef>
          </c:val>
        </c:ser>
        <c:ser>
          <c:idx val="17"/>
          <c:order val="5"/>
          <c:tx>
            <c:strRef>
              <c:f>'для промышленных 2012 ЦБ'!$P$2</c:f>
              <c:strCache>
                <c:ptCount val="1"/>
                <c:pt idx="0">
                  <c:v>Норвегия 0,0774</c:v>
                </c:pt>
              </c:strCache>
            </c:strRef>
          </c:tx>
          <c:spPr>
            <a:blipFill dpi="0" rotWithShape="0">
              <a:blip xmlns:r="http://schemas.openxmlformats.org/officeDocument/2006/relationships" r:embed="rId8"/>
              <a:srcRect/>
              <a:stretch>
                <a:fillRect/>
              </a:stretch>
            </a:blipFill>
            <a:ln w="12700">
              <a:solidFill>
                <a:srgbClr val="000000"/>
              </a:solidFill>
              <a:prstDash val="solid"/>
            </a:ln>
          </c:spPr>
          <c:pictureOptions>
            <c:pictureFormat val="stretch"/>
          </c:pictureOptions>
          <c:dLbls>
            <c:dLbl>
              <c:idx val="0"/>
              <c:layout>
                <c:manualLayout>
                  <c:x val="7.8267584621300422E-3"/>
                  <c:y val="-3.5400510899996412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ЦБ'!$P$3</c:f>
              <c:numCache>
                <c:formatCode>General</c:formatCode>
                <c:ptCount val="1"/>
                <c:pt idx="0">
                  <c:v>7.7400000000000024E-2</c:v>
                </c:pt>
              </c:numCache>
            </c:numRef>
          </c:val>
        </c:ser>
        <c:ser>
          <c:idx val="16"/>
          <c:order val="6"/>
          <c:tx>
            <c:strRef>
              <c:f>'для промышленных 2012 ЦБ'!$O$2</c:f>
              <c:strCache>
                <c:ptCount val="1"/>
                <c:pt idx="0">
                  <c:v>Швеция 0,0804</c:v>
                </c:pt>
              </c:strCache>
            </c:strRef>
          </c:tx>
          <c:spPr>
            <a:blipFill dpi="0" rotWithShape="0">
              <a:blip xmlns:r="http://schemas.openxmlformats.org/officeDocument/2006/relationships" r:embed="rId9"/>
              <a:srcRect/>
              <a:stretch>
                <a:fillRect/>
              </a:stretch>
            </a:blipFill>
            <a:ln w="25400">
              <a:noFill/>
            </a:ln>
          </c:spPr>
          <c:pictureOptions>
            <c:pictureFormat val="stretch"/>
          </c:pictureOptions>
          <c:dLbls>
            <c:dLbl>
              <c:idx val="0"/>
              <c:layout>
                <c:manualLayout>
                  <c:x val="2.7403597019948119E-4"/>
                  <c:y val="-3.2418086917717212E-3"/>
                </c:manualLayout>
              </c:layout>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dLblPos val="outEnd"/>
              <c:showVal val="1"/>
            </c:dLbl>
            <c:spPr>
              <a:noFill/>
              <a:ln w="25400">
                <a:noFill/>
              </a:ln>
            </c:spPr>
            <c:txPr>
              <a:bodyPr/>
              <a:lstStyle/>
              <a:p>
                <a:pPr>
                  <a:defRPr sz="1375" b="0" i="0" u="none" strike="noStrike" baseline="0">
                    <a:solidFill>
                      <a:srgbClr val="000000"/>
                    </a:solidFill>
                    <a:latin typeface="Arial Cyr"/>
                    <a:ea typeface="Arial Cyr"/>
                    <a:cs typeface="Arial Cyr"/>
                  </a:defRPr>
                </a:pPr>
                <a:endParaRPr lang="ru-RU"/>
              </a:p>
            </c:txPr>
            <c:showVal val="1"/>
          </c:dLbls>
          <c:val>
            <c:numRef>
              <c:f>'для промышленных 2012 ЦБ'!$O$3</c:f>
              <c:numCache>
                <c:formatCode>General</c:formatCode>
                <c:ptCount val="1"/>
                <c:pt idx="0">
                  <c:v>8.0400000000000041E-2</c:v>
                </c:pt>
              </c:numCache>
            </c:numRef>
          </c:val>
        </c:ser>
        <c:ser>
          <c:idx val="12"/>
          <c:order val="7"/>
          <c:tx>
            <c:strRef>
              <c:f>'для промышленных 2012 ЦБ'!$N$2</c:f>
              <c:strCache>
                <c:ptCount val="1"/>
                <c:pt idx="0">
                  <c:v>Нидерланды 0,0805</c:v>
                </c:pt>
              </c:strCache>
            </c:strRef>
          </c:tx>
          <c:spPr>
            <a:solidFill>
              <a:srgbClr val="800080"/>
            </a:solidFill>
            <a:ln w="12700">
              <a:solidFill>
                <a:srgbClr val="000000"/>
              </a:solidFill>
              <a:prstDash val="solid"/>
            </a:ln>
          </c:spPr>
          <c:dPt>
            <c:idx val="0"/>
            <c:spPr>
              <a:blipFill dpi="0" rotWithShape="0">
                <a:blip xmlns:r="http://schemas.openxmlformats.org/officeDocument/2006/relationships" r:embed="rId10"/>
                <a:srcRect/>
                <a:stretch>
                  <a:fillRect/>
                </a:stretch>
              </a:blipFill>
              <a:ln w="12700">
                <a:solidFill>
                  <a:srgbClr val="000000"/>
                </a:solidFill>
                <a:prstDash val="solid"/>
              </a:ln>
            </c:spPr>
            <c:pictureOptions>
              <c:pictureFormat val="stretch"/>
            </c:pictureOptions>
          </c:dPt>
          <c:dLbls>
            <c:dLbl>
              <c:idx val="0"/>
              <c:layout>
                <c:manualLayout>
                  <c:x val="1.477753690233802E-3"/>
                  <c:y val="-3.3987783260606402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ЦБ'!$N$3</c:f>
              <c:numCache>
                <c:formatCode>General</c:formatCode>
                <c:ptCount val="1"/>
                <c:pt idx="0">
                  <c:v>8.0500000000000224E-2</c:v>
                </c:pt>
              </c:numCache>
            </c:numRef>
          </c:val>
        </c:ser>
        <c:ser>
          <c:idx val="14"/>
          <c:order val="8"/>
          <c:tx>
            <c:strRef>
              <c:f>'для промышленных 2012 ЦБ'!$R$2</c:f>
              <c:strCache>
                <c:ptCount val="1"/>
                <c:pt idx="0">
                  <c:v>Франция 0,0809</c:v>
                </c:pt>
              </c:strCache>
            </c:strRef>
          </c:tx>
          <c:spPr>
            <a:blipFill dpi="0" rotWithShape="0">
              <a:blip xmlns:r="http://schemas.openxmlformats.org/officeDocument/2006/relationships" r:embed="rId11"/>
              <a:srcRect/>
              <a:stretch>
                <a:fillRect/>
              </a:stretch>
            </a:blipFill>
            <a:ln w="12700">
              <a:solidFill>
                <a:srgbClr val="000000"/>
              </a:solidFill>
              <a:prstDash val="solid"/>
            </a:ln>
          </c:spPr>
          <c:pictureOptions>
            <c:pictureFormat val="stretch"/>
          </c:pictureOptions>
          <c:dLbls>
            <c:dLbl>
              <c:idx val="0"/>
              <c:layout>
                <c:manualLayout>
                  <c:x val="1.3822108325036754E-2"/>
                  <c:y val="2.1188263474940499E-4"/>
                </c:manualLayout>
              </c:layout>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dLblPos val="outEnd"/>
              <c:showVal val="1"/>
            </c:dLbl>
            <c:delete val="1"/>
          </c:dLbls>
          <c:val>
            <c:numRef>
              <c:f>'для промышленных 2012 ЦБ'!$R$3</c:f>
              <c:numCache>
                <c:formatCode>General</c:formatCode>
                <c:ptCount val="1"/>
                <c:pt idx="0">
                  <c:v>8.0900000000000027E-2</c:v>
                </c:pt>
              </c:numCache>
            </c:numRef>
          </c:val>
        </c:ser>
        <c:ser>
          <c:idx val="13"/>
          <c:order val="9"/>
          <c:tx>
            <c:strRef>
              <c:f>'для промышленных 2012 ЦБ'!$Q$2</c:f>
              <c:strCache>
                <c:ptCount val="1"/>
                <c:pt idx="0">
                  <c:v>Дания 0,0829</c:v>
                </c:pt>
              </c:strCache>
            </c:strRef>
          </c:tx>
          <c:spPr>
            <a:blipFill dpi="0" rotWithShape="0">
              <a:blip xmlns:r="http://schemas.openxmlformats.org/officeDocument/2006/relationships" r:embed="rId12"/>
              <a:srcRect/>
              <a:stretch>
                <a:fillRect/>
              </a:stretch>
            </a:blipFill>
            <a:ln w="12700">
              <a:solidFill>
                <a:srgbClr val="000000"/>
              </a:solidFill>
              <a:prstDash val="solid"/>
            </a:ln>
          </c:spPr>
          <c:pictureOptions>
            <c:pictureFormat val="stretch"/>
          </c:pictureOptions>
          <c:dLbls>
            <c:dLbl>
              <c:idx val="0"/>
              <c:layout>
                <c:manualLayout>
                  <c:x val="-1.0245834301127583E-2"/>
                  <c:y val="-2.5511023292914894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ЦБ'!$Q$3</c:f>
              <c:numCache>
                <c:formatCode>General</c:formatCode>
                <c:ptCount val="1"/>
                <c:pt idx="0">
                  <c:v>8.2900000000000001E-2</c:v>
                </c:pt>
              </c:numCache>
            </c:numRef>
          </c:val>
        </c:ser>
        <c:ser>
          <c:idx val="22"/>
          <c:order val="10"/>
          <c:tx>
            <c:strRef>
              <c:f>'для промышленных 2012 ЦБ'!$X$2</c:f>
              <c:strCache>
                <c:ptCount val="1"/>
                <c:pt idx="0">
                  <c:v>Румыния 0,0833</c:v>
                </c:pt>
              </c:strCache>
            </c:strRef>
          </c:tx>
          <c:spPr>
            <a:blipFill dpi="0" rotWithShape="0">
              <a:blip xmlns:r="http://schemas.openxmlformats.org/officeDocument/2006/relationships" r:embed="rId13"/>
              <a:srcRect/>
              <a:stretch>
                <a:fillRect/>
              </a:stretch>
            </a:blipFill>
            <a:ln w="25400">
              <a:noFill/>
            </a:ln>
          </c:spPr>
          <c:pictureOptions>
            <c:pictureFormat val="stretch"/>
          </c:pictureOptions>
          <c:dLbls>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ЦБ'!$X$3</c:f>
              <c:numCache>
                <c:formatCode>General</c:formatCode>
                <c:ptCount val="1"/>
                <c:pt idx="0">
                  <c:v>8.3300000000000041E-2</c:v>
                </c:pt>
              </c:numCache>
            </c:numRef>
          </c:val>
        </c:ser>
        <c:ser>
          <c:idx val="7"/>
          <c:order val="11"/>
          <c:tx>
            <c:strRef>
              <c:f>'для промышленных 2012 ЦБ'!$G$2</c:f>
              <c:strCache>
                <c:ptCount val="1"/>
                <c:pt idx="0">
                  <c:v>Турция 0,0834</c:v>
                </c:pt>
              </c:strCache>
            </c:strRef>
          </c:tx>
          <c:spPr>
            <a:blipFill dpi="0" rotWithShape="0">
              <a:blip xmlns:r="http://schemas.openxmlformats.org/officeDocument/2006/relationships" r:embed="rId14"/>
              <a:srcRect/>
              <a:stretch>
                <a:fillRect/>
              </a:stretch>
            </a:blipFill>
            <a:ln w="25400">
              <a:noFill/>
            </a:ln>
          </c:spPr>
          <c:pictureOptions>
            <c:pictureFormat val="stretch"/>
          </c:pictureOptions>
          <c:dLbls>
            <c:dLbl>
              <c:idx val="0"/>
              <c:layout>
                <c:manualLayout>
                  <c:x val="1.3255365735367702E-2"/>
                  <c:y val="2.9040733042391649E-4"/>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ЦБ'!$G$3</c:f>
              <c:numCache>
                <c:formatCode>General</c:formatCode>
                <c:ptCount val="1"/>
                <c:pt idx="0">
                  <c:v>8.3400000000000002E-2</c:v>
                </c:pt>
              </c:numCache>
            </c:numRef>
          </c:val>
        </c:ser>
        <c:ser>
          <c:idx val="2"/>
          <c:order val="12"/>
          <c:tx>
            <c:strRef>
              <c:f>'для промышленных 2012 ЦБ'!$B$2</c:f>
              <c:strCache>
                <c:ptCount val="1"/>
                <c:pt idx="0">
                  <c:v>Польша 0,0869</c:v>
                </c:pt>
              </c:strCache>
            </c:strRef>
          </c:tx>
          <c:spPr>
            <a:blipFill dpi="0" rotWithShape="0">
              <a:blip xmlns:r="http://schemas.openxmlformats.org/officeDocument/2006/relationships" r:embed="rId15"/>
              <a:srcRect/>
              <a:stretch>
                <a:fillRect/>
              </a:stretch>
            </a:blipFill>
            <a:ln w="12700">
              <a:solidFill>
                <a:srgbClr val="000000"/>
              </a:solidFill>
              <a:prstDash val="solid"/>
            </a:ln>
          </c:spPr>
          <c:pictureOptions>
            <c:pictureFormat val="stretch"/>
          </c:pictureOptions>
          <c:dLbls>
            <c:dLbl>
              <c:idx val="0"/>
              <c:layout>
                <c:manualLayout>
                  <c:x val="7.3372786634983769E-3"/>
                  <c:y val="4.9999354883164737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ЦБ'!$B$3</c:f>
              <c:numCache>
                <c:formatCode>General</c:formatCode>
                <c:ptCount val="1"/>
                <c:pt idx="0">
                  <c:v>8.6900000000000005E-2</c:v>
                </c:pt>
              </c:numCache>
            </c:numRef>
          </c:val>
        </c:ser>
        <c:ser>
          <c:idx val="23"/>
          <c:order val="13"/>
          <c:tx>
            <c:strRef>
              <c:f>'для промышленных 2012 ЦБ'!$M$2</c:f>
              <c:strCache>
                <c:ptCount val="1"/>
                <c:pt idx="0">
                  <c:v>Болгария, 2013, 0,0889 € ЦБ</c:v>
                </c:pt>
              </c:strCache>
            </c:strRef>
          </c:tx>
          <c:spPr>
            <a:blipFill>
              <a:blip xmlns:r="http://schemas.openxmlformats.org/officeDocument/2006/relationships" r:embed="rId4"/>
              <a:stretch>
                <a:fillRect/>
              </a:stretch>
            </a:blipFill>
          </c:spPr>
          <c:pictureOptions>
            <c:pictureFormat val="stretch"/>
          </c:pictureOptions>
          <c:dLbls>
            <c:txPr>
              <a:bodyPr/>
              <a:lstStyle/>
              <a:p>
                <a:pPr>
                  <a:defRPr sz="1400" b="1">
                    <a:solidFill>
                      <a:srgbClr val="00B050"/>
                    </a:solidFill>
                  </a:defRPr>
                </a:pPr>
                <a:endParaRPr lang="ru-RU"/>
              </a:p>
            </c:txPr>
            <c:showVal val="1"/>
          </c:dLbls>
          <c:val>
            <c:numRef>
              <c:f>'для промышленных 2012 ЦБ'!$M$3</c:f>
              <c:numCache>
                <c:formatCode>General</c:formatCode>
                <c:ptCount val="1"/>
                <c:pt idx="0">
                  <c:v>8.8900000000000048E-2</c:v>
                </c:pt>
              </c:numCache>
            </c:numRef>
          </c:val>
        </c:ser>
        <c:ser>
          <c:idx val="11"/>
          <c:order val="14"/>
          <c:tx>
            <c:strRef>
              <c:f>'для промышленных 2012 ЦБ'!$L$2</c:f>
              <c:strCache>
                <c:ptCount val="1"/>
                <c:pt idx="0">
                  <c:v>Германия 0,0895</c:v>
                </c:pt>
              </c:strCache>
            </c:strRef>
          </c:tx>
          <c:spPr>
            <a:blipFill dpi="0" rotWithShape="0">
              <a:blip xmlns:r="http://schemas.openxmlformats.org/officeDocument/2006/relationships" r:embed="rId16"/>
              <a:srcRect/>
              <a:stretch>
                <a:fillRect/>
              </a:stretch>
            </a:blipFill>
            <a:ln w="12700">
              <a:solidFill>
                <a:srgbClr val="000000"/>
              </a:solidFill>
              <a:prstDash val="solid"/>
            </a:ln>
          </c:spPr>
          <c:pictureOptions>
            <c:pictureFormat val="stretch"/>
          </c:pictureOptions>
          <c:dLbls>
            <c:dLbl>
              <c:idx val="0"/>
              <c:layout>
                <c:manualLayout>
                  <c:x val="1.5222463166476871E-2"/>
                  <c:y val="-8.5479014031800988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ЦБ'!$L$3</c:f>
              <c:numCache>
                <c:formatCode>General</c:formatCode>
                <c:ptCount val="1"/>
                <c:pt idx="0">
                  <c:v>8.9500000000000246E-2</c:v>
                </c:pt>
              </c:numCache>
            </c:numRef>
          </c:val>
        </c:ser>
        <c:ser>
          <c:idx val="1"/>
          <c:order val="15"/>
          <c:tx>
            <c:strRef>
              <c:f>'для промышленных 2012 ЦБ'!$J$2</c:f>
              <c:strCache>
                <c:ptCount val="1"/>
                <c:pt idx="0">
                  <c:v>Средний ЕС (27 стран) 0,0976</c:v>
                </c:pt>
              </c:strCache>
            </c:strRef>
          </c:tx>
          <c:spPr>
            <a:solidFill>
              <a:srgbClr val="0000FF"/>
            </a:solidFill>
            <a:ln w="12700">
              <a:solidFill>
                <a:srgbClr val="0000FF"/>
              </a:solidFill>
              <a:prstDash val="solid"/>
            </a:ln>
          </c:spPr>
          <c:dLbls>
            <c:dLbl>
              <c:idx val="0"/>
              <c:layout>
                <c:manualLayout>
                  <c:x val="1.2819754901039868E-3"/>
                  <c:y val="5.4198122569342714E-4"/>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ЦБ'!$J$3</c:f>
              <c:numCache>
                <c:formatCode>General</c:formatCode>
                <c:ptCount val="1"/>
                <c:pt idx="0">
                  <c:v>9.7600000000000006E-2</c:v>
                </c:pt>
              </c:numCache>
            </c:numRef>
          </c:val>
        </c:ser>
        <c:ser>
          <c:idx val="4"/>
          <c:order val="16"/>
          <c:tx>
            <c:strRef>
              <c:f>'для промышленных 2012 ЦБ'!$D$2</c:f>
              <c:strCache>
                <c:ptCount val="1"/>
                <c:pt idx="0">
                  <c:v>Венгрия 0,1</c:v>
                </c:pt>
              </c:strCache>
            </c:strRef>
          </c:tx>
          <c:spPr>
            <a:blipFill dpi="0" rotWithShape="0">
              <a:blip xmlns:r="http://schemas.openxmlformats.org/officeDocument/2006/relationships" r:embed="rId17"/>
              <a:srcRect/>
              <a:stretch>
                <a:fillRect/>
              </a:stretch>
            </a:blipFill>
            <a:ln w="25400">
              <a:noFill/>
            </a:ln>
          </c:spPr>
          <c:pictureOptions>
            <c:pictureFormat val="stretch"/>
          </c:pictureOptions>
          <c:dLbls>
            <c:dLbl>
              <c:idx val="0"/>
              <c:layout>
                <c:manualLayout>
                  <c:x val="-6.5619563948196109E-3"/>
                  <c:y val="-3.0615722309191456E-4"/>
                </c:manualLayout>
              </c:layout>
              <c:dLblPos val="outEnd"/>
              <c:showVal val="1"/>
            </c:dLbl>
            <c:numFmt formatCode="_-* #,##0.000_р_._-;\-* #,##0.000_р_._-;_-* &quot;-&quot;??_р_._-;_-@_-"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ЦБ'!$D$3</c:f>
              <c:numCache>
                <c:formatCode>General</c:formatCode>
                <c:ptCount val="1"/>
                <c:pt idx="0">
                  <c:v>0.1</c:v>
                </c:pt>
              </c:numCache>
            </c:numRef>
          </c:val>
        </c:ser>
        <c:ser>
          <c:idx val="6"/>
          <c:order val="17"/>
          <c:tx>
            <c:strRef>
              <c:f>'для промышленных 2012 ЦБ'!$F$2</c:f>
              <c:strCache>
                <c:ptCount val="1"/>
                <c:pt idx="0">
                  <c:v>Греция 0,1006</c:v>
                </c:pt>
              </c:strCache>
            </c:strRef>
          </c:tx>
          <c:spPr>
            <a:blipFill dpi="0" rotWithShape="0">
              <a:blip xmlns:r="http://schemas.openxmlformats.org/officeDocument/2006/relationships" r:embed="rId18"/>
              <a:srcRect/>
              <a:stretch>
                <a:fillRect/>
              </a:stretch>
            </a:blipFill>
            <a:ln w="12700">
              <a:solidFill>
                <a:srgbClr val="000000"/>
              </a:solidFill>
              <a:prstDash val="solid"/>
            </a:ln>
          </c:spPr>
          <c:pictureOptions>
            <c:pictureFormat val="stretch"/>
          </c:pictureOptions>
          <c:dPt>
            <c:idx val="0"/>
            <c:spPr>
              <a:blipFill dpi="0" rotWithShape="0">
                <a:blip xmlns:r="http://schemas.openxmlformats.org/officeDocument/2006/relationships" r:embed="rId19"/>
                <a:srcRect/>
                <a:stretch>
                  <a:fillRect/>
                </a:stretch>
              </a:blipFill>
              <a:ln w="12700">
                <a:solidFill>
                  <a:srgbClr val="000000"/>
                </a:solidFill>
                <a:prstDash val="solid"/>
              </a:ln>
            </c:spPr>
            <c:pictureOptions>
              <c:pictureFormat val="stretch"/>
            </c:pictureOptions>
          </c:dPt>
          <c:dLbls>
            <c:dLbl>
              <c:idx val="0"/>
              <c:layout>
                <c:manualLayout>
                  <c:x val="1.6893858441533269E-3"/>
                  <c:y val="-3.0150844109231279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ЦБ'!$F$3</c:f>
              <c:numCache>
                <c:formatCode>General</c:formatCode>
                <c:ptCount val="1"/>
                <c:pt idx="0">
                  <c:v>0.10059999999999998</c:v>
                </c:pt>
              </c:numCache>
            </c:numRef>
          </c:val>
        </c:ser>
        <c:ser>
          <c:idx val="5"/>
          <c:order val="18"/>
          <c:tx>
            <c:strRef>
              <c:f>'для промышленных 2012 ЦБ'!$E$2</c:f>
              <c:strCache>
                <c:ptCount val="1"/>
                <c:pt idx="0">
                  <c:v>Чехия 0,1028</c:v>
                </c:pt>
              </c:strCache>
            </c:strRef>
          </c:tx>
          <c:spPr>
            <a:blipFill dpi="0" rotWithShape="0">
              <a:blip xmlns:r="http://schemas.openxmlformats.org/officeDocument/2006/relationships" r:embed="rId20"/>
              <a:srcRect/>
              <a:stretch>
                <a:fillRect/>
              </a:stretch>
            </a:blipFill>
            <a:ln w="12700">
              <a:solidFill>
                <a:srgbClr val="000000"/>
              </a:solidFill>
              <a:prstDash val="solid"/>
            </a:ln>
          </c:spPr>
          <c:pictureOptions>
            <c:pictureFormat val="stretch"/>
          </c:pictureOptions>
          <c:dLbls>
            <c:dLbl>
              <c:idx val="0"/>
              <c:layout>
                <c:manualLayout>
                  <c:x val="2.4051814392337407E-3"/>
                  <c:y val="-4.6860492420566814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ЦБ'!$E$3</c:f>
              <c:numCache>
                <c:formatCode>General</c:formatCode>
                <c:ptCount val="1"/>
                <c:pt idx="0">
                  <c:v>0.1028</c:v>
                </c:pt>
              </c:numCache>
            </c:numRef>
          </c:val>
        </c:ser>
        <c:ser>
          <c:idx val="9"/>
          <c:order val="19"/>
          <c:tx>
            <c:strRef>
              <c:f>'для промышленных 2012 ЦБ'!$I$2</c:f>
              <c:strCache>
                <c:ptCount val="1"/>
                <c:pt idx="0">
                  <c:v>Португалия 0,105</c:v>
                </c:pt>
              </c:strCache>
            </c:strRef>
          </c:tx>
          <c:spPr>
            <a:solidFill>
              <a:srgbClr val="000000"/>
            </a:solidFill>
            <a:ln w="12700">
              <a:solidFill>
                <a:srgbClr val="000000"/>
              </a:solidFill>
              <a:prstDash val="solid"/>
            </a:ln>
          </c:spPr>
          <c:dPt>
            <c:idx val="0"/>
            <c:spPr>
              <a:blipFill dpi="0" rotWithShape="0">
                <a:blip xmlns:r="http://schemas.openxmlformats.org/officeDocument/2006/relationships" r:embed="rId21"/>
                <a:srcRect/>
                <a:stretch>
                  <a:fillRect/>
                </a:stretch>
              </a:blipFill>
              <a:ln w="12700">
                <a:solidFill>
                  <a:srgbClr val="000000"/>
                </a:solidFill>
                <a:prstDash val="solid"/>
              </a:ln>
            </c:spPr>
            <c:pictureOptions>
              <c:pictureFormat val="stretch"/>
            </c:pictureOptions>
          </c:dPt>
          <c:dLbls>
            <c:dLbl>
              <c:idx val="0"/>
              <c:layout>
                <c:manualLayout>
                  <c:x val="-1.2475333312222659E-2"/>
                  <c:y val="-1.0007918580875056E-2"/>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ЦБ'!$I$3</c:f>
              <c:numCache>
                <c:formatCode>General</c:formatCode>
                <c:ptCount val="1"/>
                <c:pt idx="0">
                  <c:v>0.10500000000000002</c:v>
                </c:pt>
              </c:numCache>
            </c:numRef>
          </c:val>
        </c:ser>
        <c:ser>
          <c:idx val="10"/>
          <c:order val="20"/>
          <c:tx>
            <c:strRef>
              <c:f>'для промышленных 2012 ЦБ'!$K$2</c:f>
              <c:strCache>
                <c:ptCount val="1"/>
                <c:pt idx="0">
                  <c:v>Великобритания 0,1097</c:v>
                </c:pt>
              </c:strCache>
            </c:strRef>
          </c:tx>
          <c:spPr>
            <a:blipFill dpi="0" rotWithShape="0">
              <a:blip xmlns:r="http://schemas.openxmlformats.org/officeDocument/2006/relationships" r:embed="rId22"/>
              <a:srcRect/>
              <a:stretch>
                <a:fillRect/>
              </a:stretch>
            </a:blipFill>
            <a:ln w="25400">
              <a:noFill/>
            </a:ln>
          </c:spPr>
          <c:pictureOptions>
            <c:pictureFormat val="stretch"/>
          </c:pictureOptions>
          <c:dLbls>
            <c:dLbl>
              <c:idx val="0"/>
              <c:layout>
                <c:manualLayout>
                  <c:x val="-4.3566427721194534E-3"/>
                  <c:y val="-1.0156513452159518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ЦБ'!$K$3</c:f>
              <c:numCache>
                <c:formatCode>General</c:formatCode>
                <c:ptCount val="1"/>
                <c:pt idx="0">
                  <c:v>0.10970000000000048</c:v>
                </c:pt>
              </c:numCache>
            </c:numRef>
          </c:val>
        </c:ser>
        <c:ser>
          <c:idx val="21"/>
          <c:order val="21"/>
          <c:tx>
            <c:strRef>
              <c:f>'для промышленных 2012 ЦБ'!$W$2</c:f>
              <c:strCache>
                <c:ptCount val="1"/>
                <c:pt idx="0">
                  <c:v>Литва 0,1135</c:v>
                </c:pt>
              </c:strCache>
            </c:strRef>
          </c:tx>
          <c:spPr>
            <a:blipFill dpi="0" rotWithShape="0">
              <a:blip xmlns:r="http://schemas.openxmlformats.org/officeDocument/2006/relationships" r:embed="rId23"/>
              <a:srcRect/>
              <a:stretch>
                <a:fillRect/>
              </a:stretch>
            </a:blipFill>
            <a:ln w="25400">
              <a:noFill/>
            </a:ln>
          </c:spPr>
          <c:pictureOptions>
            <c:pictureFormat val="stretch"/>
          </c:pictureOptions>
          <c:dLbls>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ЦБ'!$W$3</c:f>
              <c:numCache>
                <c:formatCode>General</c:formatCode>
                <c:ptCount val="1"/>
                <c:pt idx="0">
                  <c:v>0.1135</c:v>
                </c:pt>
              </c:numCache>
            </c:numRef>
          </c:val>
        </c:ser>
        <c:ser>
          <c:idx val="18"/>
          <c:order val="22"/>
          <c:tx>
            <c:strRef>
              <c:f>'для промышленных 2012 ЦБ'!$T$2</c:f>
              <c:strCache>
                <c:ptCount val="1"/>
                <c:pt idx="0">
                  <c:v>Испания 0,1152</c:v>
                </c:pt>
              </c:strCache>
            </c:strRef>
          </c:tx>
          <c:spPr>
            <a:blipFill dpi="0" rotWithShape="0">
              <a:blip xmlns:r="http://schemas.openxmlformats.org/officeDocument/2006/relationships" r:embed="rId24"/>
              <a:srcRect/>
              <a:stretch>
                <a:fillRect/>
              </a:stretch>
            </a:blipFill>
            <a:ln w="25400">
              <a:noFill/>
            </a:ln>
          </c:spPr>
          <c:pictureOptions>
            <c:pictureFormat val="stretch"/>
          </c:pictureOptions>
          <c:dLbls>
            <c:numFmt formatCode="0.000"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ЦБ'!$T$3</c:f>
              <c:numCache>
                <c:formatCode>General</c:formatCode>
                <c:ptCount val="1"/>
                <c:pt idx="0">
                  <c:v>0.11520000000000002</c:v>
                </c:pt>
              </c:numCache>
            </c:numRef>
          </c:val>
        </c:ser>
        <c:ser>
          <c:idx val="8"/>
          <c:order val="23"/>
          <c:tx>
            <c:strRef>
              <c:f>'для промышленных 2012 ЦБ'!$H$2</c:f>
              <c:strCache>
                <c:ptCount val="1"/>
                <c:pt idx="0">
                  <c:v>Италия 0,1315</c:v>
                </c:pt>
              </c:strCache>
            </c:strRef>
          </c:tx>
          <c:spPr>
            <a:blipFill dpi="0" rotWithShape="0">
              <a:blip xmlns:r="http://schemas.openxmlformats.org/officeDocument/2006/relationships" r:embed="rId25"/>
              <a:srcRect/>
              <a:stretch>
                <a:fillRect/>
              </a:stretch>
            </a:blipFill>
            <a:ln w="12700">
              <a:solidFill>
                <a:srgbClr val="000000"/>
              </a:solidFill>
              <a:prstDash val="solid"/>
            </a:ln>
          </c:spPr>
          <c:pictureOptions>
            <c:pictureFormat val="stretch"/>
          </c:pictureOptions>
          <c:dLbls>
            <c:dLbl>
              <c:idx val="0"/>
              <c:layout>
                <c:manualLayout>
                  <c:x val="-4.4929715657803293E-2"/>
                  <c:y val="-3.2593737453906336E-3"/>
                </c:manualLayout>
              </c:layout>
              <c:tx>
                <c:rich>
                  <a:bodyPr/>
                  <a:lstStyle/>
                  <a:p>
                    <a:r>
                      <a:rPr lang="en-US"/>
                      <a:t>0,13</a:t>
                    </a:r>
                    <a:r>
                      <a:rPr lang="ru-RU"/>
                      <a:t>2</a:t>
                    </a:r>
                    <a:endParaRPr lang="en-US"/>
                  </a:p>
                </c:rich>
              </c:tx>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'для промышленных 2012 ЦБ'!$H$3</c:f>
              <c:numCache>
                <c:formatCode>General</c:formatCode>
                <c:ptCount val="1"/>
                <c:pt idx="0">
                  <c:v>0.13150000000000001</c:v>
                </c:pt>
              </c:numCache>
            </c:numRef>
          </c:val>
        </c:ser>
        <c:gapWidth val="40"/>
        <c:axId val="274286080"/>
        <c:axId val="274287616"/>
      </c:barChart>
      <c:catAx>
        <c:axId val="274286080"/>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274287616"/>
        <c:crosses val="autoZero"/>
        <c:auto val="1"/>
        <c:lblAlgn val="ctr"/>
        <c:lblOffset val="100"/>
        <c:tickLblSkip val="1"/>
        <c:tickMarkSkip val="1"/>
      </c:catAx>
      <c:valAx>
        <c:axId val="274287616"/>
        <c:scaling>
          <c:orientation val="minMax"/>
        </c:scaling>
        <c:axPos val="b"/>
        <c:numFmt formatCode="_-* #,##0.00_р_._-;\-* #,##0.00_р_._-;_-* &quot;-&quot;??_р_._-;_-@_-" sourceLinked="0"/>
        <c:tickLblPos val="nextTo"/>
        <c:spPr>
          <a:ln w="3175">
            <a:solidFill>
              <a:srgbClr val="000000"/>
            </a:solidFill>
            <a:prstDash val="solid"/>
          </a:ln>
        </c:spPr>
        <c:txPr>
          <a:bodyPr rot="0" vert="horz"/>
          <a:lstStyle/>
          <a:p>
            <a:pPr>
              <a:defRPr sz="975" b="1" i="0" u="none" strike="noStrike" baseline="0">
                <a:solidFill>
                  <a:srgbClr val="000000"/>
                </a:solidFill>
                <a:latin typeface="Arial Cyr"/>
                <a:ea typeface="Arial Cyr"/>
                <a:cs typeface="Arial Cyr"/>
              </a:defRPr>
            </a:pPr>
            <a:endParaRPr lang="ru-RU"/>
          </a:p>
        </c:txPr>
        <c:crossAx val="274286080"/>
        <c:crosses val="autoZero"/>
        <c:crossBetween val="between"/>
      </c:valAx>
      <c:spPr>
        <a:noFill/>
        <a:ln w="12700">
          <a:solidFill>
            <a:srgbClr val="808080"/>
          </a:solidFill>
          <a:prstDash val="solid"/>
        </a:ln>
      </c:spPr>
    </c:plotArea>
    <c:legend>
      <c:legendPos val="r"/>
      <c:legendEntry>
        <c:idx val="10"/>
        <c:txPr>
          <a:bodyPr/>
          <a:lstStyle/>
          <a:p>
            <a:pPr>
              <a:defRPr sz="1200" b="1">
                <a:solidFill>
                  <a:srgbClr val="00B050"/>
                </a:solidFill>
              </a:defRPr>
            </a:pPr>
            <a:endParaRPr lang="ru-RU"/>
          </a:p>
        </c:txPr>
      </c:legendEntry>
      <c:legendEntry>
        <c:idx val="19"/>
        <c:txPr>
          <a:bodyPr/>
          <a:lstStyle/>
          <a:p>
            <a:pPr>
              <a:defRPr sz="1100" b="1">
                <a:solidFill>
                  <a:srgbClr val="FF0000"/>
                </a:solidFill>
              </a:defRPr>
            </a:pPr>
            <a:endParaRPr lang="ru-RU"/>
          </a:p>
        </c:txPr>
      </c:legendEntry>
      <c:legendEntry>
        <c:idx val="21"/>
        <c:txPr>
          <a:bodyPr/>
          <a:lstStyle/>
          <a:p>
            <a:pPr>
              <a:defRPr sz="1200" b="1">
                <a:solidFill>
                  <a:srgbClr val="00B050"/>
                </a:solidFill>
              </a:defRPr>
            </a:pPr>
            <a:endParaRPr lang="ru-RU"/>
          </a:p>
        </c:txPr>
      </c:legendEntry>
      <c:layout>
        <c:manualLayout>
          <c:xMode val="edge"/>
          <c:yMode val="edge"/>
          <c:x val="0.654070858187629"/>
          <c:y val="8.8105599808810248E-3"/>
          <c:w val="0.33812658888843661"/>
          <c:h val="0.96211978389919062"/>
        </c:manualLayout>
      </c:layout>
      <c:spPr>
        <a:ln>
          <a:solidFill>
            <a:schemeClr val="accent1"/>
          </a:solidFill>
        </a:ln>
      </c:spPr>
      <c:txPr>
        <a:bodyPr/>
        <a:lstStyle/>
        <a:p>
          <a:pPr>
            <a:defRPr sz="1100"/>
          </a:pPr>
          <a:endParaRPr lang="ru-RU"/>
        </a:p>
      </c:txPr>
    </c:legend>
    <c:plotVisOnly val="1"/>
    <c:dispBlanksAs val="gap"/>
  </c:chart>
  <c:spPr>
    <a:solidFill>
      <a:schemeClr val="bg1"/>
    </a:solidFill>
    <a:ln w="9525">
      <a:solidFill>
        <a:schemeClr val="tx1"/>
      </a:solidFill>
    </a:ln>
  </c:spPr>
  <c:txPr>
    <a:bodyPr/>
    <a:lstStyle/>
    <a:p>
      <a:pPr>
        <a:defRPr sz="800" b="0" i="0" u="none" strike="noStrike" baseline="0">
          <a:solidFill>
            <a:srgbClr val="000000"/>
          </a:solidFill>
          <a:latin typeface="Arial Cyr"/>
          <a:ea typeface="Arial Cyr"/>
          <a:cs typeface="Arial Cyr"/>
        </a:defRPr>
      </a:pPr>
      <a:endParaRPr lang="ru-RU"/>
    </a:p>
  </c:txPr>
  <c:externalData r:id="rId26"/>
  <c:userShapes r:id="rId27"/>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2970602929091932E-2"/>
          <c:y val="4.7738274775094734E-3"/>
          <c:w val="0.5927256049890397"/>
          <c:h val="0.93353670162059099"/>
        </c:manualLayout>
      </c:layout>
      <c:barChart>
        <c:barDir val="bar"/>
        <c:grouping val="clustered"/>
        <c:ser>
          <c:idx val="0"/>
          <c:order val="0"/>
          <c:tx>
            <c:strRef>
              <c:f>'ППС 2012!!!!!'!$D$25</c:f>
              <c:strCache>
                <c:ptCount val="1"/>
                <c:pt idx="0">
                  <c:v>США, 0,0486</c:v>
                </c:pt>
              </c:strCache>
            </c:strRef>
          </c:tx>
          <c:spPr>
            <a:blipFill dpi="0" rotWithShape="0">
              <a:blip xmlns:r="http://schemas.openxmlformats.org/officeDocument/2006/relationships" r:embed="rId1"/>
              <a:srcRect/>
              <a:stretch>
                <a:fillRect/>
              </a:stretch>
            </a:blipFill>
            <a:ln w="12700">
              <a:solidFill>
                <a:srgbClr val="000000"/>
              </a:solidFill>
              <a:prstDash val="solid"/>
            </a:ln>
          </c:spPr>
          <c:pictureOptions>
            <c:pictureFormat val="stretch"/>
          </c:pictureOptions>
          <c:dLbls>
            <c:dLbl>
              <c:idx val="0"/>
              <c:layout>
                <c:manualLayout>
                  <c:x val="8.5485416717221427E-4"/>
                  <c:y val="9.8430965363681248E-4"/>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2012!!!!!'!$E$25</c:f>
              <c:numCache>
                <c:formatCode>General</c:formatCode>
                <c:ptCount val="1"/>
                <c:pt idx="0">
                  <c:v>4.8599999999999997E-2</c:v>
                </c:pt>
              </c:numCache>
            </c:numRef>
          </c:val>
        </c:ser>
        <c:ser>
          <c:idx val="17"/>
          <c:order val="1"/>
          <c:tx>
            <c:strRef>
              <c:f>'ППС 2012!!!!!'!$D$9</c:f>
              <c:strCache>
                <c:ptCount val="1"/>
                <c:pt idx="0">
                  <c:v>Норвегия, 0,0492</c:v>
                </c:pt>
              </c:strCache>
            </c:strRef>
          </c:tx>
          <c:spPr>
            <a:blipFill dpi="0" rotWithShape="0">
              <a:blip xmlns:r="http://schemas.openxmlformats.org/officeDocument/2006/relationships" r:embed="rId2"/>
              <a:srcRect/>
              <a:stretch>
                <a:fillRect/>
              </a:stretch>
            </a:blipFill>
            <a:ln w="12700">
              <a:solidFill>
                <a:srgbClr val="000000"/>
              </a:solidFill>
              <a:prstDash val="solid"/>
            </a:ln>
          </c:spPr>
          <c:pictureOptions>
            <c:pictureFormat val="stretch"/>
          </c:pictureOptions>
          <c:dLbls>
            <c:dLbl>
              <c:idx val="0"/>
              <c:layout>
                <c:manualLayout>
                  <c:x val="-7.1675353082883845E-3"/>
                  <c:y val="1.54791179867832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2012!!!!!'!$E$9</c:f>
              <c:numCache>
                <c:formatCode>General</c:formatCode>
                <c:ptCount val="1"/>
                <c:pt idx="0">
                  <c:v>4.9200000000000021E-2</c:v>
                </c:pt>
              </c:numCache>
            </c:numRef>
          </c:val>
        </c:ser>
        <c:ser>
          <c:idx val="15"/>
          <c:order val="2"/>
          <c:tx>
            <c:strRef>
              <c:f>'ППС 2012!!!!!'!$D$22</c:f>
              <c:strCache>
                <c:ptCount val="1"/>
                <c:pt idx="0">
                  <c:v>Финляндия, 0,0562</c:v>
                </c:pt>
              </c:strCache>
            </c:strRef>
          </c:tx>
          <c:spPr>
            <a:blipFill dpi="0" rotWithShape="0">
              <a:blip xmlns:r="http://schemas.openxmlformats.org/officeDocument/2006/relationships" r:embed="rId3"/>
              <a:srcRect/>
              <a:stretch>
                <a:fillRect/>
              </a:stretch>
            </a:blipFill>
            <a:ln w="12700">
              <a:solidFill>
                <a:srgbClr val="000000"/>
              </a:solidFill>
              <a:prstDash val="solid"/>
            </a:ln>
          </c:spPr>
          <c:pictureOptions>
            <c:pictureFormat val="stretch"/>
          </c:pictureOptions>
          <c:dLbls>
            <c:dLbl>
              <c:idx val="0"/>
              <c:layout>
                <c:manualLayout>
                  <c:x val="-3.7971973230637892E-3"/>
                  <c:y val="-6.4137003159394721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2012!!!!!'!$E$22</c:f>
              <c:numCache>
                <c:formatCode>0.0000</c:formatCode>
                <c:ptCount val="1"/>
                <c:pt idx="0">
                  <c:v>5.62E-2</c:v>
                </c:pt>
              </c:numCache>
            </c:numRef>
          </c:val>
        </c:ser>
        <c:ser>
          <c:idx val="13"/>
          <c:order val="3"/>
          <c:tx>
            <c:strRef>
              <c:f>'ППС 2012!!!!!'!$D$16</c:f>
              <c:strCache>
                <c:ptCount val="1"/>
                <c:pt idx="0">
                  <c:v>Дания, 0,0601</c:v>
                </c:pt>
              </c:strCache>
            </c:strRef>
          </c:tx>
          <c:spPr>
            <a:blipFill dpi="0" rotWithShape="0">
              <a:blip xmlns:r="http://schemas.openxmlformats.org/officeDocument/2006/relationships" r:embed="rId4"/>
              <a:srcRect/>
              <a:stretch>
                <a:fillRect/>
              </a:stretch>
            </a:blipFill>
            <a:ln w="12700">
              <a:solidFill>
                <a:srgbClr val="000000"/>
              </a:solidFill>
              <a:prstDash val="solid"/>
            </a:ln>
          </c:spPr>
          <c:pictureOptions>
            <c:pictureFormat val="stretch"/>
          </c:pictureOptions>
          <c:dLbls>
            <c:dLbl>
              <c:idx val="0"/>
              <c:layout>
                <c:manualLayout>
                  <c:x val="-8.6633705402256508E-3"/>
                  <c:y val="-2.7272299827182452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2012!!!!!'!$E$16</c:f>
              <c:numCache>
                <c:formatCode>General</c:formatCode>
                <c:ptCount val="1"/>
                <c:pt idx="0">
                  <c:v>6.0100000000000021E-2</c:v>
                </c:pt>
              </c:numCache>
            </c:numRef>
          </c:val>
        </c:ser>
        <c:ser>
          <c:idx val="16"/>
          <c:order val="4"/>
          <c:tx>
            <c:strRef>
              <c:f>'ППС 2012!!!!!'!$D$15</c:f>
              <c:strCache>
                <c:ptCount val="1"/>
                <c:pt idx="0">
                  <c:v>Швеция, 0,0609</c:v>
                </c:pt>
              </c:strCache>
            </c:strRef>
          </c:tx>
          <c:spPr>
            <a:blipFill dpi="0" rotWithShape="0">
              <a:blip xmlns:r="http://schemas.openxmlformats.org/officeDocument/2006/relationships" r:embed="rId5"/>
              <a:srcRect/>
              <a:stretch>
                <a:fillRect/>
              </a:stretch>
            </a:blipFill>
            <a:ln w="25400">
              <a:noFill/>
            </a:ln>
          </c:spPr>
          <c:pictureOptions>
            <c:pictureFormat val="stretch"/>
          </c:pictureOptions>
          <c:dLbls>
            <c:dLbl>
              <c:idx val="0"/>
              <c:layout>
                <c:manualLayout>
                  <c:x val="-5.5237566743871714E-3"/>
                  <c:y val="-4.8773355249834508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2012!!!!!'!$E$15</c:f>
              <c:numCache>
                <c:formatCode>General</c:formatCode>
                <c:ptCount val="1"/>
                <c:pt idx="0">
                  <c:v>6.0900000000000003E-2</c:v>
                </c:pt>
              </c:numCache>
            </c:numRef>
          </c:val>
        </c:ser>
        <c:ser>
          <c:idx val="14"/>
          <c:order val="5"/>
          <c:tx>
            <c:strRef>
              <c:f>'ППС 2012!!!!!'!$D$20</c:f>
              <c:strCache>
                <c:ptCount val="1"/>
                <c:pt idx="0">
                  <c:v>Франция, 0,0723</c:v>
                </c:pt>
              </c:strCache>
            </c:strRef>
          </c:tx>
          <c:spPr>
            <a:blipFill dpi="0" rotWithShape="0">
              <a:blip xmlns:r="http://schemas.openxmlformats.org/officeDocument/2006/relationships" r:embed="rId6"/>
              <a:srcRect/>
              <a:stretch>
                <a:fillRect/>
              </a:stretch>
            </a:blipFill>
            <a:ln w="12700">
              <a:solidFill>
                <a:srgbClr val="000000"/>
              </a:solidFill>
              <a:prstDash val="solid"/>
            </a:ln>
          </c:spPr>
          <c:pictureOptions>
            <c:pictureFormat val="stretch"/>
          </c:pictureOptions>
          <c:dLbls>
            <c:dLbl>
              <c:idx val="0"/>
              <c:layout>
                <c:manualLayout>
                  <c:x val="-8.6986237817300114E-3"/>
                  <c:y val="-5.0568464722860074E-3"/>
                </c:manualLayout>
              </c:layout>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dLblPos val="outEnd"/>
              <c:showVal val="1"/>
            </c:dLbl>
            <c:delete val="1"/>
          </c:dLbls>
          <c:val>
            <c:numRef>
              <c:f>'ППС 2012!!!!!'!$E$20</c:f>
              <c:numCache>
                <c:formatCode>General</c:formatCode>
                <c:ptCount val="1"/>
                <c:pt idx="0">
                  <c:v>7.2300000000000114E-2</c:v>
                </c:pt>
              </c:numCache>
            </c:numRef>
          </c:val>
        </c:ser>
        <c:ser>
          <c:idx val="12"/>
          <c:order val="6"/>
          <c:tx>
            <c:strRef>
              <c:f>'ППС 2012!!!!!'!$D$17</c:f>
              <c:strCache>
                <c:ptCount val="1"/>
                <c:pt idx="0">
                  <c:v>Нидерланды, 0,0744</c:v>
                </c:pt>
              </c:strCache>
            </c:strRef>
          </c:tx>
          <c:spPr>
            <a:blipFill dpi="0" rotWithShape="0">
              <a:blip xmlns:r="http://schemas.openxmlformats.org/officeDocument/2006/relationships" r:embed="rId7"/>
              <a:srcRect/>
              <a:stretch>
                <a:fillRect/>
              </a:stretch>
            </a:blipFill>
            <a:ln w="25400">
              <a:noFill/>
            </a:ln>
          </c:spPr>
          <c:pictureOptions>
            <c:pictureFormat val="stretch"/>
          </c:pictureOptions>
          <c:dLbls>
            <c:dLbl>
              <c:idx val="0"/>
              <c:layout>
                <c:manualLayout>
                  <c:x val="-7.071294650375399E-3"/>
                  <c:y val="1.3433315482418941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2012!!!!!'!$E$17</c:f>
              <c:numCache>
                <c:formatCode>General</c:formatCode>
                <c:ptCount val="1"/>
                <c:pt idx="0">
                  <c:v>7.4400000000000133E-2</c:v>
                </c:pt>
              </c:numCache>
            </c:numRef>
          </c:val>
        </c:ser>
        <c:ser>
          <c:idx val="19"/>
          <c:order val="7"/>
          <c:tx>
            <c:strRef>
              <c:f>'ППС 2012!!!!!'!$D$24</c:f>
              <c:strCache>
                <c:ptCount val="1"/>
                <c:pt idx="0">
                  <c:v>Эстония, 0,0862</c:v>
                </c:pt>
              </c:strCache>
            </c:strRef>
          </c:tx>
          <c:spPr>
            <a:blipFill dpi="0" rotWithShape="0">
              <a:blip xmlns:r="http://schemas.openxmlformats.org/officeDocument/2006/relationships" r:embed="rId8"/>
              <a:srcRect/>
              <a:stretch>
                <a:fillRect/>
              </a:stretch>
            </a:blipFill>
            <a:ln w="25400">
              <a:noFill/>
            </a:ln>
          </c:spPr>
          <c:pictureOptions>
            <c:pictureFormat val="stretch"/>
          </c:pictureOptions>
          <c:dLbls>
            <c:dLbl>
              <c:idx val="0"/>
              <c:tx>
                <c:rich>
                  <a:bodyPr/>
                  <a:lstStyle/>
                  <a:p>
                    <a:r>
                      <a:rPr lang="ru-RU"/>
                      <a:t>0,0862</a:t>
                    </a:r>
                  </a:p>
                </c:rich>
              </c:tx>
            </c:dLbl>
            <c:numFmt formatCode="0.000"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2012!!!!!'!$E$24</c:f>
              <c:numCache>
                <c:formatCode>General</c:formatCode>
                <c:ptCount val="1"/>
                <c:pt idx="0">
                  <c:v>8.620000000000004E-2</c:v>
                </c:pt>
              </c:numCache>
            </c:numRef>
          </c:val>
        </c:ser>
        <c:ser>
          <c:idx val="11"/>
          <c:order val="8"/>
          <c:tx>
            <c:strRef>
              <c:f>'ППС 2012!!!!!'!$D$14</c:f>
              <c:strCache>
                <c:ptCount val="1"/>
                <c:pt idx="0">
                  <c:v>Германия, 0,0864</c:v>
                </c:pt>
              </c:strCache>
            </c:strRef>
          </c:tx>
          <c:spPr>
            <a:blipFill dpi="0" rotWithShape="0">
              <a:blip xmlns:r="http://schemas.openxmlformats.org/officeDocument/2006/relationships" r:embed="rId9"/>
              <a:srcRect/>
              <a:stretch>
                <a:fillRect/>
              </a:stretch>
            </a:blipFill>
            <a:ln w="12700">
              <a:solidFill>
                <a:srgbClr val="000000"/>
              </a:solidFill>
              <a:prstDash val="solid"/>
            </a:ln>
          </c:spPr>
          <c:pictureOptions>
            <c:pictureFormat val="stretch"/>
          </c:pictureOptions>
          <c:dLbls>
            <c:dLbl>
              <c:idx val="0"/>
              <c:layout>
                <c:manualLayout>
                  <c:x val="-1.3691761560100121E-2"/>
                  <c:y val="-2.1636278376768498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2012!!!!!'!$E$14</c:f>
              <c:numCache>
                <c:formatCode>General</c:formatCode>
                <c:ptCount val="1"/>
                <c:pt idx="0">
                  <c:v>8.6400000000000018E-2</c:v>
                </c:pt>
              </c:numCache>
            </c:numRef>
          </c:val>
        </c:ser>
        <c:ser>
          <c:idx val="1"/>
          <c:order val="9"/>
          <c:tx>
            <c:strRef>
              <c:f>'ППС 2012!!!!!'!$D$11</c:f>
              <c:strCache>
                <c:ptCount val="1"/>
                <c:pt idx="0">
                  <c:v>Средний ЕС (27 стран), 0,0976</c:v>
                </c:pt>
              </c:strCache>
            </c:strRef>
          </c:tx>
          <c:spPr>
            <a:solidFill>
              <a:srgbClr val="0000FF"/>
            </a:solidFill>
            <a:ln w="12700">
              <a:solidFill>
                <a:srgbClr val="0000FF"/>
              </a:solidFill>
              <a:prstDash val="solid"/>
            </a:ln>
          </c:spPr>
          <c:dLbls>
            <c:dLbl>
              <c:idx val="0"/>
              <c:layout>
                <c:manualLayout>
                  <c:x val="-1.1756874551755421E-2"/>
                  <c:y val="1.9069336932833261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2012!!!!!'!$E$11</c:f>
              <c:numCache>
                <c:formatCode>General</c:formatCode>
                <c:ptCount val="1"/>
                <c:pt idx="0">
                  <c:v>9.7600000000000006E-2</c:v>
                </c:pt>
              </c:numCache>
            </c:numRef>
          </c:val>
        </c:ser>
        <c:ser>
          <c:idx val="10"/>
          <c:order val="10"/>
          <c:tx>
            <c:strRef>
              <c:f>'ППС 2012!!!!!'!$D$10</c:f>
              <c:strCache>
                <c:ptCount val="1"/>
                <c:pt idx="0">
                  <c:v>Великобритания, 0,1032</c:v>
                </c:pt>
              </c:strCache>
            </c:strRef>
          </c:tx>
          <c:spPr>
            <a:blipFill dpi="0" rotWithShape="0">
              <a:blip xmlns:r="http://schemas.openxmlformats.org/officeDocument/2006/relationships" r:embed="rId10"/>
              <a:srcRect/>
              <a:stretch>
                <a:fillRect/>
              </a:stretch>
            </a:blipFill>
            <a:ln w="25400">
              <a:noFill/>
            </a:ln>
          </c:spPr>
          <c:pictureOptions>
            <c:pictureFormat val="stretch"/>
          </c:pictureOptions>
          <c:dLbls>
            <c:dLbl>
              <c:idx val="0"/>
              <c:layout>
                <c:manualLayout>
                  <c:x val="-1.3651876480296811E-2"/>
                  <c:y val="-5.2864960258564193E-3"/>
                </c:manualLayout>
              </c:layout>
              <c:tx>
                <c:rich>
                  <a:bodyPr/>
                  <a:lstStyle/>
                  <a:p>
                    <a:r>
                      <a:rPr lang="ru-RU"/>
                      <a:t> 0,1032   </a:t>
                    </a:r>
                  </a:p>
                </c:rich>
              </c:tx>
              <c:dLblPos val="outEnd"/>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2012!!!!!'!$E$10</c:f>
              <c:numCache>
                <c:formatCode>General</c:formatCode>
                <c:ptCount val="1"/>
                <c:pt idx="0">
                  <c:v>0.10320000000000012</c:v>
                </c:pt>
              </c:numCache>
            </c:numRef>
          </c:val>
        </c:ser>
        <c:ser>
          <c:idx val="6"/>
          <c:order val="11"/>
          <c:tx>
            <c:strRef>
              <c:f>'ППС 2012!!!!!'!$D$12</c:f>
              <c:strCache>
                <c:ptCount val="1"/>
                <c:pt idx="0">
                  <c:v>Греция, 0,1114</c:v>
                </c:pt>
              </c:strCache>
            </c:strRef>
          </c:tx>
          <c:spPr>
            <a:blipFill dpi="0" rotWithShape="0">
              <a:blip xmlns:r="http://schemas.openxmlformats.org/officeDocument/2006/relationships" r:embed="rId11"/>
              <a:srcRect/>
              <a:stretch>
                <a:fillRect/>
              </a:stretch>
            </a:blipFill>
            <a:ln w="12700">
              <a:solidFill>
                <a:srgbClr val="000000"/>
              </a:solidFill>
              <a:prstDash val="solid"/>
            </a:ln>
          </c:spPr>
          <c:pictureOptions>
            <c:pictureFormat val="stretch"/>
          </c:pictureOptions>
          <c:dPt>
            <c:idx val="0"/>
            <c:spPr>
              <a:blipFill dpi="0" rotWithShape="0">
                <a:blip xmlns:r="http://schemas.openxmlformats.org/officeDocument/2006/relationships" r:embed="rId12"/>
                <a:srcRect/>
                <a:stretch>
                  <a:fillRect/>
                </a:stretch>
              </a:blipFill>
              <a:ln w="12700">
                <a:solidFill>
                  <a:srgbClr val="000000"/>
                </a:solidFill>
                <a:prstDash val="solid"/>
              </a:ln>
            </c:spPr>
            <c:pictureOptions>
              <c:pictureFormat val="stretch"/>
            </c:pictureOptions>
          </c:dPt>
          <c:dLbls>
            <c:dLbl>
              <c:idx val="0"/>
              <c:layout>
                <c:manualLayout>
                  <c:x val="-9.1991496094278747E-3"/>
                  <c:y val="-5.4910762762928984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2012!!!!!'!$E$12</c:f>
              <c:numCache>
                <c:formatCode>General</c:formatCode>
                <c:ptCount val="1"/>
                <c:pt idx="0">
                  <c:v>0.1114</c:v>
                </c:pt>
              </c:numCache>
            </c:numRef>
          </c:val>
        </c:ser>
        <c:ser>
          <c:idx val="18"/>
          <c:order val="12"/>
          <c:tx>
            <c:strRef>
              <c:f>'ППС 2012!!!!!'!$D$5</c:f>
              <c:strCache>
                <c:ptCount val="1"/>
                <c:pt idx="0">
                  <c:v>Испания, 0,1181</c:v>
                </c:pt>
              </c:strCache>
            </c:strRef>
          </c:tx>
          <c:spPr>
            <a:blipFill dpi="0" rotWithShape="0">
              <a:blip xmlns:r="http://schemas.openxmlformats.org/officeDocument/2006/relationships" r:embed="rId13"/>
              <a:srcRect/>
              <a:stretch>
                <a:fillRect/>
              </a:stretch>
            </a:blipFill>
            <a:ln w="25400">
              <a:noFill/>
            </a:ln>
          </c:spPr>
          <c:pictureOptions>
            <c:pictureFormat val="stretch"/>
          </c:pictureOptions>
          <c:dLbls>
            <c:dLbl>
              <c:idx val="0"/>
              <c:numFmt formatCode="0.000"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
            <c:delete val="1"/>
          </c:dLbls>
          <c:val>
            <c:numRef>
              <c:f>'ППС 2012!!!!!'!$E$5</c:f>
              <c:numCache>
                <c:formatCode>General</c:formatCode>
                <c:ptCount val="1"/>
                <c:pt idx="0">
                  <c:v>0.11810000000000002</c:v>
                </c:pt>
              </c:numCache>
            </c:numRef>
          </c:val>
        </c:ser>
        <c:ser>
          <c:idx val="3"/>
          <c:order val="13"/>
          <c:tx>
            <c:strRef>
              <c:f>'ППС 2012!!!!!'!$D$21</c:f>
              <c:strCache>
                <c:ptCount val="1"/>
                <c:pt idx="0">
                  <c:v>Россия, 0,1216</c:v>
                </c:pt>
              </c:strCache>
            </c:strRef>
          </c:tx>
          <c:spPr>
            <a:blipFill dpi="0" rotWithShape="0">
              <a:blip xmlns:r="http://schemas.openxmlformats.org/officeDocument/2006/relationships" r:embed="rId14"/>
              <a:srcRect/>
              <a:stretch>
                <a:fillRect/>
              </a:stretch>
            </a:blipFill>
            <a:ln w="12700">
              <a:solidFill>
                <a:srgbClr val="000000"/>
              </a:solidFill>
              <a:prstDash val="solid"/>
            </a:ln>
          </c:spPr>
          <c:pictureOptions>
            <c:pictureFormat val="stretch"/>
          </c:pictureOptions>
          <c:dLbls>
            <c:dLbl>
              <c:idx val="0"/>
              <c:layout>
                <c:manualLayout>
                  <c:x val="2.2598611550203452E-3"/>
                  <c:y val="-4.9274741312514154E-3"/>
                </c:manualLayout>
              </c:layout>
              <c:dLblPos val="outEnd"/>
              <c:showVal val="1"/>
            </c:dLbl>
            <c:numFmt formatCode="0.000" sourceLinked="0"/>
            <c:spPr>
              <a:noFill/>
              <a:ln w="25400">
                <a:noFill/>
              </a:ln>
            </c:spPr>
            <c:txPr>
              <a:bodyPr/>
              <a:lstStyle/>
              <a:p>
                <a:pPr>
                  <a:defRPr sz="1375" b="1" i="0" u="none" strike="noStrike" baseline="0">
                    <a:solidFill>
                      <a:srgbClr val="FF0000"/>
                    </a:solidFill>
                    <a:latin typeface="Arial Cyr"/>
                    <a:ea typeface="Arial Cyr"/>
                    <a:cs typeface="Arial Cyr"/>
                  </a:defRPr>
                </a:pPr>
                <a:endParaRPr lang="ru-RU"/>
              </a:p>
            </c:txPr>
            <c:showVal val="1"/>
          </c:dLbls>
          <c:val>
            <c:numRef>
              <c:f>'ППС 2012!!!!!'!$E$21</c:f>
              <c:numCache>
                <c:formatCode>0.0000</c:formatCode>
                <c:ptCount val="1"/>
                <c:pt idx="0">
                  <c:v>0.12160000000000012</c:v>
                </c:pt>
              </c:numCache>
            </c:numRef>
          </c:val>
        </c:ser>
        <c:ser>
          <c:idx val="8"/>
          <c:order val="14"/>
          <c:tx>
            <c:strRef>
              <c:f>'ППС 2012!!!!!'!$D$3</c:f>
              <c:strCache>
                <c:ptCount val="1"/>
                <c:pt idx="0">
                  <c:v>Италия, 0,1283</c:v>
                </c:pt>
              </c:strCache>
            </c:strRef>
          </c:tx>
          <c:spPr>
            <a:blipFill dpi="0" rotWithShape="0">
              <a:blip xmlns:r="http://schemas.openxmlformats.org/officeDocument/2006/relationships" r:embed="rId15"/>
              <a:srcRect/>
              <a:stretch>
                <a:fillRect/>
              </a:stretch>
            </a:blipFill>
            <a:ln w="25400">
              <a:noFill/>
            </a:ln>
          </c:spPr>
          <c:pictureOptions>
            <c:pictureFormat val="stretch"/>
          </c:pictureOptions>
          <c:dLbls>
            <c:dLbl>
              <c:idx val="0"/>
              <c:layout>
                <c:manualLayout>
                  <c:x val="9.2053063229528224E-3"/>
                  <c:y val="-4.7228938808149424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2012!!!!!'!$E$3</c:f>
              <c:numCache>
                <c:formatCode>General</c:formatCode>
                <c:ptCount val="1"/>
                <c:pt idx="0">
                  <c:v>0.1283</c:v>
                </c:pt>
              </c:numCache>
            </c:numRef>
          </c:val>
        </c:ser>
        <c:ser>
          <c:idx val="7"/>
          <c:order val="15"/>
          <c:tx>
            <c:strRef>
              <c:f>'ППС 2012!!!!!'!$D$19</c:f>
              <c:strCache>
                <c:ptCount val="1"/>
                <c:pt idx="0">
                  <c:v>Турция, 0,1305</c:v>
                </c:pt>
              </c:strCache>
            </c:strRef>
          </c:tx>
          <c:spPr>
            <a:blipFill dpi="0" rotWithShape="0">
              <a:blip xmlns:r="http://schemas.openxmlformats.org/officeDocument/2006/relationships" r:embed="rId16"/>
              <a:srcRect/>
              <a:stretch>
                <a:fillRect/>
              </a:stretch>
            </a:blipFill>
            <a:ln w="25400">
              <a:noFill/>
            </a:ln>
          </c:spPr>
          <c:pictureOptions>
            <c:pictureFormat val="stretch"/>
          </c:pictureOptions>
          <c:dLbls>
            <c:dLbl>
              <c:idx val="0"/>
              <c:layout>
                <c:manualLayout>
                  <c:x val="-7.9757036666689013E-3"/>
                  <c:y val="-6.4889082253412524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2012!!!!!'!$E$19</c:f>
              <c:numCache>
                <c:formatCode>General</c:formatCode>
                <c:ptCount val="1"/>
                <c:pt idx="0">
                  <c:v>0.1305</c:v>
                </c:pt>
              </c:numCache>
            </c:numRef>
          </c:val>
        </c:ser>
        <c:ser>
          <c:idx val="9"/>
          <c:order val="16"/>
          <c:tx>
            <c:strRef>
              <c:f>'ППС 2012!!!!!'!$D$13</c:f>
              <c:strCache>
                <c:ptCount val="1"/>
                <c:pt idx="0">
                  <c:v>Португалия, 0,1306</c:v>
                </c:pt>
              </c:strCache>
            </c:strRef>
          </c:tx>
          <c:spPr>
            <a:solidFill>
              <a:srgbClr val="000000"/>
            </a:solidFill>
            <a:ln w="12700">
              <a:solidFill>
                <a:srgbClr val="000000"/>
              </a:solidFill>
              <a:prstDash val="solid"/>
            </a:ln>
          </c:spPr>
          <c:dPt>
            <c:idx val="0"/>
            <c:spPr>
              <a:blipFill dpi="0" rotWithShape="0">
                <a:blip xmlns:r="http://schemas.openxmlformats.org/officeDocument/2006/relationships" r:embed="rId17"/>
                <a:srcRect/>
                <a:stretch>
                  <a:fillRect/>
                </a:stretch>
              </a:blipFill>
              <a:ln w="12700">
                <a:solidFill>
                  <a:srgbClr val="000000"/>
                </a:solidFill>
                <a:prstDash val="solid"/>
              </a:ln>
            </c:spPr>
            <c:pictureOptions>
              <c:pictureFormat val="stretch"/>
            </c:pictureOptions>
          </c:dPt>
          <c:dLbls>
            <c:dLbl>
              <c:idx val="0"/>
              <c:layout>
                <c:manualLayout>
                  <c:x val="7.3522555159882016E-4"/>
                  <c:y val="-6.0797477244684504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2012!!!!!'!$E$13</c:f>
              <c:numCache>
                <c:formatCode>General</c:formatCode>
                <c:ptCount val="1"/>
                <c:pt idx="0">
                  <c:v>0.13059999999999999</c:v>
                </c:pt>
              </c:numCache>
            </c:numRef>
          </c:val>
        </c:ser>
        <c:ser>
          <c:idx val="2"/>
          <c:order val="17"/>
          <c:tx>
            <c:strRef>
              <c:f>'ППС 2012!!!!!'!$D$8</c:f>
              <c:strCache>
                <c:ptCount val="1"/>
                <c:pt idx="0">
                  <c:v>Польша, 0,1472</c:v>
                </c:pt>
              </c:strCache>
            </c:strRef>
          </c:tx>
          <c:spPr>
            <a:blipFill dpi="0" rotWithShape="0">
              <a:blip xmlns:r="http://schemas.openxmlformats.org/officeDocument/2006/relationships" r:embed="rId18"/>
              <a:srcRect/>
              <a:stretch>
                <a:fillRect/>
              </a:stretch>
            </a:blipFill>
            <a:ln w="12700">
              <a:solidFill>
                <a:srgbClr val="000000"/>
              </a:solidFill>
              <a:prstDash val="solid"/>
            </a:ln>
          </c:spPr>
          <c:pictureOptions>
            <c:pictureFormat val="stretch"/>
          </c:pictureOptions>
          <c:dLbls>
            <c:dLbl>
              <c:idx val="0"/>
              <c:layout>
                <c:manualLayout>
                  <c:x val="-9.8664820368287269E-3"/>
                  <c:y val="1.2681236388400307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2012!!!!!'!$E$8</c:f>
              <c:numCache>
                <c:formatCode>General</c:formatCode>
                <c:ptCount val="1"/>
                <c:pt idx="0">
                  <c:v>0.14720000000000041</c:v>
                </c:pt>
              </c:numCache>
            </c:numRef>
          </c:val>
        </c:ser>
        <c:ser>
          <c:idx val="5"/>
          <c:order val="18"/>
          <c:tx>
            <c:strRef>
              <c:f>'ППС 2012!!!!!'!$D$4</c:f>
              <c:strCache>
                <c:ptCount val="1"/>
                <c:pt idx="0">
                  <c:v>Чехия, 0,1473</c:v>
                </c:pt>
              </c:strCache>
            </c:strRef>
          </c:tx>
          <c:spPr>
            <a:blipFill dpi="0" rotWithShape="0">
              <a:blip xmlns:r="http://schemas.openxmlformats.org/officeDocument/2006/relationships" r:embed="rId19"/>
              <a:srcRect/>
              <a:stretch>
                <a:fillRect/>
              </a:stretch>
            </a:blipFill>
            <a:ln w="12700">
              <a:solidFill>
                <a:srgbClr val="000000"/>
              </a:solidFill>
              <a:prstDash val="solid"/>
            </a:ln>
          </c:spPr>
          <c:pictureOptions>
            <c:pictureFormat val="stretch"/>
          </c:pictureOptions>
          <c:dLbls>
            <c:dLbl>
              <c:idx val="0"/>
              <c:layout>
                <c:manualLayout>
                  <c:x val="-1.2265050124083424E-2"/>
                  <c:y val="-4.7479631839489706E-3"/>
                </c:manualLayout>
              </c:layout>
              <c:dLblPos val="outEnd"/>
              <c:showVal val="1"/>
            </c:dLbl>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2012!!!!!'!$E$4</c:f>
              <c:numCache>
                <c:formatCode>General</c:formatCode>
                <c:ptCount val="1"/>
                <c:pt idx="0">
                  <c:v>0.14730000000000001</c:v>
                </c:pt>
              </c:numCache>
            </c:numRef>
          </c:val>
        </c:ser>
        <c:ser>
          <c:idx val="23"/>
          <c:order val="19"/>
          <c:tx>
            <c:strRef>
              <c:f>'ППС 2012!!!!!'!$D$26</c:f>
              <c:strCache>
                <c:ptCount val="1"/>
                <c:pt idx="0">
                  <c:v>Болгария 2012г., 0,1513</c:v>
                </c:pt>
              </c:strCache>
            </c:strRef>
          </c:tx>
          <c:spPr>
            <a:blipFill>
              <a:blip xmlns:r="http://schemas.openxmlformats.org/officeDocument/2006/relationships" r:embed="rId20"/>
              <a:stretch>
                <a:fillRect/>
              </a:stretch>
            </a:blipFill>
          </c:spPr>
          <c:pictureOptions>
            <c:pictureFormat val="stretch"/>
          </c:pictureOptions>
          <c:dLbls>
            <c:txPr>
              <a:bodyPr/>
              <a:lstStyle/>
              <a:p>
                <a:pPr>
                  <a:defRPr sz="1380" b="1">
                    <a:solidFill>
                      <a:srgbClr val="00B050"/>
                    </a:solidFill>
                  </a:defRPr>
                </a:pPr>
                <a:endParaRPr lang="ru-RU"/>
              </a:p>
            </c:txPr>
            <c:showVal val="1"/>
          </c:dLbls>
          <c:val>
            <c:numRef>
              <c:f>'ППС 2012!!!!!'!$E$26</c:f>
              <c:numCache>
                <c:formatCode>General</c:formatCode>
                <c:ptCount val="1"/>
                <c:pt idx="0">
                  <c:v>0.15130000000000021</c:v>
                </c:pt>
              </c:numCache>
            </c:numRef>
          </c:val>
        </c:ser>
        <c:ser>
          <c:idx val="22"/>
          <c:order val="20"/>
          <c:tx>
            <c:strRef>
              <c:f>'ППС 2012!!!!!'!$D$18</c:f>
              <c:strCache>
                <c:ptCount val="1"/>
                <c:pt idx="0">
                  <c:v>Румыния, 0,1604</c:v>
                </c:pt>
              </c:strCache>
            </c:strRef>
          </c:tx>
          <c:spPr>
            <a:blipFill dpi="0" rotWithShape="0">
              <a:blip xmlns:r="http://schemas.openxmlformats.org/officeDocument/2006/relationships" r:embed="rId21"/>
              <a:srcRect/>
              <a:stretch>
                <a:fillRect/>
              </a:stretch>
            </a:blipFill>
            <a:ln w="25400">
              <a:noFill/>
            </a:ln>
          </c:spPr>
          <c:pictureOptions>
            <c:pictureFormat val="stretch"/>
          </c:pictureOptions>
          <c:dLbls>
            <c:numFmt formatCode="0.000"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2012!!!!!'!$E$18</c:f>
              <c:numCache>
                <c:formatCode>General</c:formatCode>
                <c:ptCount val="1"/>
                <c:pt idx="0">
                  <c:v>0.16039999999999999</c:v>
                </c:pt>
              </c:numCache>
            </c:numRef>
          </c:val>
        </c:ser>
        <c:ser>
          <c:idx val="4"/>
          <c:order val="21"/>
          <c:tx>
            <c:strRef>
              <c:f>'ППС 2012!!!!!'!$D$7</c:f>
              <c:strCache>
                <c:ptCount val="1"/>
                <c:pt idx="0">
                  <c:v>Венгрия,0,1692</c:v>
                </c:pt>
              </c:strCache>
            </c:strRef>
          </c:tx>
          <c:spPr>
            <a:blipFill dpi="0" rotWithShape="0">
              <a:blip xmlns:r="http://schemas.openxmlformats.org/officeDocument/2006/relationships" r:embed="rId22"/>
              <a:srcRect/>
              <a:stretch>
                <a:fillRect/>
              </a:stretch>
            </a:blipFill>
            <a:ln w="25400">
              <a:noFill/>
            </a:ln>
          </c:spPr>
          <c:pictureOptions>
            <c:pictureFormat val="stretch"/>
          </c:pictureOptions>
          <c:dLbls>
            <c:dLbl>
              <c:idx val="0"/>
              <c:layout>
                <c:manualLayout>
                  <c:x val="-1.6134454323876515E-2"/>
                  <c:y val="1.8567950870154687E-3"/>
                </c:manualLayout>
              </c:layout>
              <c:dLblPos val="outEnd"/>
              <c:showVal val="1"/>
            </c:dLbl>
            <c:numFmt formatCode="_-* #,##0.000_р_._-;\-* #,##0.000_р_._-;_-* &quot;-&quot;??_р_._-;_-@_-"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2012!!!!!'!$E$7</c:f>
              <c:numCache>
                <c:formatCode>General</c:formatCode>
                <c:ptCount val="1"/>
                <c:pt idx="0">
                  <c:v>0.16919999999999999</c:v>
                </c:pt>
              </c:numCache>
            </c:numRef>
          </c:val>
        </c:ser>
        <c:ser>
          <c:idx val="21"/>
          <c:order val="22"/>
          <c:tx>
            <c:strRef>
              <c:f>'ППС 2012!!!!!'!$D$6</c:f>
              <c:strCache>
                <c:ptCount val="1"/>
                <c:pt idx="0">
                  <c:v>Литва, 0,1701</c:v>
                </c:pt>
              </c:strCache>
            </c:strRef>
          </c:tx>
          <c:spPr>
            <a:blipFill dpi="0" rotWithShape="0">
              <a:blip xmlns:r="http://schemas.openxmlformats.org/officeDocument/2006/relationships" r:embed="rId23"/>
              <a:srcRect/>
              <a:stretch>
                <a:fillRect/>
              </a:stretch>
            </a:blipFill>
            <a:ln w="25400">
              <a:noFill/>
            </a:ln>
          </c:spPr>
          <c:pictureOptions>
            <c:pictureFormat val="stretch"/>
          </c:pictureOptions>
          <c:dLbls>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2012!!!!!'!$E$6</c:f>
              <c:numCache>
                <c:formatCode>General</c:formatCode>
                <c:ptCount val="1"/>
                <c:pt idx="0">
                  <c:v>0.1701</c:v>
                </c:pt>
              </c:numCache>
            </c:numRef>
          </c:val>
        </c:ser>
        <c:ser>
          <c:idx val="20"/>
          <c:order val="23"/>
          <c:tx>
            <c:strRef>
              <c:f>'ППС 2012!!!!!'!$D$23</c:f>
              <c:strCache>
                <c:ptCount val="1"/>
                <c:pt idx="0">
                  <c:v>Болгария 2013г., 0,1941</c:v>
                </c:pt>
              </c:strCache>
            </c:strRef>
          </c:tx>
          <c:spPr>
            <a:blipFill dpi="0" rotWithShape="0">
              <a:blip xmlns:r="http://schemas.openxmlformats.org/officeDocument/2006/relationships" r:embed="rId20"/>
              <a:srcRect/>
              <a:stretch>
                <a:fillRect/>
              </a:stretch>
            </a:blipFill>
            <a:ln w="25400">
              <a:solidFill>
                <a:schemeClr val="tx1"/>
              </a:solidFill>
            </a:ln>
          </c:spPr>
          <c:pictureOptions>
            <c:pictureFormat val="stretch"/>
          </c:pictureOptions>
          <c:dLbls>
            <c:dLbl>
              <c:idx val="0"/>
              <c:numFmt formatCode="0.000" sourceLinked="0"/>
              <c:spPr>
                <a:noFill/>
                <a:ln w="25400">
                  <a:noFill/>
                </a:ln>
              </c:spPr>
              <c:txPr>
                <a:bodyPr/>
                <a:lstStyle/>
                <a:p>
                  <a:pPr>
                    <a:defRPr sz="1375" b="1" i="0" u="none" strike="noStrike" baseline="0">
                      <a:solidFill>
                        <a:srgbClr val="00B050"/>
                      </a:solidFill>
                      <a:latin typeface="Arial Cyr"/>
                      <a:ea typeface="Arial Cyr"/>
                      <a:cs typeface="Arial Cyr"/>
                    </a:defRPr>
                  </a:pPr>
                  <a:endParaRPr lang="ru-RU"/>
                </a:p>
              </c:txPr>
            </c:dLbl>
            <c:numFmt formatCode="0.000" sourceLinked="0"/>
            <c:spPr>
              <a:noFill/>
              <a:ln w="25400">
                <a:noFill/>
              </a:ln>
            </c:spPr>
            <c:txPr>
              <a:bodyPr/>
              <a:lstStyle/>
              <a:p>
                <a:pPr>
                  <a:defRPr sz="1375" b="1" i="0" u="none" strike="noStrike" baseline="0">
                    <a:solidFill>
                      <a:srgbClr val="000000"/>
                    </a:solidFill>
                    <a:latin typeface="Arial Cyr"/>
                    <a:ea typeface="Arial Cyr"/>
                    <a:cs typeface="Arial Cyr"/>
                  </a:defRPr>
                </a:pPr>
                <a:endParaRPr lang="ru-RU"/>
              </a:p>
            </c:txPr>
            <c:showVal val="1"/>
          </c:dLbls>
          <c:val>
            <c:numRef>
              <c:f>'ППС 2012!!!!!'!$E$23</c:f>
              <c:numCache>
                <c:formatCode>General</c:formatCode>
                <c:ptCount val="1"/>
                <c:pt idx="0">
                  <c:v>0.19409999999999999</c:v>
                </c:pt>
              </c:numCache>
            </c:numRef>
          </c:val>
        </c:ser>
        <c:gapWidth val="30"/>
        <c:axId val="274990592"/>
        <c:axId val="274992512"/>
      </c:barChart>
      <c:catAx>
        <c:axId val="274990592"/>
        <c:scaling>
          <c:orientation val="minMax"/>
        </c:scaling>
        <c:axPos val="l"/>
        <c:title>
          <c:tx>
            <c:rich>
              <a:bodyPr rot="0" vert="horz"/>
              <a:lstStyle/>
              <a:p>
                <a:pPr algn="ctr">
                  <a:defRPr sz="1125" b="1" i="0" u="none" strike="noStrike" baseline="0">
                    <a:solidFill>
                      <a:srgbClr val="000000"/>
                    </a:solidFill>
                    <a:latin typeface="Arial Cyr"/>
                    <a:ea typeface="Arial Cyr"/>
                    <a:cs typeface="Arial Cyr"/>
                  </a:defRPr>
                </a:pPr>
                <a:r>
                  <a:rPr lang="ru-RU" b="1"/>
                  <a:t>ППС</a:t>
                </a:r>
              </a:p>
            </c:rich>
          </c:tx>
          <c:layout>
            <c:manualLayout>
              <c:xMode val="edge"/>
              <c:yMode val="edge"/>
              <c:x val="1.4154632050098065E-2"/>
              <c:y val="0.95141828693290498"/>
            </c:manualLayout>
          </c:layout>
          <c:spPr>
            <a:noFill/>
            <a:ln w="25400">
              <a:noFill/>
            </a:ln>
          </c:spPr>
        </c:title>
        <c:numFmt formatCode="General" sourceLinked="1"/>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74992512"/>
        <c:crosses val="autoZero"/>
        <c:auto val="1"/>
        <c:lblAlgn val="ctr"/>
        <c:lblOffset val="100"/>
        <c:tickLblSkip val="1"/>
        <c:tickMarkSkip val="1"/>
      </c:catAx>
      <c:valAx>
        <c:axId val="274992512"/>
        <c:scaling>
          <c:orientation val="minMax"/>
        </c:scaling>
        <c:axPos val="b"/>
        <c:numFmt formatCode="_-* #,##0.00_р_._-;\-* #,##0.00_р_._-;_-* &quot;-&quot;??_р_._-;_-@_-" sourceLinked="0"/>
        <c:tickLblPos val="nextTo"/>
        <c:spPr>
          <a:ln w="3175">
            <a:solidFill>
              <a:srgbClr val="000000"/>
            </a:solidFill>
            <a:prstDash val="solid"/>
          </a:ln>
        </c:spPr>
        <c:txPr>
          <a:bodyPr rot="0" vert="horz"/>
          <a:lstStyle/>
          <a:p>
            <a:pPr>
              <a:defRPr sz="1125" b="0" i="0" u="none" strike="noStrike" baseline="0">
                <a:solidFill>
                  <a:srgbClr val="000000"/>
                </a:solidFill>
                <a:latin typeface="Arial Cyr"/>
                <a:ea typeface="Arial Cyr"/>
                <a:cs typeface="Arial Cyr"/>
              </a:defRPr>
            </a:pPr>
            <a:endParaRPr lang="ru-RU"/>
          </a:p>
        </c:txPr>
        <c:crossAx val="274990592"/>
        <c:crosses val="autoZero"/>
        <c:crossBetween val="between"/>
      </c:valAx>
      <c:spPr>
        <a:noFill/>
        <a:ln w="12700">
          <a:solidFill>
            <a:schemeClr val="tx1"/>
          </a:solidFill>
          <a:prstDash val="solid"/>
        </a:ln>
      </c:spPr>
    </c:plotArea>
    <c:legend>
      <c:legendPos val="r"/>
      <c:legendEntry>
        <c:idx val="0"/>
        <c:txPr>
          <a:bodyPr/>
          <a:lstStyle/>
          <a:p>
            <a:pPr>
              <a:defRPr sz="1200" b="1">
                <a:solidFill>
                  <a:srgbClr val="00B050"/>
                </a:solidFill>
              </a:defRPr>
            </a:pPr>
            <a:endParaRPr lang="ru-RU"/>
          </a:p>
        </c:txPr>
      </c:legendEntry>
      <c:legendEntry>
        <c:idx val="4"/>
        <c:txPr>
          <a:bodyPr/>
          <a:lstStyle/>
          <a:p>
            <a:pPr>
              <a:defRPr sz="1200" b="1">
                <a:solidFill>
                  <a:srgbClr val="00B050"/>
                </a:solidFill>
              </a:defRPr>
            </a:pPr>
            <a:endParaRPr lang="ru-RU"/>
          </a:p>
        </c:txPr>
      </c:legendEntry>
      <c:legendEntry>
        <c:idx val="10"/>
        <c:txPr>
          <a:bodyPr/>
          <a:lstStyle/>
          <a:p>
            <a:pPr>
              <a:defRPr sz="1200" b="1">
                <a:solidFill>
                  <a:srgbClr val="FF0000"/>
                </a:solidFill>
              </a:defRPr>
            </a:pPr>
            <a:endParaRPr lang="ru-RU"/>
          </a:p>
        </c:txPr>
      </c:legendEntry>
      <c:layout>
        <c:manualLayout>
          <c:xMode val="edge"/>
          <c:yMode val="edge"/>
          <c:x val="0.65000193867813483"/>
          <c:y val="1.7440054506461029E-2"/>
          <c:w val="0.34484892168647457"/>
          <c:h val="0.93417353804225756"/>
        </c:manualLayout>
      </c:layout>
      <c:spPr>
        <a:ln>
          <a:solidFill>
            <a:srgbClr val="4F81BD"/>
          </a:solidFill>
        </a:ln>
      </c:spPr>
      <c:txPr>
        <a:bodyPr/>
        <a:lstStyle/>
        <a:p>
          <a:pPr>
            <a:defRPr sz="1100"/>
          </a:pPr>
          <a:endParaRPr lang="ru-RU"/>
        </a:p>
      </c:txPr>
    </c:legend>
    <c:plotVisOnly val="1"/>
    <c:dispBlanksAs val="gap"/>
  </c:chart>
  <c:spPr>
    <a:solidFill>
      <a:sysClr val="window" lastClr="FFFFFF"/>
    </a:solidFill>
    <a:ln w="9525">
      <a:solidFill>
        <a:schemeClr val="tx1"/>
      </a:solidFill>
    </a:ln>
  </c:spPr>
  <c:txPr>
    <a:bodyPr/>
    <a:lstStyle/>
    <a:p>
      <a:pPr>
        <a:defRPr sz="1075" b="0" i="0" u="none" strike="noStrike" baseline="0">
          <a:solidFill>
            <a:srgbClr val="000000"/>
          </a:solidFill>
          <a:latin typeface="Arial Cyr"/>
          <a:ea typeface="Arial Cyr"/>
          <a:cs typeface="Arial Cyr"/>
        </a:defRPr>
      </a:pPr>
      <a:endParaRPr lang="ru-RU"/>
    </a:p>
  </c:txPr>
  <c:externalData r:id="rId24"/>
  <c:userShapes r:id="rId25"/>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8191048701222211E-2"/>
          <c:y val="8.0155357514908763E-4"/>
          <c:w val="0.61137698046466249"/>
          <c:h val="0.93298726451005898"/>
        </c:manualLayout>
      </c:layout>
      <c:barChart>
        <c:barDir val="bar"/>
        <c:grouping val="clustered"/>
        <c:ser>
          <c:idx val="3"/>
          <c:order val="0"/>
          <c:tx>
            <c:strRef>
              <c:f>'население ЦБ, 2012'!$C$3</c:f>
              <c:strCache>
                <c:ptCount val="1"/>
                <c:pt idx="0">
                  <c:v>Россия 0,0498</c:v>
                </c:pt>
              </c:strCache>
            </c:strRef>
          </c:tx>
          <c:spPr>
            <a:blipFill dpi="0" rotWithShape="0">
              <a:blip xmlns:r="http://schemas.openxmlformats.org/officeDocument/2006/relationships" r:embed="rId1"/>
              <a:srcRect/>
              <a:stretch>
                <a:fillRect/>
              </a:stretch>
            </a:blipFill>
            <a:ln w="12700">
              <a:solidFill>
                <a:srgbClr val="000000"/>
              </a:solidFill>
              <a:prstDash val="solid"/>
            </a:ln>
          </c:spPr>
          <c:pictureOptions>
            <c:pictureFormat val="stretch"/>
          </c:pictureOptions>
          <c:dLbls>
            <c:dLbl>
              <c:idx val="0"/>
              <c:layout>
                <c:manualLayout>
                  <c:x val="-1.1057491696803601E-3"/>
                  <c:y val="-1.3383781572758181E-3"/>
                </c:manualLayout>
              </c:layout>
              <c:dLblPos val="outEnd"/>
              <c:showVal val="1"/>
            </c:dLbl>
            <c:numFmt formatCode="0.000" sourceLinked="0"/>
            <c:spPr>
              <a:noFill/>
              <a:ln w="25400">
                <a:noFill/>
              </a:ln>
            </c:spPr>
            <c:txPr>
              <a:bodyPr/>
              <a:lstStyle/>
              <a:p>
                <a:pPr>
                  <a:defRPr sz="1200" b="1" i="0" u="none" strike="noStrike" baseline="0">
                    <a:solidFill>
                      <a:srgbClr val="FF0000"/>
                    </a:solidFill>
                    <a:latin typeface="Arial Cyr"/>
                    <a:ea typeface="Arial Cyr"/>
                    <a:cs typeface="Arial Cyr"/>
                  </a:defRPr>
                </a:pPr>
                <a:endParaRPr lang="ru-RU"/>
              </a:p>
            </c:txPr>
            <c:showVal val="1"/>
          </c:dLbls>
          <c:val>
            <c:numRef>
              <c:f>'население ЦБ, 2012'!$C$4</c:f>
              <c:numCache>
                <c:formatCode>0.0000</c:formatCode>
                <c:ptCount val="1"/>
                <c:pt idx="0">
                  <c:v>4.9800000000000122E-2</c:v>
                </c:pt>
              </c:numCache>
            </c:numRef>
          </c:val>
        </c:ser>
        <c:ser>
          <c:idx val="20"/>
          <c:order val="1"/>
          <c:tx>
            <c:strRef>
              <c:f>'население ЦБ, 2012'!$U$3</c:f>
              <c:strCache>
                <c:ptCount val="1"/>
                <c:pt idx="0">
                  <c:v>Болгария, 0,0706€ ЦБ</c:v>
                </c:pt>
              </c:strCache>
            </c:strRef>
          </c:tx>
          <c:spPr>
            <a:blipFill dpi="0" rotWithShape="0">
              <a:blip xmlns:r="http://schemas.openxmlformats.org/officeDocument/2006/relationships" r:embed="rId2"/>
              <a:srcRect/>
              <a:stretch>
                <a:fillRect/>
              </a:stretch>
            </a:blipFill>
            <a:ln w="25400">
              <a:solidFill>
                <a:schemeClr val="tx1"/>
              </a:solidFill>
            </a:ln>
          </c:spPr>
          <c:pictureOptions>
            <c:pictureFormat val="stretch"/>
          </c:pictureOptions>
          <c:dLbls>
            <c:numFmt formatCode="0.000" sourceLinked="0"/>
            <c:spPr>
              <a:noFill/>
              <a:ln w="25400">
                <a:noFill/>
              </a:ln>
            </c:spPr>
            <c:txPr>
              <a:bodyPr/>
              <a:lstStyle/>
              <a:p>
                <a:pPr>
                  <a:defRPr sz="1200" b="1" i="0" u="none" strike="noStrike" baseline="0">
                    <a:solidFill>
                      <a:srgbClr val="00B050"/>
                    </a:solidFill>
                    <a:latin typeface="Arial Cyr"/>
                    <a:ea typeface="Arial Cyr"/>
                    <a:cs typeface="Arial Cyr"/>
                  </a:defRPr>
                </a:pPr>
                <a:endParaRPr lang="ru-RU"/>
              </a:p>
            </c:txPr>
            <c:showVal val="1"/>
          </c:dLbls>
          <c:val>
            <c:numRef>
              <c:f>'население ЦБ, 2012'!$U$4</c:f>
              <c:numCache>
                <c:formatCode>0.0000</c:formatCode>
                <c:ptCount val="1"/>
                <c:pt idx="0">
                  <c:v>7.060000000000001E-2</c:v>
                </c:pt>
              </c:numCache>
            </c:numRef>
          </c:val>
        </c:ser>
        <c:ser>
          <c:idx val="25"/>
          <c:order val="2"/>
          <c:tx>
            <c:strRef>
              <c:f>'население ЦБ, 2012'!$Z$3</c:f>
              <c:strCache>
                <c:ptCount val="1"/>
                <c:pt idx="0">
                  <c:v>Россия ЦФО 0,0717</c:v>
                </c:pt>
              </c:strCache>
            </c:strRef>
          </c:tx>
          <c:spPr>
            <a:blipFill>
              <a:blip xmlns:r="http://schemas.openxmlformats.org/officeDocument/2006/relationships" r:embed="rId3"/>
              <a:stretch>
                <a:fillRect/>
              </a:stretch>
            </a:blipFill>
            <a:ln>
              <a:solidFill>
                <a:schemeClr val="tx1"/>
              </a:solidFill>
            </a:ln>
          </c:spPr>
          <c:pictureOptions>
            <c:pictureFormat val="stretch"/>
          </c:pictureOptions>
          <c:dPt>
            <c:idx val="0"/>
            <c:spPr>
              <a:blipFill>
                <a:blip xmlns:r="http://schemas.openxmlformats.org/officeDocument/2006/relationships" r:embed="rId4"/>
                <a:stretch>
                  <a:fillRect/>
                </a:stretch>
              </a:blipFill>
              <a:ln>
                <a:solidFill>
                  <a:schemeClr val="tx1"/>
                </a:solidFill>
              </a:ln>
            </c:spPr>
            <c:pictureOptions>
              <c:pictureFormat val="stretch"/>
            </c:pictureOptions>
          </c:dPt>
          <c:dLbls>
            <c:txPr>
              <a:bodyPr/>
              <a:lstStyle/>
              <a:p>
                <a:pPr>
                  <a:defRPr b="1">
                    <a:solidFill>
                      <a:srgbClr val="FF0000"/>
                    </a:solidFill>
                  </a:defRPr>
                </a:pPr>
                <a:endParaRPr lang="ru-RU"/>
              </a:p>
            </c:txPr>
            <c:showVal val="1"/>
          </c:dLbls>
          <c:val>
            <c:numRef>
              <c:f>'население ЦБ, 2012'!$Z$4</c:f>
              <c:numCache>
                <c:formatCode>General</c:formatCode>
                <c:ptCount val="1"/>
                <c:pt idx="0">
                  <c:v>7.1700000000000014E-2</c:v>
                </c:pt>
              </c:numCache>
            </c:numRef>
          </c:val>
        </c:ser>
        <c:ser>
          <c:idx val="19"/>
          <c:order val="3"/>
          <c:tx>
            <c:strRef>
              <c:f>'население ЦБ, 2012'!$T$3</c:f>
              <c:strCache>
                <c:ptCount val="1"/>
                <c:pt idx="0">
                  <c:v>Эстония 0,0771</c:v>
                </c:pt>
              </c:strCache>
            </c:strRef>
          </c:tx>
          <c:spPr>
            <a:blipFill dpi="0" rotWithShape="0">
              <a:blip xmlns:r="http://schemas.openxmlformats.org/officeDocument/2006/relationships" r:embed="rId5"/>
              <a:srcRect/>
              <a:stretch>
                <a:fillRect/>
              </a:stretch>
            </a:blipFill>
            <a:ln w="25400">
              <a:solidFill>
                <a:schemeClr val="tx1"/>
              </a:solidFill>
            </a:ln>
          </c:spPr>
          <c:pictureOptions>
            <c:pictureFormat val="stretch"/>
          </c:pictureOptions>
          <c:dLbls>
            <c:numFmt formatCode="0.000" sourceLinked="0"/>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2012'!$T$4</c:f>
              <c:numCache>
                <c:formatCode>0.0000</c:formatCode>
                <c:ptCount val="1"/>
                <c:pt idx="0">
                  <c:v>7.7100000000000002E-2</c:v>
                </c:pt>
              </c:numCache>
            </c:numRef>
          </c:val>
        </c:ser>
        <c:ser>
          <c:idx val="0"/>
          <c:order val="4"/>
          <c:tx>
            <c:strRef>
              <c:f>'население ЦБ, 2012'!$A$3</c:f>
              <c:strCache>
                <c:ptCount val="1"/>
                <c:pt idx="0">
                  <c:v>США (2011) 0,079</c:v>
                </c:pt>
              </c:strCache>
            </c:strRef>
          </c:tx>
          <c:spPr>
            <a:blipFill dpi="0" rotWithShape="0">
              <a:blip xmlns:r="http://schemas.openxmlformats.org/officeDocument/2006/relationships" r:embed="rId6"/>
              <a:srcRect/>
              <a:stretch>
                <a:fillRect/>
              </a:stretch>
            </a:blipFill>
            <a:ln w="12700">
              <a:solidFill>
                <a:srgbClr val="000000"/>
              </a:solidFill>
              <a:prstDash val="solid"/>
            </a:ln>
          </c:spPr>
          <c:pictureOptions>
            <c:pictureFormat val="stretch"/>
          </c:pictureOptions>
          <c:dLbls>
            <c:dLbl>
              <c:idx val="0"/>
              <c:layout>
                <c:manualLayout>
                  <c:x val="-3.3093932309884652E-3"/>
                  <c:y val="3.2098714933360495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2012'!$A$4</c:f>
              <c:numCache>
                <c:formatCode>_-* #,##0.000_р_._-;\-* #,##0.000_р_._-;_-* "-"??_р_._-;_-@_-</c:formatCode>
                <c:ptCount val="1"/>
                <c:pt idx="0">
                  <c:v>7.9000000000000348E-2</c:v>
                </c:pt>
              </c:numCache>
            </c:numRef>
          </c:val>
        </c:ser>
        <c:ser>
          <c:idx val="22"/>
          <c:order val="5"/>
          <c:tx>
            <c:strRef>
              <c:f>'население ЦБ, 2012'!$W$3</c:f>
              <c:strCache>
                <c:ptCount val="1"/>
                <c:pt idx="0">
                  <c:v>Румыния 0,0795</c:v>
                </c:pt>
              </c:strCache>
            </c:strRef>
          </c:tx>
          <c:spPr>
            <a:blipFill dpi="0" rotWithShape="0">
              <a:blip xmlns:r="http://schemas.openxmlformats.org/officeDocument/2006/relationships" r:embed="rId7"/>
              <a:srcRect/>
              <a:stretch>
                <a:fillRect/>
              </a:stretch>
            </a:blipFill>
            <a:ln w="25400">
              <a:noFill/>
            </a:ln>
          </c:spPr>
          <c:pictureOptions>
            <c:pictureFormat val="stretch"/>
          </c:pictureOptions>
          <c:dLbls>
            <c:numFmt formatCode="0.000" sourceLinked="0"/>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2012'!$W$4</c:f>
              <c:numCache>
                <c:formatCode>General</c:formatCode>
                <c:ptCount val="1"/>
                <c:pt idx="0">
                  <c:v>7.9500000000000084E-2</c:v>
                </c:pt>
              </c:numCache>
            </c:numRef>
          </c:val>
        </c:ser>
        <c:ser>
          <c:idx val="24"/>
          <c:order val="6"/>
          <c:tx>
            <c:strRef>
              <c:f>'население ЦБ, 2012'!$Y$3</c:f>
              <c:strCache>
                <c:ptCount val="1"/>
                <c:pt idx="0">
                  <c:v>Болгария, 2013, 0,092 € ЦБ </c:v>
                </c:pt>
              </c:strCache>
            </c:strRef>
          </c:tx>
          <c:spPr>
            <a:blipFill>
              <a:blip xmlns:r="http://schemas.openxmlformats.org/officeDocument/2006/relationships" r:embed="rId2"/>
              <a:stretch>
                <a:fillRect/>
              </a:stretch>
            </a:blipFill>
            <a:ln>
              <a:solidFill>
                <a:schemeClr val="tx1"/>
              </a:solidFill>
            </a:ln>
          </c:spPr>
          <c:pictureOptions>
            <c:pictureFormat val="stretch"/>
          </c:pictureOptions>
          <c:dLbls>
            <c:txPr>
              <a:bodyPr/>
              <a:lstStyle/>
              <a:p>
                <a:pPr>
                  <a:defRPr b="1">
                    <a:solidFill>
                      <a:srgbClr val="00B050"/>
                    </a:solidFill>
                  </a:defRPr>
                </a:pPr>
                <a:endParaRPr lang="ru-RU"/>
              </a:p>
            </c:txPr>
            <c:showVal val="1"/>
          </c:dLbls>
          <c:val>
            <c:numRef>
              <c:f>'население ЦБ, 2012'!$Y$4</c:f>
              <c:numCache>
                <c:formatCode>0.0000</c:formatCode>
                <c:ptCount val="1"/>
                <c:pt idx="0">
                  <c:v>9.2000000000000026E-2</c:v>
                </c:pt>
              </c:numCache>
            </c:numRef>
          </c:val>
        </c:ser>
        <c:ser>
          <c:idx val="14"/>
          <c:order val="7"/>
          <c:tx>
            <c:strRef>
              <c:f>'население ЦБ, 2012'!$Q$3</c:f>
              <c:strCache>
                <c:ptCount val="1"/>
                <c:pt idx="0">
                  <c:v>Франция 0,0986</c:v>
                </c:pt>
              </c:strCache>
            </c:strRef>
          </c:tx>
          <c:spPr>
            <a:blipFill dpi="0" rotWithShape="0">
              <a:blip xmlns:r="http://schemas.openxmlformats.org/officeDocument/2006/relationships" r:embed="rId8"/>
              <a:srcRect/>
              <a:stretch>
                <a:fillRect/>
              </a:stretch>
            </a:blipFill>
            <a:ln w="25400">
              <a:noFill/>
            </a:ln>
          </c:spPr>
          <c:pictureOptions>
            <c:pictureFormat val="stretch"/>
          </c:pictureOptions>
          <c:dLbls>
            <c:dLbl>
              <c:idx val="0"/>
              <c:layout>
                <c:manualLayout>
                  <c:x val="-1.3672749000947461E-2"/>
                  <c:y val="-1.8121825680880947E-3"/>
                </c:manualLayout>
              </c:layout>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dLblPos val="outEnd"/>
              <c:showVal val="1"/>
            </c:dLbl>
            <c:delete val="1"/>
          </c:dLbls>
          <c:val>
            <c:numRef>
              <c:f>'население ЦБ, 2012'!$Q$4</c:f>
              <c:numCache>
                <c:formatCode>_-* #,##0.000_р_._-;\-* #,##0.000_р_._-;_-* "-"??_р_._-;_-@_-</c:formatCode>
                <c:ptCount val="1"/>
                <c:pt idx="0">
                  <c:v>9.860000000000059E-2</c:v>
                </c:pt>
              </c:numCache>
            </c:numRef>
          </c:val>
        </c:ser>
        <c:ser>
          <c:idx val="21"/>
          <c:order val="8"/>
          <c:tx>
            <c:strRef>
              <c:f>'население ЦБ, 2012'!$V$3</c:f>
              <c:strCache>
                <c:ptCount val="1"/>
                <c:pt idx="0">
                  <c:v>Литва 0,1042</c:v>
                </c:pt>
              </c:strCache>
            </c:strRef>
          </c:tx>
          <c:spPr>
            <a:blipFill dpi="0" rotWithShape="0">
              <a:blip xmlns:r="http://schemas.openxmlformats.org/officeDocument/2006/relationships" r:embed="rId9"/>
              <a:srcRect/>
              <a:stretch>
                <a:fillRect/>
              </a:stretch>
            </a:blipFill>
            <a:ln w="25400">
              <a:noFill/>
            </a:ln>
          </c:spPr>
          <c:pictureOptions>
            <c:pictureFormat val="stretch"/>
          </c:pictureOptions>
          <c:dLbls>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2012'!$V$4</c:f>
              <c:numCache>
                <c:formatCode>0.0000</c:formatCode>
                <c:ptCount val="1"/>
                <c:pt idx="0">
                  <c:v>0.10420000000000022</c:v>
                </c:pt>
              </c:numCache>
            </c:numRef>
          </c:val>
        </c:ser>
        <c:ser>
          <c:idx val="7"/>
          <c:order val="9"/>
          <c:tx>
            <c:strRef>
              <c:f>'население ЦБ, 2012'!$G$3</c:f>
              <c:strCache>
                <c:ptCount val="1"/>
                <c:pt idx="0">
                  <c:v>Турция 0,105</c:v>
                </c:pt>
              </c:strCache>
            </c:strRef>
          </c:tx>
          <c:spPr>
            <a:blipFill dpi="0" rotWithShape="0">
              <a:blip xmlns:r="http://schemas.openxmlformats.org/officeDocument/2006/relationships" r:embed="rId10"/>
              <a:srcRect/>
              <a:stretch>
                <a:fillRect/>
              </a:stretch>
            </a:blipFill>
            <a:ln w="25400">
              <a:noFill/>
            </a:ln>
          </c:spPr>
          <c:pictureOptions>
            <c:pictureFormat val="stretch"/>
          </c:pictureOptions>
          <c:dLbls>
            <c:dLbl>
              <c:idx val="0"/>
              <c:layout>
                <c:manualLayout>
                  <c:x val="-1.1650579902111699E-2"/>
                  <c:y val="-3.2000545386372688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2012'!$G$4</c:f>
              <c:numCache>
                <c:formatCode>_-* #,##0.000_р_._-;\-* #,##0.000_р_._-;_-* "-"??_р_._-;_-@_-</c:formatCode>
                <c:ptCount val="1"/>
                <c:pt idx="0">
                  <c:v>0.10500000000000002</c:v>
                </c:pt>
              </c:numCache>
            </c:numRef>
          </c:val>
        </c:ser>
        <c:ser>
          <c:idx val="6"/>
          <c:order val="10"/>
          <c:tx>
            <c:strRef>
              <c:f>'население ЦБ, 2012'!$F$3</c:f>
              <c:strCache>
                <c:ptCount val="1"/>
                <c:pt idx="0">
                  <c:v>Греция 0,1065</c:v>
                </c:pt>
              </c:strCache>
            </c:strRef>
          </c:tx>
          <c:spPr>
            <a:blipFill dpi="0" rotWithShape="0">
              <a:blip xmlns:r="http://schemas.openxmlformats.org/officeDocument/2006/relationships" r:embed="rId11"/>
              <a:srcRect/>
              <a:stretch>
                <a:fillRect/>
              </a:stretch>
            </a:blipFill>
            <a:ln w="25400">
              <a:noFill/>
            </a:ln>
          </c:spPr>
          <c:pictureOptions>
            <c:pictureFormat val="stretch"/>
          </c:pictureOptions>
          <c:dLbls>
            <c:dLbl>
              <c:idx val="0"/>
              <c:layout>
                <c:manualLayout>
                  <c:x val="-1.3521341241230783E-2"/>
                  <c:y val="-1.683880424037902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2012'!$F$4</c:f>
              <c:numCache>
                <c:formatCode>_-* #,##0.000_р_._-;\-* #,##0.000_р_._-;_-* "-"??_р_._-;_-@_-</c:formatCode>
                <c:ptCount val="1"/>
                <c:pt idx="0">
                  <c:v>0.10650000000000009</c:v>
                </c:pt>
              </c:numCache>
            </c:numRef>
          </c:val>
        </c:ser>
        <c:ser>
          <c:idx val="15"/>
          <c:order val="11"/>
          <c:tx>
            <c:strRef>
              <c:f>'население ЦБ, 2012'!$R$3</c:f>
              <c:strCache>
                <c:ptCount val="1"/>
                <c:pt idx="0">
                  <c:v>Финляндия 0,1089</c:v>
                </c:pt>
              </c:strCache>
            </c:strRef>
          </c:tx>
          <c:spPr>
            <a:blipFill dpi="0" rotWithShape="0">
              <a:blip xmlns:r="http://schemas.openxmlformats.org/officeDocument/2006/relationships" r:embed="rId12"/>
              <a:srcRect/>
              <a:stretch>
                <a:fillRect/>
              </a:stretch>
            </a:blipFill>
            <a:ln w="12700">
              <a:solidFill>
                <a:srgbClr val="000000"/>
              </a:solidFill>
              <a:prstDash val="solid"/>
            </a:ln>
          </c:spPr>
          <c:pictureOptions>
            <c:pictureFormat val="stretch"/>
          </c:pictureOptions>
          <c:dLbls>
            <c:dLbl>
              <c:idx val="0"/>
              <c:layout>
                <c:manualLayout>
                  <c:x val="-7.7254551583362018E-3"/>
                  <c:y val="-2.5479087841292292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2012'!$R$4</c:f>
              <c:numCache>
                <c:formatCode>_-* #,##0.000_р_._-;\-* #,##0.000_р_._-;_-* "-"??_р_._-;_-@_-</c:formatCode>
                <c:ptCount val="1"/>
                <c:pt idx="0">
                  <c:v>0.10890000000000002</c:v>
                </c:pt>
              </c:numCache>
            </c:numRef>
          </c:val>
        </c:ser>
        <c:ser>
          <c:idx val="9"/>
          <c:order val="12"/>
          <c:tx>
            <c:strRef>
              <c:f>'население ЦБ, 2012'!$I$3</c:f>
              <c:strCache>
                <c:ptCount val="1"/>
                <c:pt idx="0">
                  <c:v>Португалия 0,1105</c:v>
                </c:pt>
              </c:strCache>
            </c:strRef>
          </c:tx>
          <c:spPr>
            <a:blipFill dpi="0" rotWithShape="0">
              <a:blip xmlns:r="http://schemas.openxmlformats.org/officeDocument/2006/relationships" r:embed="rId13"/>
              <a:srcRect/>
              <a:stretch>
                <a:fillRect/>
              </a:stretch>
            </a:blipFill>
            <a:ln w="25400">
              <a:noFill/>
            </a:ln>
          </c:spPr>
          <c:pictureOptions>
            <c:pictureFormat val="stretch"/>
          </c:pictureOptions>
          <c:dLbls>
            <c:dLbl>
              <c:idx val="0"/>
              <c:layout>
                <c:manualLayout>
                  <c:x val="-3.0152340276489412E-3"/>
                  <c:y val="-2.2468555066980102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2012'!$I$4</c:f>
              <c:numCache>
                <c:formatCode>_-* #,##0.000_р_._-;\-* #,##0.000_р_._-;_-* "-"??_р_._-;_-@_-</c:formatCode>
                <c:ptCount val="1"/>
                <c:pt idx="0">
                  <c:v>0.1105</c:v>
                </c:pt>
              </c:numCache>
            </c:numRef>
          </c:val>
        </c:ser>
        <c:ser>
          <c:idx val="2"/>
          <c:order val="13"/>
          <c:tx>
            <c:strRef>
              <c:f>'население ЦБ, 2012'!$B$3</c:f>
              <c:strCache>
                <c:ptCount val="1"/>
                <c:pt idx="0">
                  <c:v>Польша 0,1106</c:v>
                </c:pt>
              </c:strCache>
            </c:strRef>
          </c:tx>
          <c:spPr>
            <a:blipFill dpi="0" rotWithShape="0">
              <a:blip xmlns:r="http://schemas.openxmlformats.org/officeDocument/2006/relationships" r:embed="rId14"/>
              <a:srcRect/>
              <a:stretch>
                <a:fillRect/>
              </a:stretch>
            </a:blipFill>
            <a:ln w="12700">
              <a:solidFill>
                <a:srgbClr val="000000"/>
              </a:solidFill>
              <a:prstDash val="solid"/>
            </a:ln>
          </c:spPr>
          <c:pictureOptions>
            <c:pictureFormat val="stretch"/>
          </c:pictureOptions>
          <c:dLbls>
            <c:dLbl>
              <c:idx val="0"/>
              <c:layout>
                <c:manualLayout>
                  <c:x val="-1.4897261265467239E-2"/>
                  <c:y val="5.6735180829669014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2012'!$B$4</c:f>
              <c:numCache>
                <c:formatCode>_-* #,##0.000_р_._-;\-* #,##0.000_р_._-;_-* "-"??_р_._-;_-@_-</c:formatCode>
                <c:ptCount val="1"/>
                <c:pt idx="0">
                  <c:v>0.1106</c:v>
                </c:pt>
              </c:numCache>
            </c:numRef>
          </c:val>
        </c:ser>
        <c:ser>
          <c:idx val="4"/>
          <c:order val="14"/>
          <c:tx>
            <c:strRef>
              <c:f>'население ЦБ, 2012'!$D$3</c:f>
              <c:strCache>
                <c:ptCount val="1"/>
                <c:pt idx="0">
                  <c:v>Венгрия 0,1197</c:v>
                </c:pt>
              </c:strCache>
            </c:strRef>
          </c:tx>
          <c:spPr>
            <a:blipFill dpi="0" rotWithShape="0">
              <a:blip xmlns:r="http://schemas.openxmlformats.org/officeDocument/2006/relationships" r:embed="rId15"/>
              <a:srcRect/>
              <a:stretch>
                <a:fillRect/>
              </a:stretch>
            </a:blipFill>
            <a:ln w="25400">
              <a:noFill/>
            </a:ln>
          </c:spPr>
          <c:pictureOptions>
            <c:pictureFormat val="stretch"/>
          </c:pictureOptions>
          <c:dLbls>
            <c:dLbl>
              <c:idx val="0"/>
              <c:layout>
                <c:manualLayout>
                  <c:x val="-1.9820415267638582E-2"/>
                  <c:y val="4.9377918669257373E-3"/>
                </c:manualLayout>
              </c:layout>
              <c:dLblPos val="outEnd"/>
              <c:showVal val="1"/>
            </c:dLbl>
            <c:numFmt formatCode="_-* #,##0.000_р_._-;\-* #,##0.000_р_._-;_-* &quot;-&quot;??_р_._-;_-@_-" sourceLinked="0"/>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2012'!$D$4</c:f>
              <c:numCache>
                <c:formatCode>_-* #,##0.000_р_._-;\-* #,##0.000_р_._-;_-* "-"??_р_._-;_-@_-</c:formatCode>
                <c:ptCount val="1"/>
                <c:pt idx="0">
                  <c:v>0.11970000000000022</c:v>
                </c:pt>
              </c:numCache>
            </c:numRef>
          </c:val>
        </c:ser>
        <c:ser>
          <c:idx val="5"/>
          <c:order val="15"/>
          <c:tx>
            <c:strRef>
              <c:f>'население ЦБ, 2012'!$E$3</c:f>
              <c:strCache>
                <c:ptCount val="1"/>
                <c:pt idx="0">
                  <c:v>Чехия 0,1235</c:v>
                </c:pt>
              </c:strCache>
            </c:strRef>
          </c:tx>
          <c:spPr>
            <a:blipFill dpi="0" rotWithShape="0">
              <a:blip xmlns:r="http://schemas.openxmlformats.org/officeDocument/2006/relationships" r:embed="rId16"/>
              <a:srcRect/>
              <a:stretch>
                <a:fillRect/>
              </a:stretch>
            </a:blipFill>
            <a:ln w="12700">
              <a:solidFill>
                <a:srgbClr val="000000"/>
              </a:solidFill>
              <a:prstDash val="solid"/>
            </a:ln>
          </c:spPr>
          <c:pictureOptions>
            <c:pictureFormat val="stretch"/>
          </c:pictureOptions>
          <c:dLbls>
            <c:dLbl>
              <c:idx val="0"/>
              <c:layout>
                <c:manualLayout>
                  <c:x val="-1.6610642690138649E-2"/>
                  <c:y val="-1.7284657599618387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2012'!$E$4</c:f>
              <c:numCache>
                <c:formatCode>_-* #,##0.000_р_._-;\-* #,##0.000_р_._-;_-* "-"??_р_._-;_-@_-</c:formatCode>
                <c:ptCount val="1"/>
                <c:pt idx="0">
                  <c:v>0.12350000000000012</c:v>
                </c:pt>
              </c:numCache>
            </c:numRef>
          </c:val>
        </c:ser>
        <c:ser>
          <c:idx val="16"/>
          <c:order val="16"/>
          <c:tx>
            <c:strRef>
              <c:f>'население ЦБ, 2012'!$N$3</c:f>
              <c:strCache>
                <c:ptCount val="1"/>
                <c:pt idx="0">
                  <c:v>Швеция 0,1312</c:v>
                </c:pt>
              </c:strCache>
            </c:strRef>
          </c:tx>
          <c:spPr>
            <a:blipFill dpi="0" rotWithShape="0">
              <a:blip xmlns:r="http://schemas.openxmlformats.org/officeDocument/2006/relationships" r:embed="rId17"/>
              <a:srcRect/>
              <a:stretch>
                <a:fillRect/>
              </a:stretch>
            </a:blipFill>
            <a:ln w="25400">
              <a:noFill/>
            </a:ln>
          </c:spPr>
          <c:pictureOptions>
            <c:pictureFormat val="stretch"/>
          </c:pictureOptions>
          <c:dLbls>
            <c:dLbl>
              <c:idx val="0"/>
              <c:layout>
                <c:manualLayout>
                  <c:x val="-1.0193389163406808E-2"/>
                  <c:y val="-9.0356887207277727E-4"/>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2012'!$N$4</c:f>
              <c:numCache>
                <c:formatCode>_-* #,##0.000_р_._-;\-* #,##0.000_р_._-;_-* "-"??_р_._-;_-@_-</c:formatCode>
                <c:ptCount val="1"/>
                <c:pt idx="0">
                  <c:v>0.13120000000000001</c:v>
                </c:pt>
              </c:numCache>
            </c:numRef>
          </c:val>
        </c:ser>
        <c:ser>
          <c:idx val="13"/>
          <c:order val="17"/>
          <c:tx>
            <c:strRef>
              <c:f>'население ЦБ, 2012'!$P$3</c:f>
              <c:strCache>
                <c:ptCount val="1"/>
                <c:pt idx="0">
                  <c:v>Дания 0,1314</c:v>
                </c:pt>
              </c:strCache>
            </c:strRef>
          </c:tx>
          <c:spPr>
            <a:blipFill dpi="0" rotWithShape="0">
              <a:blip xmlns:r="http://schemas.openxmlformats.org/officeDocument/2006/relationships" r:embed="rId18"/>
              <a:srcRect/>
              <a:stretch>
                <a:fillRect/>
              </a:stretch>
            </a:blipFill>
            <a:ln w="12700">
              <a:solidFill>
                <a:srgbClr val="000000"/>
              </a:solidFill>
              <a:prstDash val="solid"/>
            </a:ln>
          </c:spPr>
          <c:pictureOptions>
            <c:pictureFormat val="stretch"/>
          </c:pictureOptions>
          <c:dLbls>
            <c:dLbl>
              <c:idx val="0"/>
              <c:layout>
                <c:manualLayout>
                  <c:x val="-1.3612249648344689E-2"/>
                  <c:y val="1.5209462453557041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2012'!$P$4</c:f>
              <c:numCache>
                <c:formatCode>_-* #,##0.000_р_._-;\-* #,##0.000_р_._-;_-* "-"??_р_._-;_-@_-</c:formatCode>
                <c:ptCount val="1"/>
                <c:pt idx="0">
                  <c:v>0.13139999999999999</c:v>
                </c:pt>
              </c:numCache>
            </c:numRef>
          </c:val>
        </c:ser>
        <c:ser>
          <c:idx val="1"/>
          <c:order val="18"/>
          <c:tx>
            <c:strRef>
              <c:f>'население ЦБ, 2012'!$J$3</c:f>
              <c:strCache>
                <c:ptCount val="1"/>
                <c:pt idx="0">
                  <c:v>Средний ЕС (27 стран) 0,1316</c:v>
                </c:pt>
              </c:strCache>
            </c:strRef>
          </c:tx>
          <c:spPr>
            <a:solidFill>
              <a:srgbClr val="0000FF"/>
            </a:solidFill>
            <a:ln w="12700">
              <a:solidFill>
                <a:srgbClr val="0000FF"/>
              </a:solidFill>
              <a:prstDash val="solid"/>
            </a:ln>
          </c:spPr>
          <c:dLbls>
            <c:dLbl>
              <c:idx val="0"/>
              <c:layout>
                <c:manualLayout>
                  <c:x val="-1.6445750553290461E-2"/>
                  <c:y val="5.3724648055356594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2012'!$J$4</c:f>
              <c:numCache>
                <c:formatCode>_-* #,##0.000_р_._-;\-* #,##0.000_р_._-;_-* "-"??_р_._-;_-@_-</c:formatCode>
                <c:ptCount val="1"/>
                <c:pt idx="0">
                  <c:v>0.13159999999999999</c:v>
                </c:pt>
              </c:numCache>
            </c:numRef>
          </c:val>
        </c:ser>
        <c:ser>
          <c:idx val="12"/>
          <c:order val="19"/>
          <c:tx>
            <c:strRef>
              <c:f>'население ЦБ, 2012'!$M$3</c:f>
              <c:strCache>
                <c:ptCount val="1"/>
                <c:pt idx="0">
                  <c:v>Нидерланды 0,1317</c:v>
                </c:pt>
              </c:strCache>
            </c:strRef>
          </c:tx>
          <c:spPr>
            <a:blipFill dpi="0" rotWithShape="0">
              <a:blip xmlns:r="http://schemas.openxmlformats.org/officeDocument/2006/relationships" r:embed="rId19"/>
              <a:srcRect/>
              <a:stretch>
                <a:fillRect/>
              </a:stretch>
            </a:blipFill>
            <a:ln w="25400">
              <a:noFill/>
            </a:ln>
          </c:spPr>
          <c:pictureOptions>
            <c:pictureFormat val="stretch"/>
          </c:pictureOptions>
          <c:dLbls>
            <c:dLbl>
              <c:idx val="0"/>
              <c:layout>
                <c:manualLayout>
                  <c:x val="-1.127633711930588E-2"/>
                  <c:y val="5.0269625387735963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2012'!$M$4</c:f>
              <c:numCache>
                <c:formatCode>_-* #,##0.000_р_._-;\-* #,##0.000_р_._-;_-* "-"??_р_._-;_-@_-</c:formatCode>
                <c:ptCount val="1"/>
                <c:pt idx="0">
                  <c:v>0.13170000000000001</c:v>
                </c:pt>
              </c:numCache>
            </c:numRef>
          </c:val>
        </c:ser>
        <c:ser>
          <c:idx val="17"/>
          <c:order val="20"/>
          <c:tx>
            <c:strRef>
              <c:f>'население ЦБ, 2012'!$O$3</c:f>
              <c:strCache>
                <c:ptCount val="1"/>
                <c:pt idx="0">
                  <c:v>Норвегия 0,1355</c:v>
                </c:pt>
              </c:strCache>
            </c:strRef>
          </c:tx>
          <c:spPr>
            <a:blipFill dpi="0" rotWithShape="0">
              <a:blip xmlns:r="http://schemas.openxmlformats.org/officeDocument/2006/relationships" r:embed="rId20"/>
              <a:srcRect/>
              <a:stretch>
                <a:fillRect/>
              </a:stretch>
            </a:blipFill>
            <a:ln w="12700">
              <a:solidFill>
                <a:srgbClr val="000000"/>
              </a:solidFill>
              <a:prstDash val="solid"/>
            </a:ln>
          </c:spPr>
          <c:pictureOptions>
            <c:pictureFormat val="stretch"/>
          </c:pictureOptions>
          <c:dLbls>
            <c:dLbl>
              <c:idx val="0"/>
              <c:layout>
                <c:manualLayout>
                  <c:x val="-1.2065614314807203E-2"/>
                  <c:y val="4.854211405392563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2012'!$O$4</c:f>
              <c:numCache>
                <c:formatCode>_-* #,##0.000_р_._-;\-* #,##0.000_р_._-;_-* "-"??_р_._-;_-@_-</c:formatCode>
                <c:ptCount val="1"/>
                <c:pt idx="0">
                  <c:v>0.13550000000000001</c:v>
                </c:pt>
              </c:numCache>
            </c:numRef>
          </c:val>
        </c:ser>
        <c:ser>
          <c:idx val="11"/>
          <c:order val="21"/>
          <c:tx>
            <c:strRef>
              <c:f>'население ЦБ, 2012'!$L$3</c:f>
              <c:strCache>
                <c:ptCount val="1"/>
                <c:pt idx="0">
                  <c:v>Германия 0,1441</c:v>
                </c:pt>
              </c:strCache>
            </c:strRef>
          </c:tx>
          <c:spPr>
            <a:blipFill dpi="0" rotWithShape="0">
              <a:blip xmlns:r="http://schemas.openxmlformats.org/officeDocument/2006/relationships" r:embed="rId21"/>
              <a:srcRect/>
              <a:stretch>
                <a:fillRect/>
              </a:stretch>
            </a:blipFill>
            <a:ln w="12700">
              <a:solidFill>
                <a:srgbClr val="000000"/>
              </a:solidFill>
              <a:prstDash val="solid"/>
            </a:ln>
          </c:spPr>
          <c:pictureOptions>
            <c:pictureFormat val="stretch"/>
          </c:pictureOptions>
          <c:dLbls>
            <c:dLbl>
              <c:idx val="0"/>
              <c:layout>
                <c:manualLayout>
                  <c:x val="-1.7343390800992099E-2"/>
                  <c:y val="5.6788356000956339E-4"/>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2012'!$L$4</c:f>
              <c:numCache>
                <c:formatCode>_-* #,##0.000_р_._-;\-* #,##0.000_р_._-;_-* "-"??_р_._-;_-@_-</c:formatCode>
                <c:ptCount val="1"/>
                <c:pt idx="0">
                  <c:v>0.14410000000000001</c:v>
                </c:pt>
              </c:numCache>
            </c:numRef>
          </c:val>
        </c:ser>
        <c:ser>
          <c:idx val="18"/>
          <c:order val="22"/>
          <c:tx>
            <c:strRef>
              <c:f>'население ЦБ, 2012'!$S$3</c:f>
              <c:strCache>
                <c:ptCount val="1"/>
                <c:pt idx="0">
                  <c:v>Испания 0,1469</c:v>
                </c:pt>
              </c:strCache>
            </c:strRef>
          </c:tx>
          <c:spPr>
            <a:blipFill dpi="0" rotWithShape="0">
              <a:blip xmlns:r="http://schemas.openxmlformats.org/officeDocument/2006/relationships" r:embed="rId22"/>
              <a:srcRect/>
              <a:stretch>
                <a:fillRect/>
              </a:stretch>
            </a:blipFill>
            <a:ln w="25400">
              <a:noFill/>
            </a:ln>
          </c:spPr>
          <c:pictureOptions>
            <c:pictureFormat val="stretch"/>
          </c:pictureOptions>
          <c:dLbls>
            <c:dLbl>
              <c:idx val="0"/>
              <c:numFmt formatCode="0.000" sourceLinked="0"/>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
            <c:delete val="1"/>
          </c:dLbls>
          <c:val>
            <c:numRef>
              <c:f>'население ЦБ, 2012'!$S$4</c:f>
              <c:numCache>
                <c:formatCode>0.00000</c:formatCode>
                <c:ptCount val="1"/>
                <c:pt idx="0">
                  <c:v>0.14690000000000075</c:v>
                </c:pt>
              </c:numCache>
            </c:numRef>
          </c:val>
        </c:ser>
        <c:ser>
          <c:idx val="8"/>
          <c:order val="23"/>
          <c:tx>
            <c:strRef>
              <c:f>'население ЦБ, 2012'!$H$3</c:f>
              <c:strCache>
                <c:ptCount val="1"/>
                <c:pt idx="0">
                  <c:v>Италия 0,1485</c:v>
                </c:pt>
              </c:strCache>
            </c:strRef>
          </c:tx>
          <c:spPr>
            <a:blipFill dpi="0" rotWithShape="0">
              <a:blip xmlns:r="http://schemas.openxmlformats.org/officeDocument/2006/relationships" r:embed="rId23"/>
              <a:srcRect/>
              <a:stretch>
                <a:fillRect/>
              </a:stretch>
            </a:blipFill>
            <a:ln w="25400">
              <a:noFill/>
            </a:ln>
          </c:spPr>
          <c:pictureOptions>
            <c:pictureFormat val="stretch"/>
          </c:pictureOptions>
          <c:dLbls>
            <c:dLbl>
              <c:idx val="0"/>
              <c:layout>
                <c:manualLayout>
                  <c:x val="4.0972514635770904E-3"/>
                  <c:y val="-1.5111292906568449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2012'!$H$4</c:f>
              <c:numCache>
                <c:formatCode>_-* #,##0.000_р_._-;\-* #,##0.000_р_._-;_-* "-"??_р_._-;_-@_-</c:formatCode>
                <c:ptCount val="1"/>
                <c:pt idx="0">
                  <c:v>0.14850000000000024</c:v>
                </c:pt>
              </c:numCache>
            </c:numRef>
          </c:val>
        </c:ser>
        <c:ser>
          <c:idx val="23"/>
          <c:order val="24"/>
          <c:tx>
            <c:strRef>
              <c:f>'население ЦБ, 2012'!$X$3</c:f>
              <c:strCache>
                <c:ptCount val="1"/>
                <c:pt idx="0">
                  <c:v>Бельгия 0,159</c:v>
                </c:pt>
              </c:strCache>
            </c:strRef>
          </c:tx>
          <c:spPr>
            <a:blipFill dpi="0" rotWithShape="0">
              <a:blip xmlns:r="http://schemas.openxmlformats.org/officeDocument/2006/relationships" r:embed="rId24"/>
              <a:srcRect/>
              <a:stretch>
                <a:fillRect/>
              </a:stretch>
            </a:blipFill>
            <a:ln w="25400">
              <a:noFill/>
            </a:ln>
          </c:spPr>
          <c:pictureOptions>
            <c:pictureFormat val="stretch"/>
          </c:pictureOptions>
          <c:dLbls>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2012'!$X$4</c:f>
              <c:numCache>
                <c:formatCode>0.000</c:formatCode>
                <c:ptCount val="1"/>
                <c:pt idx="0">
                  <c:v>0.15900000000000075</c:v>
                </c:pt>
              </c:numCache>
            </c:numRef>
          </c:val>
        </c:ser>
        <c:ser>
          <c:idx val="10"/>
          <c:order val="25"/>
          <c:tx>
            <c:strRef>
              <c:f>'население ЦБ, 2012'!$K$3</c:f>
              <c:strCache>
                <c:ptCount val="1"/>
                <c:pt idx="0">
                  <c:v>Великобритания 0,1603</c:v>
                </c:pt>
              </c:strCache>
            </c:strRef>
          </c:tx>
          <c:spPr>
            <a:blipFill dpi="0" rotWithShape="0">
              <a:blip xmlns:r="http://schemas.openxmlformats.org/officeDocument/2006/relationships" r:embed="rId25"/>
              <a:srcRect/>
              <a:stretch>
                <a:fillRect/>
              </a:stretch>
            </a:blipFill>
            <a:ln w="25400">
              <a:noFill/>
            </a:ln>
          </c:spPr>
          <c:pictureOptions>
            <c:pictureFormat val="stretch"/>
          </c:pictureOptions>
          <c:dLbls>
            <c:dLbl>
              <c:idx val="0"/>
              <c:layout>
                <c:manualLayout>
                  <c:x val="-1.6944210457143772E-2"/>
                  <c:y val="-1.8567679040120315E-3"/>
                </c:manualLayout>
              </c:layout>
              <c:dLblPos val="outEnd"/>
              <c:showVal val="1"/>
            </c:dLbl>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Val val="1"/>
          </c:dLbls>
          <c:val>
            <c:numRef>
              <c:f>'население ЦБ, 2012'!$K$4</c:f>
              <c:numCache>
                <c:formatCode>_-* #,##0.000_р_._-;\-* #,##0.000_р_._-;_-* "-"??_р_._-;_-@_-</c:formatCode>
                <c:ptCount val="1"/>
                <c:pt idx="0">
                  <c:v>0.1603</c:v>
                </c:pt>
              </c:numCache>
            </c:numRef>
          </c:val>
        </c:ser>
        <c:gapWidth val="30"/>
        <c:axId val="274853248"/>
        <c:axId val="274859520"/>
      </c:barChart>
      <c:catAx>
        <c:axId val="274853248"/>
        <c:scaling>
          <c:orientation val="minMax"/>
        </c:scaling>
        <c:axPos val="l"/>
        <c:title>
          <c:tx>
            <c:rich>
              <a:bodyPr rot="0" vert="horz"/>
              <a:lstStyle/>
              <a:p>
                <a:pPr algn="ctr">
                  <a:defRPr sz="1200" b="1" i="0" u="none" strike="noStrike" baseline="0">
                    <a:solidFill>
                      <a:srgbClr val="000000"/>
                    </a:solidFill>
                    <a:latin typeface="Arial Cyr"/>
                    <a:ea typeface="Arial Cyr"/>
                    <a:cs typeface="Arial Cyr"/>
                  </a:defRPr>
                </a:pPr>
                <a:r>
                  <a:rPr lang="ru-RU" b="1"/>
                  <a:t>€ ЦБ</a:t>
                </a:r>
              </a:p>
            </c:rich>
          </c:tx>
          <c:layout>
            <c:manualLayout>
              <c:xMode val="edge"/>
              <c:yMode val="edge"/>
              <c:x val="1.7525678523335583E-2"/>
              <c:y val="0.93261498827873679"/>
            </c:manualLayout>
          </c:layout>
          <c:spPr>
            <a:noFill/>
            <a:ln w="25400">
              <a:noFill/>
            </a:ln>
          </c:spPr>
        </c:title>
        <c:numFmt formatCode="General" sourceLinked="1"/>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274859520"/>
        <c:crosses val="autoZero"/>
        <c:auto val="1"/>
        <c:lblAlgn val="ctr"/>
        <c:lblOffset val="100"/>
        <c:tickLblSkip val="1"/>
        <c:tickMarkSkip val="1"/>
      </c:catAx>
      <c:valAx>
        <c:axId val="274859520"/>
        <c:scaling>
          <c:orientation val="minMax"/>
        </c:scaling>
        <c:axPos val="b"/>
        <c:numFmt formatCode="_-* #,##0.00_р_._-;\-* #,##0.00_р_._-;_-* &quot;-&quot;??_р_._-;_-@_-" sourceLinked="0"/>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274853248"/>
        <c:crosses val="autoZero"/>
        <c:crossBetween val="between"/>
      </c:valAx>
      <c:spPr>
        <a:solidFill>
          <a:srgbClr val="FFFFFF"/>
        </a:solidFill>
        <a:ln w="12700">
          <a:solidFill>
            <a:srgbClr val="808080"/>
          </a:solidFill>
          <a:prstDash val="solid"/>
        </a:ln>
      </c:spPr>
    </c:plotArea>
    <c:legend>
      <c:legendPos val="r"/>
      <c:legendEntry>
        <c:idx val="19"/>
        <c:txPr>
          <a:bodyPr/>
          <a:lstStyle/>
          <a:p>
            <a:pPr>
              <a:defRPr sz="1050" b="1" i="0" u="none" strike="noStrike" baseline="0">
                <a:solidFill>
                  <a:srgbClr val="00B050"/>
                </a:solidFill>
                <a:latin typeface="Arial Cyr"/>
                <a:ea typeface="Arial Cyr"/>
                <a:cs typeface="Arial Cyr"/>
              </a:defRPr>
            </a:pPr>
            <a:endParaRPr lang="ru-RU"/>
          </a:p>
        </c:txPr>
      </c:legendEntry>
      <c:legendEntry>
        <c:idx val="23"/>
        <c:txPr>
          <a:bodyPr/>
          <a:lstStyle/>
          <a:p>
            <a:pPr>
              <a:defRPr sz="1050" b="1" i="0" u="none" strike="noStrike" baseline="0">
                <a:solidFill>
                  <a:srgbClr val="FF0000"/>
                </a:solidFill>
                <a:latin typeface="Arial Cyr"/>
                <a:ea typeface="Arial Cyr"/>
                <a:cs typeface="Arial Cyr"/>
              </a:defRPr>
            </a:pPr>
            <a:endParaRPr lang="ru-RU"/>
          </a:p>
        </c:txPr>
      </c:legendEntry>
      <c:legendEntry>
        <c:idx val="24"/>
        <c:txPr>
          <a:bodyPr/>
          <a:lstStyle/>
          <a:p>
            <a:pPr>
              <a:defRPr sz="1050" b="1" i="0" u="none" strike="noStrike" baseline="0">
                <a:solidFill>
                  <a:srgbClr val="00B050"/>
                </a:solidFill>
                <a:latin typeface="Arial Cyr"/>
                <a:ea typeface="Arial Cyr"/>
                <a:cs typeface="Arial Cyr"/>
              </a:defRPr>
            </a:pPr>
            <a:endParaRPr lang="ru-RU"/>
          </a:p>
        </c:txPr>
      </c:legendEntry>
      <c:legendEntry>
        <c:idx val="25"/>
        <c:txPr>
          <a:bodyPr/>
          <a:lstStyle/>
          <a:p>
            <a:pPr>
              <a:defRPr sz="1050" b="1" i="0" u="none" strike="noStrike" baseline="0">
                <a:solidFill>
                  <a:srgbClr val="FF0000"/>
                </a:solidFill>
                <a:latin typeface="Arial Cyr"/>
                <a:ea typeface="Arial Cyr"/>
                <a:cs typeface="Arial Cyr"/>
              </a:defRPr>
            </a:pPr>
            <a:endParaRPr lang="ru-RU"/>
          </a:p>
        </c:txPr>
      </c:legendEntry>
      <c:layout>
        <c:manualLayout>
          <c:xMode val="edge"/>
          <c:yMode val="edge"/>
          <c:x val="0.65634648543020002"/>
          <c:y val="1.4430965529823668E-3"/>
          <c:w val="0.32656146317336665"/>
          <c:h val="0.93637064088906008"/>
        </c:manualLayout>
      </c:layout>
      <c:spPr>
        <a:solidFill>
          <a:srgbClr val="FFFFFF"/>
        </a:solidFill>
        <a:ln w="3175">
          <a:solidFill>
            <a:srgbClr val="000000"/>
          </a:solidFill>
          <a:prstDash val="solid"/>
        </a:ln>
      </c:spPr>
      <c:txPr>
        <a:bodyPr/>
        <a:lstStyle/>
        <a:p>
          <a:pPr>
            <a:defRPr sz="1050" b="0" i="0" u="none" strike="noStrike" baseline="0">
              <a:solidFill>
                <a:srgbClr val="000000"/>
              </a:solidFill>
              <a:latin typeface="Arial Cyr"/>
              <a:ea typeface="Arial Cyr"/>
              <a:cs typeface="Arial Cyr"/>
            </a:defRPr>
          </a:pPr>
          <a:endParaRPr lang="ru-RU"/>
        </a:p>
      </c:txPr>
    </c:legend>
    <c:plotVisOnly val="1"/>
    <c:dispBlanksAs val="gap"/>
  </c:chart>
  <c:spPr>
    <a:noFill/>
    <a:ln w="9525">
      <a:solidFill>
        <a:schemeClr val="tx1"/>
      </a:solidFill>
    </a:ln>
  </c:spPr>
  <c:txPr>
    <a:bodyPr/>
    <a:lstStyle/>
    <a:p>
      <a:pPr>
        <a:defRPr sz="1200" b="0" i="0" u="none" strike="noStrike" baseline="0">
          <a:solidFill>
            <a:srgbClr val="000000"/>
          </a:solidFill>
          <a:latin typeface="Arial Cyr"/>
          <a:ea typeface="Arial Cyr"/>
          <a:cs typeface="Arial Cyr"/>
        </a:defRPr>
      </a:pPr>
      <a:endParaRPr lang="ru-RU"/>
    </a:p>
  </c:txPr>
  <c:externalData r:id="rId26"/>
  <c:userShapes r:id="rId27"/>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3539314536341791E-2"/>
          <c:y val="9.0026689328253533E-4"/>
          <c:w val="0.5927256049890397"/>
          <c:h val="0.93353670162059099"/>
        </c:manualLayout>
      </c:layout>
      <c:barChart>
        <c:barDir val="bar"/>
        <c:grouping val="clustered"/>
        <c:ser>
          <c:idx val="0"/>
          <c:order val="0"/>
          <c:tx>
            <c:strRef>
              <c:f>'ППС 2012!!!!!'!$T$25</c:f>
              <c:strCache>
                <c:ptCount val="1"/>
                <c:pt idx="0">
                  <c:v>США, 0,0783</c:v>
                </c:pt>
              </c:strCache>
            </c:strRef>
          </c:tx>
          <c:spPr>
            <a:blipFill dpi="0" rotWithShape="0">
              <a:blip xmlns:r="http://schemas.openxmlformats.org/officeDocument/2006/relationships" r:embed="rId1"/>
              <a:srcRect/>
              <a:stretch>
                <a:fillRect/>
              </a:stretch>
            </a:blipFill>
            <a:ln w="12700">
              <a:solidFill>
                <a:srgbClr val="000000"/>
              </a:solidFill>
              <a:prstDash val="solid"/>
            </a:ln>
          </c:spPr>
          <c:pictureOptions>
            <c:pictureFormat val="stretch"/>
          </c:pictureOptions>
          <c:dLbls>
            <c:dLbl>
              <c:idx val="0"/>
              <c:layout>
                <c:manualLayout>
                  <c:x val="8.5485416717221427E-4"/>
                  <c:y val="9.8430965363680316E-4"/>
                </c:manualLayout>
              </c:layout>
              <c:dLblPos val="outEnd"/>
              <c:showVal val="1"/>
            </c:dLbl>
            <c:spPr>
              <a:noFill/>
              <a:ln w="25400">
                <a:noFill/>
              </a:ln>
            </c:spPr>
            <c:showVal val="1"/>
          </c:dLbls>
          <c:val>
            <c:numRef>
              <c:f>'ППС 2012!!!!!'!$U$25</c:f>
              <c:numCache>
                <c:formatCode>0.0000</c:formatCode>
                <c:ptCount val="1"/>
                <c:pt idx="0">
                  <c:v>7.8302174040000574E-2</c:v>
                </c:pt>
              </c:numCache>
            </c:numRef>
          </c:val>
        </c:ser>
        <c:ser>
          <c:idx val="14"/>
          <c:order val="1"/>
          <c:tx>
            <c:strRef>
              <c:f>'ППС 2012!!!!!'!$T$20</c:f>
              <c:strCache>
                <c:ptCount val="1"/>
                <c:pt idx="0">
                  <c:v>Франция, 0,0792</c:v>
                </c:pt>
              </c:strCache>
            </c:strRef>
          </c:tx>
          <c:spPr>
            <a:blipFill dpi="0" rotWithShape="0">
              <a:blip xmlns:r="http://schemas.openxmlformats.org/officeDocument/2006/relationships" r:embed="rId2"/>
              <a:srcRect/>
              <a:stretch>
                <a:fillRect/>
              </a:stretch>
            </a:blipFill>
            <a:ln w="12700">
              <a:solidFill>
                <a:srgbClr val="000000"/>
              </a:solidFill>
              <a:prstDash val="solid"/>
            </a:ln>
          </c:spPr>
          <c:pictureOptions>
            <c:pictureFormat val="stretch"/>
          </c:pictureOptions>
          <c:dLbls>
            <c:dLbl>
              <c:idx val="0"/>
              <c:layout>
                <c:manualLayout>
                  <c:x val="-8.6986237817300565E-3"/>
                  <c:y val="-5.0568464722860074E-3"/>
                </c:manualLayout>
              </c:layout>
              <c:spPr>
                <a:noFill/>
                <a:ln w="25400">
                  <a:noFill/>
                </a:ln>
              </c:spPr>
              <c:txPr>
                <a:bodyPr/>
                <a:lstStyle/>
                <a:p>
                  <a:pPr>
                    <a:defRPr/>
                  </a:pPr>
                  <a:endParaRPr lang="ru-RU"/>
                </a:p>
              </c:txPr>
              <c:dLblPos val="outEnd"/>
              <c:showVal val="1"/>
            </c:dLbl>
            <c:delete val="1"/>
          </c:dLbls>
          <c:val>
            <c:numRef>
              <c:f>'ППС 2012!!!!!'!$U$20</c:f>
              <c:numCache>
                <c:formatCode>0.0000</c:formatCode>
                <c:ptCount val="1"/>
                <c:pt idx="0">
                  <c:v>7.9187725854854993E-2</c:v>
                </c:pt>
              </c:numCache>
            </c:numRef>
          </c:val>
        </c:ser>
        <c:ser>
          <c:idx val="3"/>
          <c:order val="2"/>
          <c:tx>
            <c:strRef>
              <c:f>'ППС 2012!!!!!'!$T$21</c:f>
              <c:strCache>
                <c:ptCount val="1"/>
                <c:pt idx="0">
                  <c:v>Россия, 0,0797</c:v>
                </c:pt>
              </c:strCache>
            </c:strRef>
          </c:tx>
          <c:spPr>
            <a:blipFill dpi="0" rotWithShape="0">
              <a:blip xmlns:r="http://schemas.openxmlformats.org/officeDocument/2006/relationships" r:embed="rId3"/>
              <a:srcRect/>
              <a:stretch>
                <a:fillRect/>
              </a:stretch>
            </a:blipFill>
            <a:ln w="12700">
              <a:solidFill>
                <a:srgbClr val="000000"/>
              </a:solidFill>
              <a:prstDash val="solid"/>
            </a:ln>
          </c:spPr>
          <c:pictureOptions>
            <c:pictureFormat val="stretch"/>
          </c:pictureOptions>
          <c:dLbls>
            <c:dLbl>
              <c:idx val="0"/>
              <c:layout>
                <c:manualLayout>
                  <c:x val="2.2598611550203452E-3"/>
                  <c:y val="-4.9274741312514154E-3"/>
                </c:manualLayout>
              </c:layout>
              <c:dLblPos val="outEnd"/>
              <c:showVal val="1"/>
            </c:dLbl>
            <c:numFmt formatCode="0.000" sourceLinked="0"/>
            <c:spPr>
              <a:noFill/>
              <a:ln w="25400">
                <a:noFill/>
              </a:ln>
            </c:spPr>
            <c:txPr>
              <a:bodyPr/>
              <a:lstStyle/>
              <a:p>
                <a:pPr>
                  <a:defRPr b="1">
                    <a:solidFill>
                      <a:srgbClr val="FF0000"/>
                    </a:solidFill>
                  </a:defRPr>
                </a:pPr>
                <a:endParaRPr lang="ru-RU"/>
              </a:p>
            </c:txPr>
            <c:showVal val="1"/>
          </c:dLbls>
          <c:val>
            <c:numRef>
              <c:f>'ППС 2012!!!!!'!$U$21</c:f>
              <c:numCache>
                <c:formatCode>0.0000</c:formatCode>
                <c:ptCount val="1"/>
                <c:pt idx="0">
                  <c:v>7.9710637622189481E-2</c:v>
                </c:pt>
              </c:numCache>
            </c:numRef>
          </c:val>
        </c:ser>
        <c:ser>
          <c:idx val="17"/>
          <c:order val="3"/>
          <c:tx>
            <c:strRef>
              <c:f>'ППС 2012!!!!!'!$T$9</c:f>
              <c:strCache>
                <c:ptCount val="1"/>
                <c:pt idx="0">
                  <c:v>Норвегия, 0,0861</c:v>
                </c:pt>
              </c:strCache>
            </c:strRef>
          </c:tx>
          <c:spPr>
            <a:blipFill dpi="0" rotWithShape="0">
              <a:blip xmlns:r="http://schemas.openxmlformats.org/officeDocument/2006/relationships" r:embed="rId4"/>
              <a:srcRect/>
              <a:stretch>
                <a:fillRect/>
              </a:stretch>
            </a:blipFill>
            <a:ln w="12700">
              <a:solidFill>
                <a:srgbClr val="000000"/>
              </a:solidFill>
              <a:prstDash val="solid"/>
            </a:ln>
          </c:spPr>
          <c:pictureOptions>
            <c:pictureFormat val="stretch"/>
          </c:pictureOptions>
          <c:dLbls>
            <c:dLbl>
              <c:idx val="0"/>
              <c:layout>
                <c:manualLayout>
                  <c:x val="-7.1675353082883845E-3"/>
                  <c:y val="1.54791179867832E-3"/>
                </c:manualLayout>
              </c:layout>
              <c:dLblPos val="outEnd"/>
              <c:showVal val="1"/>
            </c:dLbl>
            <c:spPr>
              <a:noFill/>
              <a:ln w="25400">
                <a:noFill/>
              </a:ln>
            </c:spPr>
            <c:showVal val="1"/>
          </c:dLbls>
          <c:val>
            <c:numRef>
              <c:f>'ППС 2012!!!!!'!$U$9</c:f>
              <c:numCache>
                <c:formatCode>0.0000</c:formatCode>
                <c:ptCount val="1"/>
                <c:pt idx="0">
                  <c:v>8.6082763481295899E-2</c:v>
                </c:pt>
              </c:numCache>
            </c:numRef>
          </c:val>
        </c:ser>
        <c:ser>
          <c:idx val="15"/>
          <c:order val="4"/>
          <c:tx>
            <c:strRef>
              <c:f>'ППС 2012!!!!!'!$T$22</c:f>
              <c:strCache>
                <c:ptCount val="1"/>
                <c:pt idx="0">
                  <c:v>Финляндия, 0,0894</c:v>
                </c:pt>
              </c:strCache>
            </c:strRef>
          </c:tx>
          <c:spPr>
            <a:blipFill dpi="0" rotWithShape="0">
              <a:blip xmlns:r="http://schemas.openxmlformats.org/officeDocument/2006/relationships" r:embed="rId5"/>
              <a:srcRect/>
              <a:stretch>
                <a:fillRect/>
              </a:stretch>
            </a:blipFill>
            <a:ln w="12700">
              <a:solidFill>
                <a:srgbClr val="000000"/>
              </a:solidFill>
              <a:prstDash val="solid"/>
            </a:ln>
          </c:spPr>
          <c:pictureOptions>
            <c:pictureFormat val="stretch"/>
          </c:pictureOptions>
          <c:dLbls>
            <c:dLbl>
              <c:idx val="0"/>
              <c:layout>
                <c:manualLayout>
                  <c:x val="-3.7971973230637862E-3"/>
                  <c:y val="-6.4137003159394513E-3"/>
                </c:manualLayout>
              </c:layout>
              <c:dLblPos val="outEnd"/>
              <c:showVal val="1"/>
            </c:dLbl>
            <c:spPr>
              <a:noFill/>
              <a:ln w="25400">
                <a:noFill/>
              </a:ln>
            </c:spPr>
            <c:showVal val="1"/>
          </c:dLbls>
          <c:val>
            <c:numRef>
              <c:f>'ППС 2012!!!!!'!$U$22</c:f>
              <c:numCache>
                <c:formatCode>0.0000</c:formatCode>
                <c:ptCount val="1"/>
                <c:pt idx="0">
                  <c:v>8.9406833021493298E-2</c:v>
                </c:pt>
              </c:numCache>
            </c:numRef>
          </c:val>
        </c:ser>
        <c:ser>
          <c:idx val="13"/>
          <c:order val="5"/>
          <c:tx>
            <c:strRef>
              <c:f>'ППС 2012!!!!!'!$T$16</c:f>
              <c:strCache>
                <c:ptCount val="1"/>
                <c:pt idx="0">
                  <c:v>Дания, 0,0953</c:v>
                </c:pt>
              </c:strCache>
            </c:strRef>
          </c:tx>
          <c:spPr>
            <a:blipFill dpi="0" rotWithShape="0">
              <a:blip xmlns:r="http://schemas.openxmlformats.org/officeDocument/2006/relationships" r:embed="rId6"/>
              <a:srcRect/>
              <a:stretch>
                <a:fillRect/>
              </a:stretch>
            </a:blipFill>
            <a:ln w="12700">
              <a:solidFill>
                <a:srgbClr val="000000"/>
              </a:solidFill>
              <a:prstDash val="solid"/>
            </a:ln>
          </c:spPr>
          <c:pictureOptions>
            <c:pictureFormat val="stretch"/>
          </c:pictureOptions>
          <c:dLbls>
            <c:dLbl>
              <c:idx val="0"/>
              <c:layout>
                <c:manualLayout>
                  <c:x val="-8.6633705402256508E-3"/>
                  <c:y val="-2.7272299827182452E-3"/>
                </c:manualLayout>
              </c:layout>
              <c:dLblPos val="outEnd"/>
              <c:showVal val="1"/>
            </c:dLbl>
            <c:spPr>
              <a:noFill/>
              <a:ln w="25400">
                <a:noFill/>
              </a:ln>
            </c:spPr>
            <c:showVal val="1"/>
          </c:dLbls>
          <c:val>
            <c:numRef>
              <c:f>'ППС 2012!!!!!'!$U$16</c:f>
              <c:numCache>
                <c:formatCode>0.0000</c:formatCode>
                <c:ptCount val="1"/>
                <c:pt idx="0">
                  <c:v>9.5337424074630528E-2</c:v>
                </c:pt>
              </c:numCache>
            </c:numRef>
          </c:val>
        </c:ser>
        <c:ser>
          <c:idx val="16"/>
          <c:order val="6"/>
          <c:tx>
            <c:strRef>
              <c:f>'ППС 2012!!!!!'!$T$15</c:f>
              <c:strCache>
                <c:ptCount val="1"/>
                <c:pt idx="0">
                  <c:v>Швеция, 0,0993</c:v>
                </c:pt>
              </c:strCache>
            </c:strRef>
          </c:tx>
          <c:spPr>
            <a:blipFill dpi="0" rotWithShape="0">
              <a:blip xmlns:r="http://schemas.openxmlformats.org/officeDocument/2006/relationships" r:embed="rId7"/>
              <a:srcRect/>
              <a:stretch>
                <a:fillRect/>
              </a:stretch>
            </a:blipFill>
            <a:ln w="25400">
              <a:noFill/>
            </a:ln>
          </c:spPr>
          <c:pictureOptions>
            <c:pictureFormat val="stretch"/>
          </c:pictureOptions>
          <c:dLbls>
            <c:dLbl>
              <c:idx val="0"/>
              <c:layout>
                <c:manualLayout>
                  <c:x val="-5.5237566743871714E-3"/>
                  <c:y val="-4.8773355249834508E-3"/>
                </c:manualLayout>
              </c:layout>
              <c:dLblPos val="outEnd"/>
              <c:showVal val="1"/>
            </c:dLbl>
            <c:spPr>
              <a:noFill/>
              <a:ln w="25400">
                <a:noFill/>
              </a:ln>
            </c:spPr>
            <c:showVal val="1"/>
          </c:dLbls>
          <c:val>
            <c:numRef>
              <c:f>'ППС 2012!!!!!'!$U$15</c:f>
              <c:numCache>
                <c:formatCode>0.0000</c:formatCode>
                <c:ptCount val="1"/>
                <c:pt idx="0">
                  <c:v>9.9307726023234344E-2</c:v>
                </c:pt>
              </c:numCache>
            </c:numRef>
          </c:val>
        </c:ser>
        <c:ser>
          <c:idx val="19"/>
          <c:order val="7"/>
          <c:tx>
            <c:strRef>
              <c:f>'ППС 2012!!!!!'!$T$24</c:f>
              <c:strCache>
                <c:ptCount val="1"/>
                <c:pt idx="0">
                  <c:v>Эстония, 0,1079</c:v>
                </c:pt>
              </c:strCache>
            </c:strRef>
          </c:tx>
          <c:spPr>
            <a:blipFill dpi="0" rotWithShape="0">
              <a:blip xmlns:r="http://schemas.openxmlformats.org/officeDocument/2006/relationships" r:embed="rId8"/>
              <a:srcRect/>
              <a:stretch>
                <a:fillRect/>
              </a:stretch>
            </a:blipFill>
            <a:ln w="25400">
              <a:noFill/>
            </a:ln>
          </c:spPr>
          <c:pictureOptions>
            <c:pictureFormat val="stretch"/>
          </c:pictureOptions>
          <c:dLbls>
            <c:dLbl>
              <c:idx val="0"/>
              <c:tx>
                <c:rich>
                  <a:bodyPr/>
                  <a:lstStyle/>
                  <a:p>
                    <a:r>
                      <a:rPr lang="en-US"/>
                      <a:t>0,086</a:t>
                    </a:r>
                    <a:r>
                      <a:rPr lang="ru-RU"/>
                      <a:t>2</a:t>
                    </a:r>
                    <a:endParaRPr lang="en-US"/>
                  </a:p>
                </c:rich>
              </c:tx>
            </c:dLbl>
            <c:numFmt formatCode="0.000" sourceLinked="0"/>
            <c:spPr>
              <a:noFill/>
              <a:ln w="25400">
                <a:noFill/>
              </a:ln>
            </c:spPr>
            <c:showVal val="1"/>
          </c:dLbls>
          <c:val>
            <c:numRef>
              <c:f>'ППС 2012!!!!!'!$U$24</c:f>
              <c:numCache>
                <c:formatCode>0.0000</c:formatCode>
                <c:ptCount val="1"/>
                <c:pt idx="0">
                  <c:v>0.1078928732832457</c:v>
                </c:pt>
              </c:numCache>
            </c:numRef>
          </c:val>
        </c:ser>
        <c:ser>
          <c:idx val="24"/>
          <c:order val="8"/>
          <c:tx>
            <c:strRef>
              <c:f>'ППС 2012!!!!!'!$T$27</c:f>
              <c:strCache>
                <c:ptCount val="1"/>
                <c:pt idx="0">
                  <c:v>Россия ЦФО, 0,1148</c:v>
                </c:pt>
              </c:strCache>
            </c:strRef>
          </c:tx>
          <c:spPr>
            <a:blipFill>
              <a:blip xmlns:r="http://schemas.openxmlformats.org/officeDocument/2006/relationships" r:embed="rId9"/>
              <a:stretch>
                <a:fillRect/>
              </a:stretch>
            </a:blipFill>
          </c:spPr>
          <c:pictureOptions>
            <c:pictureFormat val="stretch"/>
          </c:pictureOptions>
          <c:dLbls>
            <c:txPr>
              <a:bodyPr/>
              <a:lstStyle/>
              <a:p>
                <a:pPr>
                  <a:defRPr b="1"/>
                </a:pPr>
                <a:endParaRPr lang="ru-RU"/>
              </a:p>
            </c:txPr>
            <c:showVal val="1"/>
          </c:dLbls>
          <c:val>
            <c:numRef>
              <c:f>'ППС 2012!!!!!'!$U$27</c:f>
              <c:numCache>
                <c:formatCode>0.0000</c:formatCode>
                <c:ptCount val="1"/>
                <c:pt idx="0">
                  <c:v>0.11476411079339199</c:v>
                </c:pt>
              </c:numCache>
            </c:numRef>
          </c:val>
        </c:ser>
        <c:ser>
          <c:idx val="6"/>
          <c:order val="9"/>
          <c:tx>
            <c:strRef>
              <c:f>'ППС 2012!!!!!'!$T$12</c:f>
              <c:strCache>
                <c:ptCount val="1"/>
                <c:pt idx="0">
                  <c:v>Греция, 0,1114</c:v>
                </c:pt>
              </c:strCache>
            </c:strRef>
          </c:tx>
          <c:spPr>
            <a:blipFill dpi="0" rotWithShape="0">
              <a:blip xmlns:r="http://schemas.openxmlformats.org/officeDocument/2006/relationships" r:embed="rId10"/>
              <a:srcRect/>
              <a:stretch>
                <a:fillRect/>
              </a:stretch>
            </a:blipFill>
            <a:ln w="12700">
              <a:solidFill>
                <a:srgbClr val="000000"/>
              </a:solidFill>
              <a:prstDash val="solid"/>
            </a:ln>
          </c:spPr>
          <c:pictureOptions>
            <c:pictureFormat val="stretch"/>
          </c:pictureOptions>
          <c:dPt>
            <c:idx val="0"/>
            <c:spPr>
              <a:blipFill dpi="0" rotWithShape="0">
                <a:blip xmlns:r="http://schemas.openxmlformats.org/officeDocument/2006/relationships" r:embed="rId11"/>
                <a:srcRect/>
                <a:stretch>
                  <a:fillRect/>
                </a:stretch>
              </a:blipFill>
              <a:ln w="12700">
                <a:solidFill>
                  <a:srgbClr val="000000"/>
                </a:solidFill>
                <a:prstDash val="solid"/>
              </a:ln>
            </c:spPr>
            <c:pictureOptions>
              <c:pictureFormat val="stretch"/>
            </c:pictureOptions>
          </c:dPt>
          <c:dLbls>
            <c:dLbl>
              <c:idx val="0"/>
              <c:layout>
                <c:manualLayout>
                  <c:x val="-9.1991496094278747E-3"/>
                  <c:y val="-5.4910762762928984E-3"/>
                </c:manualLayout>
              </c:layout>
              <c:dLblPos val="outEnd"/>
              <c:showVal val="1"/>
            </c:dLbl>
            <c:spPr>
              <a:noFill/>
              <a:ln w="25400">
                <a:noFill/>
              </a:ln>
            </c:spPr>
            <c:showVal val="1"/>
          </c:dLbls>
          <c:val>
            <c:numRef>
              <c:f>'ППС 2012!!!!!'!$U$12</c:f>
              <c:numCache>
                <c:formatCode>0.0000</c:formatCode>
                <c:ptCount val="1"/>
                <c:pt idx="0">
                  <c:v>0.11797164815924242</c:v>
                </c:pt>
              </c:numCache>
            </c:numRef>
          </c:val>
        </c:ser>
        <c:ser>
          <c:idx val="12"/>
          <c:order val="10"/>
          <c:tx>
            <c:strRef>
              <c:f>'ППС 2012!!!!!'!$T$17</c:f>
              <c:strCache>
                <c:ptCount val="1"/>
                <c:pt idx="0">
                  <c:v>Нидерланды, 0,1218</c:v>
                </c:pt>
              </c:strCache>
            </c:strRef>
          </c:tx>
          <c:spPr>
            <a:blipFill dpi="0" rotWithShape="0">
              <a:blip xmlns:r="http://schemas.openxmlformats.org/officeDocument/2006/relationships" r:embed="rId12"/>
              <a:srcRect/>
              <a:stretch>
                <a:fillRect/>
              </a:stretch>
            </a:blipFill>
            <a:ln w="25400">
              <a:noFill/>
            </a:ln>
          </c:spPr>
          <c:pictureOptions>
            <c:pictureFormat val="stretch"/>
          </c:pictureOptions>
          <c:dLbls>
            <c:dLbl>
              <c:idx val="0"/>
              <c:layout>
                <c:manualLayout>
                  <c:x val="-7.0712946503753774E-3"/>
                  <c:y val="1.3433315482418941E-3"/>
                </c:manualLayout>
              </c:layout>
              <c:dLblPos val="outEnd"/>
              <c:showVal val="1"/>
            </c:dLbl>
            <c:spPr>
              <a:noFill/>
              <a:ln w="25400">
                <a:noFill/>
              </a:ln>
            </c:spPr>
            <c:showVal val="1"/>
          </c:dLbls>
          <c:val>
            <c:numRef>
              <c:f>'ППС 2012!!!!!'!$U$17</c:f>
              <c:numCache>
                <c:formatCode>0.0000</c:formatCode>
                <c:ptCount val="1"/>
                <c:pt idx="0">
                  <c:v>0.12176687056469218</c:v>
                </c:pt>
              </c:numCache>
            </c:numRef>
          </c:val>
        </c:ser>
        <c:ser>
          <c:idx val="1"/>
          <c:order val="11"/>
          <c:tx>
            <c:strRef>
              <c:f>'ППС 2012!!!!!'!$T$11</c:f>
              <c:strCache>
                <c:ptCount val="1"/>
                <c:pt idx="0">
                  <c:v>Средний ЕС (27 стран), 0,1316</c:v>
                </c:pt>
              </c:strCache>
            </c:strRef>
          </c:tx>
          <c:spPr>
            <a:solidFill>
              <a:srgbClr val="0000FF"/>
            </a:solidFill>
            <a:ln w="12700">
              <a:solidFill>
                <a:srgbClr val="0000FF"/>
              </a:solidFill>
              <a:prstDash val="solid"/>
            </a:ln>
          </c:spPr>
          <c:dLbls>
            <c:dLbl>
              <c:idx val="0"/>
              <c:layout>
                <c:manualLayout>
                  <c:x val="-1.1756874551755421E-2"/>
                  <c:y val="1.9069336932833261E-3"/>
                </c:manualLayout>
              </c:layout>
              <c:dLblPos val="outEnd"/>
              <c:showVal val="1"/>
            </c:dLbl>
            <c:spPr>
              <a:noFill/>
              <a:ln w="25400">
                <a:noFill/>
              </a:ln>
            </c:spPr>
            <c:showVal val="1"/>
          </c:dLbls>
          <c:val>
            <c:numRef>
              <c:f>'ППС 2012!!!!!'!$U$11</c:f>
              <c:numCache>
                <c:formatCode>0.0000</c:formatCode>
                <c:ptCount val="1"/>
                <c:pt idx="0">
                  <c:v>0.13159999488160937</c:v>
                </c:pt>
              </c:numCache>
            </c:numRef>
          </c:val>
        </c:ser>
        <c:ser>
          <c:idx val="9"/>
          <c:order val="12"/>
          <c:tx>
            <c:strRef>
              <c:f>'ППС 2012!!!!!'!$T$13</c:f>
              <c:strCache>
                <c:ptCount val="1"/>
                <c:pt idx="0">
                  <c:v>Португалия, 0,1374</c:v>
                </c:pt>
              </c:strCache>
            </c:strRef>
          </c:tx>
          <c:spPr>
            <a:solidFill>
              <a:srgbClr val="000000"/>
            </a:solidFill>
            <a:ln w="12700">
              <a:solidFill>
                <a:srgbClr val="000000"/>
              </a:solidFill>
              <a:prstDash val="solid"/>
            </a:ln>
          </c:spPr>
          <c:dPt>
            <c:idx val="0"/>
            <c:spPr>
              <a:blipFill dpi="0" rotWithShape="0">
                <a:blip xmlns:r="http://schemas.openxmlformats.org/officeDocument/2006/relationships" r:embed="rId13"/>
                <a:srcRect/>
                <a:stretch>
                  <a:fillRect/>
                </a:stretch>
              </a:blipFill>
              <a:ln w="12700">
                <a:solidFill>
                  <a:srgbClr val="000000"/>
                </a:solidFill>
                <a:prstDash val="solid"/>
              </a:ln>
            </c:spPr>
            <c:pictureOptions>
              <c:pictureFormat val="stretch"/>
            </c:pictureOptions>
          </c:dPt>
          <c:dLbls>
            <c:dLbl>
              <c:idx val="0"/>
              <c:layout>
                <c:manualLayout>
                  <c:x val="7.3522555159881832E-4"/>
                  <c:y val="-6.0797477244684149E-3"/>
                </c:manualLayout>
              </c:layout>
              <c:dLblPos val="outEnd"/>
              <c:showVal val="1"/>
            </c:dLbl>
            <c:spPr>
              <a:noFill/>
              <a:ln w="25400">
                <a:noFill/>
              </a:ln>
            </c:spPr>
            <c:showVal val="1"/>
          </c:dLbls>
          <c:val>
            <c:numRef>
              <c:f>'ППС 2012!!!!!'!$U$13</c:f>
              <c:numCache>
                <c:formatCode>0.0000</c:formatCode>
                <c:ptCount val="1"/>
                <c:pt idx="0">
                  <c:v>0.13739779425741741</c:v>
                </c:pt>
              </c:numCache>
            </c:numRef>
          </c:val>
        </c:ser>
        <c:ser>
          <c:idx val="11"/>
          <c:order val="13"/>
          <c:tx>
            <c:strRef>
              <c:f>'ППС 2012!!!!!'!$T$14</c:f>
              <c:strCache>
                <c:ptCount val="1"/>
                <c:pt idx="0">
                  <c:v>Германия, 0,1390</c:v>
                </c:pt>
              </c:strCache>
            </c:strRef>
          </c:tx>
          <c:spPr>
            <a:blipFill dpi="0" rotWithShape="0">
              <a:blip xmlns:r="http://schemas.openxmlformats.org/officeDocument/2006/relationships" r:embed="rId14"/>
              <a:srcRect/>
              <a:stretch>
                <a:fillRect/>
              </a:stretch>
            </a:blipFill>
            <a:ln w="12700">
              <a:solidFill>
                <a:srgbClr val="000000"/>
              </a:solidFill>
              <a:prstDash val="solid"/>
            </a:ln>
          </c:spPr>
          <c:pictureOptions>
            <c:pictureFormat val="stretch"/>
          </c:pictureOptions>
          <c:dLbls>
            <c:dLbl>
              <c:idx val="0"/>
              <c:layout>
                <c:manualLayout>
                  <c:x val="-1.3691761560100121E-2"/>
                  <c:y val="-2.1636278376768402E-3"/>
                </c:manualLayout>
              </c:layout>
              <c:dLblPos val="outEnd"/>
              <c:showVal val="1"/>
            </c:dLbl>
            <c:spPr>
              <a:noFill/>
              <a:ln w="25400">
                <a:noFill/>
              </a:ln>
            </c:spPr>
            <c:showVal val="1"/>
          </c:dLbls>
          <c:val>
            <c:numRef>
              <c:f>'ППС 2012!!!!!'!$U$14</c:f>
              <c:numCache>
                <c:formatCode>0.0000</c:formatCode>
                <c:ptCount val="1"/>
                <c:pt idx="0">
                  <c:v>0.13904716331240657</c:v>
                </c:pt>
              </c:numCache>
            </c:numRef>
          </c:val>
        </c:ser>
        <c:ser>
          <c:idx val="8"/>
          <c:order val="14"/>
          <c:tx>
            <c:strRef>
              <c:f>'ППС 2012!!!!!'!$T$3</c:f>
              <c:strCache>
                <c:ptCount val="1"/>
                <c:pt idx="0">
                  <c:v>Италия, 0,1449</c:v>
                </c:pt>
              </c:strCache>
            </c:strRef>
          </c:tx>
          <c:spPr>
            <a:blipFill dpi="0" rotWithShape="0">
              <a:blip xmlns:r="http://schemas.openxmlformats.org/officeDocument/2006/relationships" r:embed="rId15"/>
              <a:srcRect/>
              <a:stretch>
                <a:fillRect/>
              </a:stretch>
            </a:blipFill>
            <a:ln w="25400">
              <a:noFill/>
            </a:ln>
          </c:spPr>
          <c:pictureOptions>
            <c:pictureFormat val="stretch"/>
          </c:pictureOptions>
          <c:dLbls>
            <c:dLbl>
              <c:idx val="0"/>
              <c:layout>
                <c:manualLayout>
                  <c:x val="9.2053063229528224E-3"/>
                  <c:y val="-4.7228938808149424E-3"/>
                </c:manualLayout>
              </c:layout>
              <c:dLblPos val="outEnd"/>
              <c:showVal val="1"/>
            </c:dLbl>
            <c:spPr>
              <a:noFill/>
              <a:ln w="25400">
                <a:noFill/>
              </a:ln>
            </c:spPr>
            <c:showVal val="1"/>
          </c:dLbls>
          <c:val>
            <c:numRef>
              <c:f>'ППС 2012!!!!!'!$U$3</c:f>
              <c:numCache>
                <c:formatCode>0.0000</c:formatCode>
                <c:ptCount val="1"/>
                <c:pt idx="0">
                  <c:v>0.144874764165732</c:v>
                </c:pt>
              </c:numCache>
            </c:numRef>
          </c:val>
        </c:ser>
        <c:ser>
          <c:idx val="10"/>
          <c:order val="15"/>
          <c:tx>
            <c:strRef>
              <c:f>'ППС 2012!!!!!'!$T$10</c:f>
              <c:strCache>
                <c:ptCount val="1"/>
                <c:pt idx="0">
                  <c:v>Великобритания, 0,1508</c:v>
                </c:pt>
              </c:strCache>
            </c:strRef>
          </c:tx>
          <c:spPr>
            <a:blipFill dpi="0" rotWithShape="0">
              <a:blip xmlns:r="http://schemas.openxmlformats.org/officeDocument/2006/relationships" r:embed="rId16"/>
              <a:srcRect/>
              <a:stretch>
                <a:fillRect/>
              </a:stretch>
            </a:blipFill>
            <a:ln w="25400">
              <a:noFill/>
            </a:ln>
          </c:spPr>
          <c:pictureOptions>
            <c:pictureFormat val="stretch"/>
          </c:pictureOptions>
          <c:dLbls>
            <c:dLbl>
              <c:idx val="0"/>
              <c:layout>
                <c:manualLayout>
                  <c:x val="-1.3651876480296811E-2"/>
                  <c:y val="-5.2864960258564193E-3"/>
                </c:manualLayout>
              </c:layout>
              <c:tx>
                <c:rich>
                  <a:bodyPr/>
                  <a:lstStyle/>
                  <a:p>
                    <a:r>
                      <a:rPr lang="en-US"/>
                      <a:t> 0,</a:t>
                    </a:r>
                    <a:r>
                      <a:rPr lang="ru-RU"/>
                      <a:t>1032</a:t>
                    </a:r>
                    <a:r>
                      <a:rPr lang="en-US"/>
                      <a:t>   </a:t>
                    </a:r>
                  </a:p>
                </c:rich>
              </c:tx>
              <c:dLblPos val="outEnd"/>
            </c:dLbl>
            <c:spPr>
              <a:noFill/>
              <a:ln w="25400">
                <a:noFill/>
              </a:ln>
            </c:spPr>
            <c:showVal val="1"/>
          </c:dLbls>
          <c:val>
            <c:numRef>
              <c:f>'ППС 2012!!!!!'!$U$10</c:f>
              <c:numCache>
                <c:formatCode>0.0000</c:formatCode>
                <c:ptCount val="1"/>
                <c:pt idx="0">
                  <c:v>0.15077937342423284</c:v>
                </c:pt>
              </c:numCache>
            </c:numRef>
          </c:val>
        </c:ser>
        <c:ser>
          <c:idx val="23"/>
          <c:order val="16"/>
          <c:tx>
            <c:strRef>
              <c:f>'ППС 2012!!!!!'!$T$26</c:f>
              <c:strCache>
                <c:ptCount val="1"/>
                <c:pt idx="0">
                  <c:v>Болгария 2012г., 0,1562</c:v>
                </c:pt>
              </c:strCache>
            </c:strRef>
          </c:tx>
          <c:spPr>
            <a:blipFill>
              <a:blip xmlns:r="http://schemas.openxmlformats.org/officeDocument/2006/relationships" r:embed="rId17"/>
              <a:stretch>
                <a:fillRect/>
              </a:stretch>
            </a:blipFill>
          </c:spPr>
          <c:pictureOptions>
            <c:pictureFormat val="stretch"/>
          </c:pictureOptions>
          <c:dLbls>
            <c:txPr>
              <a:bodyPr/>
              <a:lstStyle/>
              <a:p>
                <a:pPr>
                  <a:defRPr b="1">
                    <a:solidFill>
                      <a:srgbClr val="00B050"/>
                    </a:solidFill>
                  </a:defRPr>
                </a:pPr>
                <a:endParaRPr lang="ru-RU"/>
              </a:p>
            </c:txPr>
            <c:showVal val="1"/>
          </c:dLbls>
          <c:val>
            <c:numRef>
              <c:f>'ППС 2012!!!!!'!$U$26</c:f>
              <c:numCache>
                <c:formatCode>0.0000</c:formatCode>
                <c:ptCount val="1"/>
                <c:pt idx="0">
                  <c:v>0.15621617830071299</c:v>
                </c:pt>
              </c:numCache>
            </c:numRef>
          </c:val>
        </c:ser>
        <c:ser>
          <c:idx val="22"/>
          <c:order val="17"/>
          <c:tx>
            <c:strRef>
              <c:f>'ППС 2012!!!!!'!$T$18</c:f>
              <c:strCache>
                <c:ptCount val="1"/>
                <c:pt idx="0">
                  <c:v>Румыния, 0,1588</c:v>
                </c:pt>
              </c:strCache>
            </c:strRef>
          </c:tx>
          <c:spPr>
            <a:blipFill dpi="0" rotWithShape="0">
              <a:blip xmlns:r="http://schemas.openxmlformats.org/officeDocument/2006/relationships" r:embed="rId18"/>
              <a:srcRect/>
              <a:stretch>
                <a:fillRect/>
              </a:stretch>
            </a:blipFill>
            <a:ln w="25400">
              <a:noFill/>
            </a:ln>
          </c:spPr>
          <c:pictureOptions>
            <c:pictureFormat val="stretch"/>
          </c:pictureOptions>
          <c:dLbls>
            <c:numFmt formatCode="0.000" sourceLinked="0"/>
            <c:spPr>
              <a:noFill/>
              <a:ln w="25400">
                <a:noFill/>
              </a:ln>
            </c:spPr>
            <c:showVal val="1"/>
          </c:dLbls>
          <c:val>
            <c:numRef>
              <c:f>'ППС 2012!!!!!'!$U$18</c:f>
              <c:numCache>
                <c:formatCode>0.0000</c:formatCode>
                <c:ptCount val="1"/>
                <c:pt idx="0">
                  <c:v>0.15877626980164344</c:v>
                </c:pt>
              </c:numCache>
            </c:numRef>
          </c:val>
        </c:ser>
        <c:ser>
          <c:idx val="18"/>
          <c:order val="18"/>
          <c:tx>
            <c:strRef>
              <c:f>'ППС 2012!!!!!'!$T$5</c:f>
              <c:strCache>
                <c:ptCount val="1"/>
                <c:pt idx="0">
                  <c:v>Испания, 0,1603</c:v>
                </c:pt>
              </c:strCache>
            </c:strRef>
          </c:tx>
          <c:spPr>
            <a:blipFill dpi="0" rotWithShape="0">
              <a:blip xmlns:r="http://schemas.openxmlformats.org/officeDocument/2006/relationships" r:embed="rId19"/>
              <a:srcRect/>
              <a:stretch>
                <a:fillRect/>
              </a:stretch>
            </a:blipFill>
            <a:ln w="25400">
              <a:noFill/>
            </a:ln>
          </c:spPr>
          <c:pictureOptions>
            <c:pictureFormat val="stretch"/>
          </c:pictureOptions>
          <c:dLbls>
            <c:dLbl>
              <c:idx val="0"/>
              <c:numFmt formatCode="0.000" sourceLinked="0"/>
              <c:spPr>
                <a:noFill/>
                <a:ln w="25400">
                  <a:noFill/>
                </a:ln>
              </c:spPr>
              <c:txPr>
                <a:bodyPr/>
                <a:lstStyle/>
                <a:p>
                  <a:pPr>
                    <a:defRPr/>
                  </a:pPr>
                  <a:endParaRPr lang="ru-RU"/>
                </a:p>
              </c:txPr>
              <c:showVal val="1"/>
            </c:dLbl>
            <c:delete val="1"/>
          </c:dLbls>
          <c:val>
            <c:numRef>
              <c:f>'ППС 2012!!!!!'!$U$5</c:f>
              <c:numCache>
                <c:formatCode>0.0000</c:formatCode>
                <c:ptCount val="1"/>
                <c:pt idx="0">
                  <c:v>0.16031881101867818</c:v>
                </c:pt>
              </c:numCache>
            </c:numRef>
          </c:val>
        </c:ser>
        <c:ser>
          <c:idx val="7"/>
          <c:order val="19"/>
          <c:tx>
            <c:strRef>
              <c:f>'ППС 2012!!!!!'!$T$19</c:f>
              <c:strCache>
                <c:ptCount val="1"/>
                <c:pt idx="0">
                  <c:v>Турция, 0,1643</c:v>
                </c:pt>
              </c:strCache>
            </c:strRef>
          </c:tx>
          <c:spPr>
            <a:blipFill dpi="0" rotWithShape="0">
              <a:blip xmlns:r="http://schemas.openxmlformats.org/officeDocument/2006/relationships" r:embed="rId20"/>
              <a:srcRect/>
              <a:stretch>
                <a:fillRect/>
              </a:stretch>
            </a:blipFill>
            <a:ln w="25400">
              <a:noFill/>
            </a:ln>
          </c:spPr>
          <c:pictureOptions>
            <c:pictureFormat val="stretch"/>
          </c:pictureOptions>
          <c:dLbls>
            <c:dLbl>
              <c:idx val="0"/>
              <c:layout>
                <c:manualLayout>
                  <c:x val="-7.9757036666688909E-3"/>
                  <c:y val="-6.4889082253412524E-3"/>
                </c:manualLayout>
              </c:layout>
              <c:dLblPos val="outEnd"/>
              <c:showVal val="1"/>
            </c:dLbl>
            <c:spPr>
              <a:noFill/>
              <a:ln w="25400">
                <a:noFill/>
              </a:ln>
            </c:spPr>
            <c:showVal val="1"/>
          </c:dLbls>
          <c:val>
            <c:numRef>
              <c:f>'ППС 2012!!!!!'!$U$19</c:f>
              <c:numCache>
                <c:formatCode>0.0000</c:formatCode>
                <c:ptCount val="1"/>
                <c:pt idx="0">
                  <c:v>0.16426183084537407</c:v>
                </c:pt>
              </c:numCache>
            </c:numRef>
          </c:val>
        </c:ser>
        <c:ser>
          <c:idx val="21"/>
          <c:order val="20"/>
          <c:tx>
            <c:strRef>
              <c:f>'ППС 2012!!!!!'!$T$6</c:f>
              <c:strCache>
                <c:ptCount val="1"/>
                <c:pt idx="0">
                  <c:v>Литва, 0,1696</c:v>
                </c:pt>
              </c:strCache>
            </c:strRef>
          </c:tx>
          <c:spPr>
            <a:blipFill dpi="0" rotWithShape="0">
              <a:blip xmlns:r="http://schemas.openxmlformats.org/officeDocument/2006/relationships" r:embed="rId21"/>
              <a:srcRect/>
              <a:stretch>
                <a:fillRect/>
              </a:stretch>
            </a:blipFill>
            <a:ln w="25400">
              <a:noFill/>
            </a:ln>
          </c:spPr>
          <c:pictureOptions>
            <c:pictureFormat val="stretch"/>
          </c:pictureOptions>
          <c:dLbls>
            <c:spPr>
              <a:noFill/>
              <a:ln w="25400">
                <a:noFill/>
              </a:ln>
            </c:spPr>
            <c:showVal val="1"/>
          </c:dLbls>
          <c:val>
            <c:numRef>
              <c:f>'ППС 2012!!!!!'!$U$6</c:f>
              <c:numCache>
                <c:formatCode>0.0000</c:formatCode>
                <c:ptCount val="1"/>
                <c:pt idx="0">
                  <c:v>0.16958675346730936</c:v>
                </c:pt>
              </c:numCache>
            </c:numRef>
          </c:val>
        </c:ser>
        <c:ser>
          <c:idx val="5"/>
          <c:order val="21"/>
          <c:tx>
            <c:strRef>
              <c:f>'ППС 2012!!!!!'!$T$4</c:f>
              <c:strCache>
                <c:ptCount val="1"/>
                <c:pt idx="0">
                  <c:v>Чехия, 0,1769</c:v>
                </c:pt>
              </c:strCache>
            </c:strRef>
          </c:tx>
          <c:spPr>
            <a:blipFill dpi="0" rotWithShape="0">
              <a:blip xmlns:r="http://schemas.openxmlformats.org/officeDocument/2006/relationships" r:embed="rId22"/>
              <a:srcRect/>
              <a:stretch>
                <a:fillRect/>
              </a:stretch>
            </a:blipFill>
            <a:ln w="12700">
              <a:solidFill>
                <a:srgbClr val="000000"/>
              </a:solidFill>
              <a:prstDash val="solid"/>
            </a:ln>
          </c:spPr>
          <c:pictureOptions>
            <c:pictureFormat val="stretch"/>
          </c:pictureOptions>
          <c:dLbls>
            <c:dLbl>
              <c:idx val="0"/>
              <c:layout>
                <c:manualLayout>
                  <c:x val="-1.2265050124083424E-2"/>
                  <c:y val="-4.7479631839489446E-3"/>
                </c:manualLayout>
              </c:layout>
              <c:dLblPos val="outEnd"/>
              <c:showVal val="1"/>
            </c:dLbl>
            <c:spPr>
              <a:noFill/>
              <a:ln w="25400">
                <a:noFill/>
              </a:ln>
            </c:spPr>
            <c:showVal val="1"/>
          </c:dLbls>
          <c:val>
            <c:numRef>
              <c:f>'ППС 2012!!!!!'!$U$4</c:f>
              <c:numCache>
                <c:formatCode>0.0000</c:formatCode>
                <c:ptCount val="1"/>
                <c:pt idx="0">
                  <c:v>0.17690196229759941</c:v>
                </c:pt>
              </c:numCache>
            </c:numRef>
          </c:val>
        </c:ser>
        <c:ser>
          <c:idx val="2"/>
          <c:order val="22"/>
          <c:tx>
            <c:strRef>
              <c:f>'ППС 2012!!!!!'!$T$8</c:f>
              <c:strCache>
                <c:ptCount val="1"/>
                <c:pt idx="0">
                  <c:v>Польша, 0,1874</c:v>
                </c:pt>
              </c:strCache>
            </c:strRef>
          </c:tx>
          <c:spPr>
            <a:blipFill dpi="0" rotWithShape="0">
              <a:blip xmlns:r="http://schemas.openxmlformats.org/officeDocument/2006/relationships" r:embed="rId23"/>
              <a:srcRect/>
              <a:stretch>
                <a:fillRect/>
              </a:stretch>
            </a:blipFill>
            <a:ln w="12700">
              <a:solidFill>
                <a:srgbClr val="000000"/>
              </a:solidFill>
              <a:prstDash val="solid"/>
            </a:ln>
          </c:spPr>
          <c:pictureOptions>
            <c:pictureFormat val="stretch"/>
          </c:pictureOptions>
          <c:dLbls>
            <c:dLbl>
              <c:idx val="0"/>
              <c:layout>
                <c:manualLayout>
                  <c:x val="-9.8664820368286176E-3"/>
                  <c:y val="1.2681236388400307E-3"/>
                </c:manualLayout>
              </c:layout>
              <c:dLblPos val="outEnd"/>
              <c:showVal val="1"/>
            </c:dLbl>
            <c:spPr>
              <a:noFill/>
              <a:ln w="25400">
                <a:noFill/>
              </a:ln>
            </c:spPr>
            <c:showVal val="1"/>
          </c:dLbls>
          <c:val>
            <c:numRef>
              <c:f>'ППС 2012!!!!!'!$U$8</c:f>
              <c:numCache>
                <c:formatCode>0.0000</c:formatCode>
                <c:ptCount val="1"/>
                <c:pt idx="0">
                  <c:v>0.18735539192971304</c:v>
                </c:pt>
              </c:numCache>
            </c:numRef>
          </c:val>
        </c:ser>
        <c:ser>
          <c:idx val="4"/>
          <c:order val="23"/>
          <c:tx>
            <c:strRef>
              <c:f>'ППС 2012!!!!!'!$T$7</c:f>
              <c:strCache>
                <c:ptCount val="1"/>
                <c:pt idx="0">
                  <c:v>Венгрия,0,2026</c:v>
                </c:pt>
              </c:strCache>
            </c:strRef>
          </c:tx>
          <c:spPr>
            <a:blipFill dpi="0" rotWithShape="0">
              <a:blip xmlns:r="http://schemas.openxmlformats.org/officeDocument/2006/relationships" r:embed="rId24"/>
              <a:srcRect/>
              <a:stretch>
                <a:fillRect/>
              </a:stretch>
            </a:blipFill>
            <a:ln w="25400">
              <a:noFill/>
            </a:ln>
          </c:spPr>
          <c:pictureOptions>
            <c:pictureFormat val="stretch"/>
          </c:pictureOptions>
          <c:dLbls>
            <c:dLbl>
              <c:idx val="0"/>
              <c:layout>
                <c:manualLayout>
                  <c:x val="-1.6134454323876515E-2"/>
                  <c:y val="1.8567950870154687E-3"/>
                </c:manualLayout>
              </c:layout>
              <c:dLblPos val="outEnd"/>
              <c:showVal val="1"/>
            </c:dLbl>
            <c:numFmt formatCode="_-* #,##0.000_р_._-;\-* #,##0.000_р_._-;_-* &quot;-&quot;??_р_._-;_-@_-" sourceLinked="0"/>
            <c:spPr>
              <a:noFill/>
              <a:ln w="25400">
                <a:noFill/>
              </a:ln>
            </c:spPr>
            <c:showVal val="1"/>
          </c:dLbls>
          <c:val>
            <c:numRef>
              <c:f>'ППС 2012!!!!!'!$U$7</c:f>
              <c:numCache>
                <c:formatCode>0.0000</c:formatCode>
                <c:ptCount val="1"/>
                <c:pt idx="0">
                  <c:v>0.20257788866537801</c:v>
                </c:pt>
              </c:numCache>
            </c:numRef>
          </c:val>
        </c:ser>
        <c:ser>
          <c:idx val="20"/>
          <c:order val="24"/>
          <c:tx>
            <c:strRef>
              <c:f>'ППС 2012!!!!!'!$T$23</c:f>
              <c:strCache>
                <c:ptCount val="1"/>
                <c:pt idx="0">
                  <c:v>Болгария 2013г., 0,203</c:v>
                </c:pt>
              </c:strCache>
            </c:strRef>
          </c:tx>
          <c:spPr>
            <a:blipFill dpi="0" rotWithShape="0">
              <a:blip xmlns:r="http://schemas.openxmlformats.org/officeDocument/2006/relationships" r:embed="rId17"/>
              <a:srcRect/>
              <a:stretch>
                <a:fillRect/>
              </a:stretch>
            </a:blipFill>
            <a:ln w="25400">
              <a:noFill/>
            </a:ln>
          </c:spPr>
          <c:pictureOptions>
            <c:pictureFormat val="stretch"/>
          </c:pictureOptions>
          <c:dLbls>
            <c:dLbl>
              <c:idx val="0"/>
              <c:layout>
                <c:manualLayout>
                  <c:x val="3.5949743658811012E-2"/>
                  <c:y val="-2.5109855618330292E-3"/>
                </c:manualLayout>
              </c:layout>
              <c:showVal val="1"/>
            </c:dLbl>
            <c:numFmt formatCode="0.000" sourceLinked="0"/>
            <c:spPr>
              <a:noFill/>
              <a:ln w="25400">
                <a:noFill/>
              </a:ln>
            </c:spPr>
            <c:txPr>
              <a:bodyPr/>
              <a:lstStyle/>
              <a:p>
                <a:pPr>
                  <a:defRPr b="1">
                    <a:solidFill>
                      <a:srgbClr val="00B050"/>
                    </a:solidFill>
                  </a:defRPr>
                </a:pPr>
                <a:endParaRPr lang="ru-RU"/>
              </a:p>
            </c:txPr>
            <c:showVal val="1"/>
          </c:dLbls>
          <c:val>
            <c:numRef>
              <c:f>'ППС 2012!!!!!'!$U$23</c:f>
              <c:numCache>
                <c:formatCode>0.0000</c:formatCode>
                <c:ptCount val="1"/>
                <c:pt idx="0">
                  <c:v>0.20300000000000001</c:v>
                </c:pt>
              </c:numCache>
            </c:numRef>
          </c:val>
        </c:ser>
        <c:gapWidth val="30"/>
        <c:axId val="275395712"/>
        <c:axId val="275397632"/>
      </c:barChart>
      <c:catAx>
        <c:axId val="275395712"/>
        <c:scaling>
          <c:orientation val="minMax"/>
        </c:scaling>
        <c:axPos val="l"/>
        <c:title>
          <c:tx>
            <c:rich>
              <a:bodyPr rot="0" vert="horz"/>
              <a:lstStyle/>
              <a:p>
                <a:pPr algn="ctr">
                  <a:defRPr/>
                </a:pPr>
                <a:r>
                  <a:rPr lang="ru-RU"/>
                  <a:t>ППС</a:t>
                </a:r>
              </a:p>
            </c:rich>
          </c:tx>
          <c:layout>
            <c:manualLayout>
              <c:xMode val="edge"/>
              <c:yMode val="edge"/>
              <c:x val="1.0568931520983533E-2"/>
              <c:y val="0.9469981040168387"/>
            </c:manualLayout>
          </c:layout>
          <c:spPr>
            <a:noFill/>
            <a:ln w="25400">
              <a:noFill/>
            </a:ln>
          </c:spPr>
        </c:title>
        <c:numFmt formatCode="General" sourceLinked="1"/>
        <c:tickLblPos val="nextTo"/>
        <c:spPr>
          <a:ln w="3175">
            <a:solidFill>
              <a:srgbClr val="000000"/>
            </a:solidFill>
            <a:prstDash val="solid"/>
          </a:ln>
        </c:spPr>
        <c:txPr>
          <a:bodyPr rot="0" vert="horz"/>
          <a:lstStyle/>
          <a:p>
            <a:pPr>
              <a:defRPr/>
            </a:pPr>
            <a:endParaRPr lang="ru-RU"/>
          </a:p>
        </c:txPr>
        <c:crossAx val="275397632"/>
        <c:crosses val="autoZero"/>
        <c:auto val="1"/>
        <c:lblAlgn val="ctr"/>
        <c:lblOffset val="100"/>
        <c:tickLblSkip val="1"/>
        <c:tickMarkSkip val="1"/>
      </c:catAx>
      <c:valAx>
        <c:axId val="275397632"/>
        <c:scaling>
          <c:orientation val="minMax"/>
        </c:scaling>
        <c:axPos val="b"/>
        <c:numFmt formatCode="_-* #,##0.00_р_._-;\-* #,##0.00_р_._-;_-* &quot;-&quot;??_р_._-;_-@_-" sourceLinked="0"/>
        <c:tickLblPos val="nextTo"/>
        <c:spPr>
          <a:ln w="3175">
            <a:solidFill>
              <a:srgbClr val="000000"/>
            </a:solidFill>
            <a:prstDash val="solid"/>
          </a:ln>
        </c:spPr>
        <c:txPr>
          <a:bodyPr rot="0" vert="horz"/>
          <a:lstStyle/>
          <a:p>
            <a:pPr>
              <a:defRPr/>
            </a:pPr>
            <a:endParaRPr lang="ru-RU"/>
          </a:p>
        </c:txPr>
        <c:crossAx val="275395712"/>
        <c:crosses val="autoZero"/>
        <c:crossBetween val="between"/>
      </c:valAx>
      <c:spPr>
        <a:noFill/>
        <a:ln w="12700">
          <a:solidFill>
            <a:srgbClr val="808080"/>
          </a:solidFill>
          <a:prstDash val="solid"/>
        </a:ln>
      </c:spPr>
    </c:plotArea>
    <c:legend>
      <c:legendPos val="r"/>
      <c:legendEntry>
        <c:idx val="0"/>
        <c:txPr>
          <a:bodyPr/>
          <a:lstStyle/>
          <a:p>
            <a:pPr>
              <a:defRPr b="1">
                <a:solidFill>
                  <a:srgbClr val="00B050"/>
                </a:solidFill>
              </a:defRPr>
            </a:pPr>
            <a:endParaRPr lang="ru-RU"/>
          </a:p>
        </c:txPr>
      </c:legendEntry>
      <c:legendEntry>
        <c:idx val="8"/>
        <c:txPr>
          <a:bodyPr/>
          <a:lstStyle/>
          <a:p>
            <a:pPr>
              <a:defRPr b="1">
                <a:solidFill>
                  <a:srgbClr val="00B050"/>
                </a:solidFill>
              </a:defRPr>
            </a:pPr>
            <a:endParaRPr lang="ru-RU"/>
          </a:p>
        </c:txPr>
      </c:legendEntry>
      <c:legendEntry>
        <c:idx val="16"/>
        <c:txPr>
          <a:bodyPr/>
          <a:lstStyle/>
          <a:p>
            <a:pPr>
              <a:defRPr b="1">
                <a:solidFill>
                  <a:srgbClr val="FF0000"/>
                </a:solidFill>
              </a:defRPr>
            </a:pPr>
            <a:endParaRPr lang="ru-RU"/>
          </a:p>
        </c:txPr>
      </c:legendEntry>
      <c:legendEntry>
        <c:idx val="22"/>
        <c:txPr>
          <a:bodyPr/>
          <a:lstStyle/>
          <a:p>
            <a:pPr>
              <a:defRPr b="1">
                <a:solidFill>
                  <a:srgbClr val="FF0000"/>
                </a:solidFill>
              </a:defRPr>
            </a:pPr>
            <a:endParaRPr lang="ru-RU"/>
          </a:p>
        </c:txPr>
      </c:legendEntry>
      <c:layout>
        <c:manualLayout>
          <c:xMode val="edge"/>
          <c:yMode val="edge"/>
          <c:x val="0.65000193867813028"/>
          <c:y val="1.7440119985001879E-2"/>
          <c:w val="0.33252624671916325"/>
          <c:h val="0.9000597925259346"/>
        </c:manualLayout>
      </c:layout>
      <c:spPr>
        <a:ln>
          <a:solidFill>
            <a:schemeClr val="tx1"/>
          </a:solidFill>
        </a:ln>
      </c:spPr>
    </c:legend>
    <c:plotVisOnly val="1"/>
    <c:dispBlanksAs val="gap"/>
  </c:chart>
  <c:spPr>
    <a:solidFill>
      <a:schemeClr val="lt1"/>
    </a:solidFill>
    <a:ln w="9525" cap="flat" cmpd="sng" algn="ctr">
      <a:solidFill>
        <a:schemeClr val="tx1"/>
      </a:solidFill>
      <a:prstDash val="solid"/>
    </a:ln>
    <a:effectLst/>
  </c:spPr>
  <c:txPr>
    <a:bodyPr/>
    <a:lstStyle/>
    <a:p>
      <a:pPr>
        <a:defRPr>
          <a:solidFill>
            <a:schemeClr val="dk1"/>
          </a:solidFill>
          <a:latin typeface="+mn-lt"/>
          <a:ea typeface="+mn-ea"/>
          <a:cs typeface="+mn-cs"/>
        </a:defRPr>
      </a:pPr>
      <a:endParaRPr lang="ru-RU"/>
    </a:p>
  </c:txPr>
  <c:externalData r:id="rId25"/>
  <c:userShapes r:id="rId26"/>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7.7567889309164681E-2"/>
          <c:y val="2.7641688056629688E-2"/>
          <c:w val="0.60135900339751225"/>
          <c:h val="0.9101694915254237"/>
        </c:manualLayout>
      </c:layout>
      <c:lineChart>
        <c:grouping val="standard"/>
        <c:ser>
          <c:idx val="0"/>
          <c:order val="0"/>
          <c:tx>
            <c:strRef>
              <c:f>Sheet1!$A$2</c:f>
              <c:strCache>
                <c:ptCount val="1"/>
                <c:pt idx="0">
                  <c:v>Электропотребление РФ, млрд. КВт.ч. Факт.</c:v>
                </c:pt>
              </c:strCache>
            </c:strRef>
          </c:tx>
          <c:spPr>
            <a:ln w="20053">
              <a:solidFill>
                <a:srgbClr val="0000FF"/>
              </a:solidFill>
              <a:prstDash val="solid"/>
            </a:ln>
          </c:spPr>
          <c:marker>
            <c:symbol val="diamond"/>
            <c:size val="2"/>
            <c:spPr>
              <a:solidFill>
                <a:srgbClr val="0000FF"/>
              </a:solidFill>
              <a:ln>
                <a:solidFill>
                  <a:srgbClr val="0000FF"/>
                </a:solidFill>
                <a:prstDash val="solid"/>
              </a:ln>
            </c:spPr>
          </c:marker>
          <c:cat>
            <c:numRef>
              <c:f>Sheet1!$B$1:$AE$1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Sheet1!$B$2:$AE$2</c:f>
              <c:numCache>
                <c:formatCode>General</c:formatCode>
                <c:ptCount val="30"/>
                <c:pt idx="0">
                  <c:v>1074</c:v>
                </c:pt>
                <c:pt idx="1">
                  <c:v>1053</c:v>
                </c:pt>
                <c:pt idx="2">
                  <c:v>996.5</c:v>
                </c:pt>
                <c:pt idx="3">
                  <c:v>941.6</c:v>
                </c:pt>
                <c:pt idx="4">
                  <c:v>860</c:v>
                </c:pt>
                <c:pt idx="5">
                  <c:v>840</c:v>
                </c:pt>
                <c:pt idx="6">
                  <c:v>827</c:v>
                </c:pt>
                <c:pt idx="7">
                  <c:v>819</c:v>
                </c:pt>
                <c:pt idx="8">
                  <c:v>811</c:v>
                </c:pt>
                <c:pt idx="9">
                  <c:v>830.5</c:v>
                </c:pt>
                <c:pt idx="10">
                  <c:v>863.7</c:v>
                </c:pt>
                <c:pt idx="11">
                  <c:v>875.5</c:v>
                </c:pt>
                <c:pt idx="12">
                  <c:v>878.3</c:v>
                </c:pt>
                <c:pt idx="13">
                  <c:v>902.9</c:v>
                </c:pt>
                <c:pt idx="14">
                  <c:v>924.4</c:v>
                </c:pt>
                <c:pt idx="15">
                  <c:v>940.7</c:v>
                </c:pt>
                <c:pt idx="16">
                  <c:v>980</c:v>
                </c:pt>
                <c:pt idx="17">
                  <c:v>1002.5</c:v>
                </c:pt>
                <c:pt idx="18">
                  <c:v>1022.7</c:v>
                </c:pt>
                <c:pt idx="19">
                  <c:v>977.1</c:v>
                </c:pt>
                <c:pt idx="20">
                  <c:v>1020.6</c:v>
                </c:pt>
                <c:pt idx="21">
                  <c:v>1041</c:v>
                </c:pt>
                <c:pt idx="22">
                  <c:v>1063.5999999999999</c:v>
                </c:pt>
              </c:numCache>
            </c:numRef>
          </c:val>
        </c:ser>
        <c:ser>
          <c:idx val="1"/>
          <c:order val="1"/>
          <c:tx>
            <c:strRef>
              <c:f>Sheet1!$A$3</c:f>
              <c:strCache>
                <c:ptCount val="1"/>
                <c:pt idx="0">
                  <c:v>Прогноз электропотребления в РФ, млрд. КВт.ч, 2013-2019гг., Минэнерго +1,82%</c:v>
                </c:pt>
              </c:strCache>
            </c:strRef>
          </c:tx>
          <c:spPr>
            <a:ln w="30080">
              <a:solidFill>
                <a:srgbClr val="FF0000"/>
              </a:solidFill>
              <a:prstDash val="solid"/>
            </a:ln>
          </c:spPr>
          <c:marker>
            <c:symbol val="square"/>
            <c:size val="2"/>
            <c:spPr>
              <a:solidFill>
                <a:srgbClr val="FF0000"/>
              </a:solidFill>
              <a:ln>
                <a:solidFill>
                  <a:srgbClr val="FF0000"/>
                </a:solidFill>
                <a:prstDash val="solid"/>
              </a:ln>
            </c:spPr>
          </c:marker>
          <c:dLbls>
            <c:dLbl>
              <c:idx val="29"/>
              <c:layout>
                <c:manualLayout>
                  <c:x val="-1.3114754098360715E-2"/>
                  <c:y val="0"/>
                </c:manualLayout>
              </c:layout>
              <c:spPr/>
              <c:txPr>
                <a:bodyPr/>
                <a:lstStyle/>
                <a:p>
                  <a:pPr>
                    <a:defRPr sz="969" b="1" i="0" u="none" strike="noStrike" baseline="0">
                      <a:solidFill>
                        <a:srgbClr val="FF0000"/>
                      </a:solidFill>
                      <a:latin typeface="Arial"/>
                      <a:ea typeface="Arial"/>
                      <a:cs typeface="Arial"/>
                    </a:defRPr>
                  </a:pPr>
                  <a:endParaRPr lang="ru-RU"/>
                </a:p>
              </c:txPr>
              <c:dLblPos val="r"/>
              <c:showVal val="1"/>
            </c:dLbl>
            <c:delete val="1"/>
          </c:dLbls>
          <c:cat>
            <c:numRef>
              <c:f>Sheet1!$B$1:$AE$1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Sheet1!$B$3:$AE$3</c:f>
              <c:numCache>
                <c:formatCode>General</c:formatCode>
                <c:ptCount val="30"/>
                <c:pt idx="21">
                  <c:v>1041</c:v>
                </c:pt>
                <c:pt idx="22">
                  <c:v>1063.5999999999999</c:v>
                </c:pt>
                <c:pt idx="23" formatCode="_-* #,##0_р_._-;\-* #,##0_р_._-;_-* &quot;-&quot;??_р_._-;_-@_-">
                  <c:v>1082.3</c:v>
                </c:pt>
                <c:pt idx="24" formatCode="_-* #,##0_р_._-;\-* #,##0_р_._-;_-* &quot;-&quot;??_р_._-;_-@_-">
                  <c:v>1102</c:v>
                </c:pt>
                <c:pt idx="25" formatCode="_-* #,##0_р_._-;\-* #,##0_р_._-;_-* &quot;-&quot;??_р_._-;_-@_-">
                  <c:v>1122.0999999999999</c:v>
                </c:pt>
                <c:pt idx="26" formatCode="_-* #,##0_р_._-;\-* #,##0_р_._-;_-* &quot;-&quot;??_р_._-;_-@_-">
                  <c:v>1142.5</c:v>
                </c:pt>
                <c:pt idx="27" formatCode="_-* #,##0_р_._-;\-* #,##0_р_._-;_-* &quot;-&quot;??_р_._-;_-@_-">
                  <c:v>1163.3</c:v>
                </c:pt>
                <c:pt idx="28" formatCode="_-* #,##0_р_._-;\-* #,##0_р_._-;_-* &quot;-&quot;??_р_._-;_-@_-">
                  <c:v>1184.5</c:v>
                </c:pt>
                <c:pt idx="29" formatCode="_-* #,##0.0_р_._-;\-* #,##0.0_р_._-;_-* &quot;-&quot;??_р_._-;_-@_-">
                  <c:v>1206</c:v>
                </c:pt>
              </c:numCache>
            </c:numRef>
          </c:val>
        </c:ser>
        <c:ser>
          <c:idx val="6"/>
          <c:order val="2"/>
          <c:tx>
            <c:strRef>
              <c:f>Sheet1!$A$6</c:f>
              <c:strCache>
                <c:ptCount val="1"/>
                <c:pt idx="0">
                  <c:v>Прогноз электропотребления в РФ, млрд. КВт.ч, СПЭ, 2013-2019, темп +1%</c:v>
                </c:pt>
              </c:strCache>
            </c:strRef>
          </c:tx>
          <c:spPr>
            <a:ln w="30080">
              <a:solidFill>
                <a:srgbClr val="993366"/>
              </a:solidFill>
              <a:prstDash val="solid"/>
            </a:ln>
          </c:spPr>
          <c:marker>
            <c:symbol val="plus"/>
            <c:size val="2"/>
            <c:spPr>
              <a:solidFill>
                <a:srgbClr val="993366"/>
              </a:solidFill>
              <a:ln>
                <a:solidFill>
                  <a:srgbClr val="993366"/>
                </a:solidFill>
                <a:prstDash val="solid"/>
              </a:ln>
            </c:spPr>
          </c:marker>
          <c:dLbls>
            <c:dLbl>
              <c:idx val="22"/>
              <c:layout>
                <c:manualLayout>
                  <c:x val="-5.9526913596671532E-2"/>
                  <c:y val="-6.6015748031496473E-3"/>
                </c:manualLayout>
              </c:layout>
              <c:spPr/>
              <c:txPr>
                <a:bodyPr/>
                <a:lstStyle/>
                <a:p>
                  <a:pPr>
                    <a:defRPr sz="1265" b="1" i="0" u="none" strike="noStrike" baseline="0">
                      <a:solidFill>
                        <a:srgbClr val="666699"/>
                      </a:solidFill>
                      <a:latin typeface="Arial"/>
                      <a:ea typeface="Arial"/>
                      <a:cs typeface="Arial"/>
                    </a:defRPr>
                  </a:pPr>
                  <a:endParaRPr lang="ru-RU"/>
                </a:p>
              </c:txPr>
              <c:dLblPos val="r"/>
              <c:showVal val="1"/>
            </c:dLbl>
            <c:dLbl>
              <c:idx val="29"/>
              <c:layout>
                <c:manualLayout>
                  <c:x val="-1.3114754098360718E-2"/>
                  <c:y val="-2.7425440054142402E-3"/>
                </c:manualLayout>
              </c:layout>
              <c:spPr/>
              <c:txPr>
                <a:bodyPr/>
                <a:lstStyle/>
                <a:p>
                  <a:pPr>
                    <a:defRPr sz="1265" b="1" i="0" u="none" strike="noStrike" baseline="0">
                      <a:solidFill>
                        <a:srgbClr val="666699"/>
                      </a:solidFill>
                      <a:latin typeface="Arial"/>
                      <a:ea typeface="Arial"/>
                      <a:cs typeface="Arial"/>
                    </a:defRPr>
                  </a:pPr>
                  <a:endParaRPr lang="ru-RU"/>
                </a:p>
              </c:txPr>
              <c:dLblPos val="r"/>
              <c:showVal val="1"/>
            </c:dLbl>
            <c:delete val="1"/>
          </c:dLbls>
          <c:cat>
            <c:numRef>
              <c:f>Sheet1!$B$1:$AE$1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Sheet1!$B$6:$AE$6</c:f>
              <c:numCache>
                <c:formatCode>General</c:formatCode>
                <c:ptCount val="30"/>
                <c:pt idx="21">
                  <c:v>1041</c:v>
                </c:pt>
                <c:pt idx="22">
                  <c:v>1063</c:v>
                </c:pt>
                <c:pt idx="23">
                  <c:v>1063</c:v>
                </c:pt>
                <c:pt idx="24" formatCode="0">
                  <c:v>1073.6299999999999</c:v>
                </c:pt>
                <c:pt idx="25" formatCode="0">
                  <c:v>1084.3662999999999</c:v>
                </c:pt>
                <c:pt idx="26" formatCode="0">
                  <c:v>1095.2099630000037</c:v>
                </c:pt>
                <c:pt idx="27" formatCode="0">
                  <c:v>1106.1620626299998</c:v>
                </c:pt>
                <c:pt idx="28" formatCode="0">
                  <c:v>1117.2236832563001</c:v>
                </c:pt>
                <c:pt idx="29" formatCode="0">
                  <c:v>1128.3959200888628</c:v>
                </c:pt>
              </c:numCache>
            </c:numRef>
          </c:val>
        </c:ser>
        <c:marker val="1"/>
        <c:axId val="252647680"/>
        <c:axId val="252678144"/>
      </c:lineChart>
      <c:lineChart>
        <c:grouping val="standard"/>
        <c:ser>
          <c:idx val="3"/>
          <c:order val="3"/>
          <c:tx>
            <c:strRef>
              <c:f>Sheet1!$A$7</c:f>
              <c:strCache>
                <c:ptCount val="1"/>
                <c:pt idx="0">
                  <c:v>Максимальная электрическая нагрузка в ЕЭС, ГВт. Факт.</c:v>
                </c:pt>
              </c:strCache>
            </c:strRef>
          </c:tx>
          <c:spPr>
            <a:ln w="20053">
              <a:solidFill>
                <a:srgbClr val="00FF00"/>
              </a:solidFill>
              <a:prstDash val="solid"/>
            </a:ln>
          </c:spPr>
          <c:marker>
            <c:symbol val="x"/>
            <c:size val="2"/>
            <c:spPr>
              <a:solidFill>
                <a:srgbClr val="00FF00"/>
              </a:solidFill>
              <a:ln>
                <a:solidFill>
                  <a:srgbClr val="00FF00"/>
                </a:solidFill>
                <a:prstDash val="solid"/>
              </a:ln>
            </c:spPr>
          </c:marker>
          <c:cat>
            <c:numRef>
              <c:f>Sheet1!$B$1:$AE$1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Sheet1!$B$7:$AE$7</c:f>
              <c:numCache>
                <c:formatCode>General</c:formatCode>
                <c:ptCount val="30"/>
                <c:pt idx="0">
                  <c:v>158.80000000000001</c:v>
                </c:pt>
                <c:pt idx="1">
                  <c:v>155.19999999999999</c:v>
                </c:pt>
                <c:pt idx="11">
                  <c:v>132.80000000000001</c:v>
                </c:pt>
                <c:pt idx="12">
                  <c:v>134.30000000000001</c:v>
                </c:pt>
                <c:pt idx="13">
                  <c:v>137.6</c:v>
                </c:pt>
                <c:pt idx="14">
                  <c:v>131.69999999999999</c:v>
                </c:pt>
                <c:pt idx="15">
                  <c:v>136.9</c:v>
                </c:pt>
                <c:pt idx="16">
                  <c:v>147.5</c:v>
                </c:pt>
                <c:pt idx="17">
                  <c:v>140.80000000000001</c:v>
                </c:pt>
                <c:pt idx="18">
                  <c:v>149.19999999999999</c:v>
                </c:pt>
                <c:pt idx="19">
                  <c:v>141.30000000000001</c:v>
                </c:pt>
                <c:pt idx="20">
                  <c:v>150</c:v>
                </c:pt>
                <c:pt idx="21">
                  <c:v>148.9</c:v>
                </c:pt>
                <c:pt idx="22">
                  <c:v>157.4</c:v>
                </c:pt>
              </c:numCache>
            </c:numRef>
          </c:val>
        </c:ser>
        <c:ser>
          <c:idx val="4"/>
          <c:order val="4"/>
          <c:tx>
            <c:strRef>
              <c:f>Sheet1!$A$8</c:f>
              <c:strCache>
                <c:ptCount val="1"/>
                <c:pt idx="0">
                  <c:v>Прогноз макс. электрической нагрузки в ЕЭС, ГВт, Минэнерго, 2013-2019гг. </c:v>
                </c:pt>
              </c:strCache>
            </c:strRef>
          </c:tx>
          <c:spPr>
            <a:ln w="20053">
              <a:solidFill>
                <a:srgbClr val="339966"/>
              </a:solidFill>
              <a:prstDash val="solid"/>
            </a:ln>
          </c:spPr>
          <c:marker>
            <c:symbol val="star"/>
            <c:size val="3"/>
            <c:spPr>
              <a:solidFill>
                <a:srgbClr val="008000"/>
              </a:solidFill>
              <a:ln>
                <a:solidFill>
                  <a:srgbClr val="008000"/>
                </a:solidFill>
                <a:prstDash val="solid"/>
              </a:ln>
            </c:spPr>
          </c:marker>
          <c:dLbls>
            <c:dLbl>
              <c:idx val="29"/>
              <c:layout>
                <c:manualLayout>
                  <c:x val="-1.3283937710139343E-3"/>
                  <c:y val="8.8888888888889565E-3"/>
                </c:manualLayout>
              </c:layout>
              <c:numFmt formatCode="#,##0" sourceLinked="0"/>
              <c:spPr/>
              <c:txPr>
                <a:bodyPr/>
                <a:lstStyle/>
                <a:p>
                  <a:pPr>
                    <a:defRPr sz="1265" b="1" i="0" u="none" strike="noStrike" baseline="0">
                      <a:solidFill>
                        <a:srgbClr val="339966"/>
                      </a:solidFill>
                      <a:latin typeface="Arial"/>
                      <a:ea typeface="Arial"/>
                      <a:cs typeface="Arial"/>
                    </a:defRPr>
                  </a:pPr>
                  <a:endParaRPr lang="ru-RU"/>
                </a:p>
              </c:txPr>
              <c:dLblPos val="r"/>
              <c:showVal val="1"/>
            </c:dLbl>
            <c:delete val="1"/>
          </c:dLbls>
          <c:cat>
            <c:numRef>
              <c:f>Sheet1!$B$1:$AE$1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Sheet1!$B$8:$AE$8</c:f>
              <c:numCache>
                <c:formatCode>General</c:formatCode>
                <c:ptCount val="30"/>
                <c:pt idx="22">
                  <c:v>157.4</c:v>
                </c:pt>
                <c:pt idx="23" formatCode="0">
                  <c:v>158.792</c:v>
                </c:pt>
                <c:pt idx="24" formatCode="0">
                  <c:v>162.51</c:v>
                </c:pt>
                <c:pt idx="25" formatCode="0">
                  <c:v>166.05</c:v>
                </c:pt>
                <c:pt idx="26" formatCode="0">
                  <c:v>168.99600000000001</c:v>
                </c:pt>
                <c:pt idx="27" formatCode="0">
                  <c:v>171.46800000000007</c:v>
                </c:pt>
                <c:pt idx="28" formatCode="0">
                  <c:v>173.589</c:v>
                </c:pt>
                <c:pt idx="29" formatCode="0">
                  <c:v>175.67899999999997</c:v>
                </c:pt>
              </c:numCache>
            </c:numRef>
          </c:val>
        </c:ser>
        <c:ser>
          <c:idx val="5"/>
          <c:order val="5"/>
          <c:tx>
            <c:strRef>
              <c:f>Sheet1!$A$9</c:f>
              <c:strCache>
                <c:ptCount val="1"/>
                <c:pt idx="0">
                  <c:v>Прогноз макс. электрической нагрузки в ЕЭС, ГВт, СПЭ, 2013 - 2019гг., февраль</c:v>
                </c:pt>
              </c:strCache>
            </c:strRef>
          </c:tx>
          <c:spPr>
            <a:ln w="20053">
              <a:solidFill>
                <a:srgbClr val="99CC00"/>
              </a:solidFill>
              <a:prstDash val="solid"/>
            </a:ln>
          </c:spPr>
          <c:marker>
            <c:symbol val="circle"/>
            <c:size val="3"/>
            <c:spPr>
              <a:solidFill>
                <a:srgbClr val="99CC00"/>
              </a:solidFill>
              <a:ln>
                <a:solidFill>
                  <a:srgbClr val="99CC00"/>
                </a:solidFill>
                <a:prstDash val="solid"/>
              </a:ln>
            </c:spPr>
          </c:marker>
          <c:cat>
            <c:numRef>
              <c:f>Sheet1!$B$1:$AE$1</c:f>
              <c:numCache>
                <c:formatCode>General</c:formatCode>
                <c:ptCount val="30"/>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numCache>
            </c:numRef>
          </c:cat>
          <c:val>
            <c:numRef>
              <c:f>Sheet1!$B$9:$AE$9</c:f>
              <c:numCache>
                <c:formatCode>General</c:formatCode>
                <c:ptCount val="30"/>
                <c:pt idx="22">
                  <c:v>157.4</c:v>
                </c:pt>
                <c:pt idx="23" formatCode="_-* #,##0_р_._-;\-* #,##0_р_._-;_-* &quot;-&quot;??_р_._-;_-@_-">
                  <c:v>155.4</c:v>
                </c:pt>
                <c:pt idx="24" formatCode="_-* #,##0_р_._-;\-* #,##0_р_._-;_-* &quot;-&quot;??_р_._-;_-@_-">
                  <c:v>157.26666666666625</c:v>
                </c:pt>
                <c:pt idx="25" formatCode="_-* #,##0_р_._-;\-* #,##0_р_._-;_-* &quot;-&quot;??_р_._-;_-@_-">
                  <c:v>159.13333333333341</c:v>
                </c:pt>
                <c:pt idx="26" formatCode="_-* #,##0_р_._-;\-* #,##0_р_._-;_-* &quot;-&quot;??_р_._-;_-@_-">
                  <c:v>161.00000000000003</c:v>
                </c:pt>
                <c:pt idx="27" formatCode="_-* #,##0_р_._-;\-* #,##0_р_._-;_-* &quot;-&quot;??_р_._-;_-@_-">
                  <c:v>162.8666666666667</c:v>
                </c:pt>
                <c:pt idx="28" formatCode="_-* #,##0_р_._-;\-* #,##0_р_._-;_-* &quot;-&quot;??_р_._-;_-@_-">
                  <c:v>164.73333333333341</c:v>
                </c:pt>
                <c:pt idx="29" formatCode="_-* #,##0_р_._-;\-* #,##0_р_._-;_-* &quot;-&quot;??_р_._-;_-@_-">
                  <c:v>166.6</c:v>
                </c:pt>
              </c:numCache>
            </c:numRef>
          </c:val>
        </c:ser>
        <c:ser>
          <c:idx val="2"/>
          <c:order val="6"/>
          <c:tx>
            <c:strRef>
              <c:f>Sheet1!$A$9</c:f>
              <c:strCache>
                <c:ptCount val="1"/>
                <c:pt idx="0">
                  <c:v>Прогноз макс. электрической нагрузки в ЕЭС, ГВт, СПЭ, 2013 - 2019гг., февраль</c:v>
                </c:pt>
              </c:strCache>
            </c:strRef>
          </c:tx>
          <c:dLbls>
            <c:dLbl>
              <c:idx val="22"/>
              <c:layout>
                <c:manualLayout>
                  <c:x val="-6.7162170826147213E-2"/>
                  <c:y val="-1.782134733158356E-2"/>
                </c:manualLayout>
              </c:layout>
              <c:spPr/>
              <c:txPr>
                <a:bodyPr/>
                <a:lstStyle/>
                <a:p>
                  <a:pPr>
                    <a:defRPr sz="1265" b="1" i="0" u="none" strike="noStrike" baseline="0">
                      <a:solidFill>
                        <a:srgbClr val="99CC00"/>
                      </a:solidFill>
                      <a:latin typeface="Arial"/>
                      <a:ea typeface="Arial"/>
                      <a:cs typeface="Arial"/>
                    </a:defRPr>
                  </a:pPr>
                  <a:endParaRPr lang="ru-RU"/>
                </a:p>
              </c:txPr>
              <c:dLblPos val="r"/>
              <c:showVal val="1"/>
            </c:dLbl>
            <c:dLbl>
              <c:idx val="23"/>
              <c:layout>
                <c:manualLayout>
                  <c:x val="-2.3909205263664891E-2"/>
                  <c:y val="2.8888888888888888E-2"/>
                </c:manualLayout>
              </c:layout>
              <c:spPr/>
              <c:txPr>
                <a:bodyPr/>
                <a:lstStyle/>
                <a:p>
                  <a:pPr>
                    <a:defRPr sz="1265" b="1" i="0" u="none" strike="noStrike" baseline="0">
                      <a:solidFill>
                        <a:srgbClr val="99CC00"/>
                      </a:solidFill>
                      <a:latin typeface="Arial"/>
                      <a:ea typeface="Arial"/>
                      <a:cs typeface="Arial"/>
                    </a:defRPr>
                  </a:pPr>
                  <a:endParaRPr lang="ru-RU"/>
                </a:p>
              </c:txPr>
              <c:dLblPos val="r"/>
              <c:showVal val="1"/>
            </c:dLbl>
            <c:dLbl>
              <c:idx val="29"/>
              <c:layout>
                <c:manualLayout>
                  <c:x val="-1.5525113343329285E-2"/>
                  <c:y val="4.4357468103662393E-3"/>
                </c:manualLayout>
              </c:layout>
              <c:spPr/>
              <c:txPr>
                <a:bodyPr/>
                <a:lstStyle/>
                <a:p>
                  <a:pPr>
                    <a:defRPr sz="1265" b="1" i="0" u="none" strike="noStrike" baseline="0">
                      <a:solidFill>
                        <a:srgbClr val="99CC00"/>
                      </a:solidFill>
                      <a:latin typeface="Arial"/>
                      <a:ea typeface="Arial"/>
                      <a:cs typeface="Arial"/>
                    </a:defRPr>
                  </a:pPr>
                  <a:endParaRPr lang="ru-RU"/>
                </a:p>
              </c:txPr>
              <c:dLblPos val="r"/>
              <c:showVal val="1"/>
            </c:dLbl>
            <c:delete val="1"/>
          </c:dLbls>
          <c:val>
            <c:numRef>
              <c:f>Sheet1!$B$9:$AE$9</c:f>
              <c:numCache>
                <c:formatCode>General</c:formatCode>
                <c:ptCount val="30"/>
                <c:pt idx="22">
                  <c:v>157.4</c:v>
                </c:pt>
                <c:pt idx="23" formatCode="_-* #,##0_р_._-;\-* #,##0_р_._-;_-* &quot;-&quot;??_р_._-;_-@_-">
                  <c:v>155.4</c:v>
                </c:pt>
                <c:pt idx="24" formatCode="_-* #,##0_р_._-;\-* #,##0_р_._-;_-* &quot;-&quot;??_р_._-;_-@_-">
                  <c:v>157.26666666666625</c:v>
                </c:pt>
                <c:pt idx="25" formatCode="_-* #,##0_р_._-;\-* #,##0_р_._-;_-* &quot;-&quot;??_р_._-;_-@_-">
                  <c:v>159.13333333333341</c:v>
                </c:pt>
                <c:pt idx="26" formatCode="_-* #,##0_р_._-;\-* #,##0_р_._-;_-* &quot;-&quot;??_р_._-;_-@_-">
                  <c:v>161.00000000000003</c:v>
                </c:pt>
                <c:pt idx="27" formatCode="_-* #,##0_р_._-;\-* #,##0_р_._-;_-* &quot;-&quot;??_р_._-;_-@_-">
                  <c:v>162.8666666666667</c:v>
                </c:pt>
                <c:pt idx="28" formatCode="_-* #,##0_р_._-;\-* #,##0_р_._-;_-* &quot;-&quot;??_р_._-;_-@_-">
                  <c:v>164.73333333333341</c:v>
                </c:pt>
                <c:pt idx="29" formatCode="_-* #,##0_р_._-;\-* #,##0_р_._-;_-* &quot;-&quot;??_р_._-;_-@_-">
                  <c:v>166.6</c:v>
                </c:pt>
              </c:numCache>
            </c:numRef>
          </c:val>
        </c:ser>
        <c:marker val="1"/>
        <c:axId val="252679680"/>
        <c:axId val="252681216"/>
      </c:lineChart>
      <c:catAx>
        <c:axId val="252647680"/>
        <c:scaling>
          <c:orientation val="minMax"/>
        </c:scaling>
        <c:axPos val="b"/>
        <c:numFmt formatCode="General" sourceLinked="1"/>
        <c:tickLblPos val="nextTo"/>
        <c:spPr>
          <a:ln w="2507">
            <a:solidFill>
              <a:schemeClr val="tx1"/>
            </a:solidFill>
            <a:prstDash val="solid"/>
          </a:ln>
        </c:spPr>
        <c:txPr>
          <a:bodyPr rot="0" vert="horz"/>
          <a:lstStyle/>
          <a:p>
            <a:pPr>
              <a:defRPr sz="945" b="1" i="0" u="none" strike="noStrike" baseline="0">
                <a:solidFill>
                  <a:srgbClr val="000000"/>
                </a:solidFill>
                <a:latin typeface="Arial"/>
                <a:ea typeface="Arial"/>
                <a:cs typeface="Arial"/>
              </a:defRPr>
            </a:pPr>
            <a:endParaRPr lang="ru-RU"/>
          </a:p>
        </c:txPr>
        <c:crossAx val="252678144"/>
        <c:crosses val="autoZero"/>
        <c:auto val="1"/>
        <c:lblAlgn val="ctr"/>
        <c:lblOffset val="100"/>
        <c:tickLblSkip val="5"/>
        <c:tickMarkSkip val="1"/>
      </c:catAx>
      <c:valAx>
        <c:axId val="252678144"/>
        <c:scaling>
          <c:orientation val="minMax"/>
          <c:max val="1250"/>
          <c:min val="650"/>
        </c:scaling>
        <c:axPos val="l"/>
        <c:majorGridlines>
          <c:spPr>
            <a:ln w="2507">
              <a:solidFill>
                <a:schemeClr val="tx1"/>
              </a:solidFill>
              <a:prstDash val="solid"/>
            </a:ln>
          </c:spPr>
        </c:majorGridlines>
        <c:numFmt formatCode="General" sourceLinked="1"/>
        <c:tickLblPos val="nextTo"/>
        <c:spPr>
          <a:ln w="2507">
            <a:solidFill>
              <a:schemeClr val="tx1"/>
            </a:solidFill>
            <a:prstDash val="solid"/>
          </a:ln>
        </c:spPr>
        <c:txPr>
          <a:bodyPr rot="0" vert="horz"/>
          <a:lstStyle/>
          <a:p>
            <a:pPr>
              <a:defRPr sz="945" b="1" i="0" u="none" strike="noStrike" baseline="0">
                <a:solidFill>
                  <a:srgbClr val="000000"/>
                </a:solidFill>
                <a:latin typeface="Arial"/>
                <a:ea typeface="Arial"/>
                <a:cs typeface="Arial"/>
              </a:defRPr>
            </a:pPr>
            <a:endParaRPr lang="ru-RU"/>
          </a:p>
        </c:txPr>
        <c:crossAx val="252647680"/>
        <c:crosses val="autoZero"/>
        <c:crossBetween val="midCat"/>
        <c:majorUnit val="100"/>
      </c:valAx>
      <c:catAx>
        <c:axId val="252679680"/>
        <c:scaling>
          <c:orientation val="minMax"/>
        </c:scaling>
        <c:delete val="1"/>
        <c:axPos val="b"/>
        <c:numFmt formatCode="General" sourceLinked="1"/>
        <c:tickLblPos val="none"/>
        <c:crossAx val="252681216"/>
        <c:crosses val="autoZero"/>
        <c:auto val="1"/>
        <c:lblAlgn val="ctr"/>
        <c:lblOffset val="100"/>
      </c:catAx>
      <c:valAx>
        <c:axId val="252681216"/>
        <c:scaling>
          <c:orientation val="minMax"/>
          <c:max val="190"/>
          <c:min val="130"/>
        </c:scaling>
        <c:axPos val="r"/>
        <c:numFmt formatCode="General" sourceLinked="1"/>
        <c:majorTickMark val="cross"/>
        <c:tickLblPos val="nextTo"/>
        <c:spPr>
          <a:ln w="2507">
            <a:solidFill>
              <a:schemeClr val="tx1"/>
            </a:solidFill>
            <a:prstDash val="solid"/>
          </a:ln>
        </c:spPr>
        <c:txPr>
          <a:bodyPr rot="0" vert="horz"/>
          <a:lstStyle/>
          <a:p>
            <a:pPr>
              <a:defRPr sz="945" b="1" i="0" u="none" strike="noStrike" baseline="0">
                <a:solidFill>
                  <a:srgbClr val="000000"/>
                </a:solidFill>
                <a:latin typeface="Arial"/>
                <a:ea typeface="Arial"/>
                <a:cs typeface="Arial"/>
              </a:defRPr>
            </a:pPr>
            <a:endParaRPr lang="ru-RU"/>
          </a:p>
        </c:txPr>
        <c:crossAx val="252679680"/>
        <c:crosses val="max"/>
        <c:crossBetween val="midCat"/>
        <c:majorUnit val="10"/>
      </c:valAx>
      <c:spPr>
        <a:noFill/>
        <a:ln w="10027">
          <a:solidFill>
            <a:schemeClr val="tx1"/>
          </a:solidFill>
          <a:prstDash val="solid"/>
        </a:ln>
      </c:spPr>
    </c:plotArea>
    <c:legend>
      <c:legendPos val="r"/>
      <c:layout>
        <c:manualLayout>
          <c:xMode val="edge"/>
          <c:yMode val="edge"/>
          <c:x val="0.73050694134931249"/>
          <c:y val="3.7777963924722303E-2"/>
          <c:w val="0.26417983129467426"/>
          <c:h val="0.80869185234824636"/>
        </c:manualLayout>
      </c:layout>
      <c:spPr>
        <a:noFill/>
        <a:ln w="2507">
          <a:solidFill>
            <a:schemeClr val="tx1"/>
          </a:solidFill>
          <a:prstDash val="solid"/>
        </a:ln>
      </c:spPr>
      <c:txPr>
        <a:bodyPr/>
        <a:lstStyle/>
        <a:p>
          <a:pPr>
            <a:defRPr sz="722" b="1" i="0" u="none" strike="noStrike" baseline="0">
              <a:solidFill>
                <a:srgbClr val="000000"/>
              </a:solidFill>
              <a:latin typeface="Arial"/>
              <a:ea typeface="Arial"/>
              <a:cs typeface="Arial"/>
            </a:defRPr>
          </a:pPr>
          <a:endParaRPr lang="ru-RU"/>
        </a:p>
      </c:txPr>
    </c:legend>
    <c:plotVisOnly val="1"/>
    <c:dispBlanksAs val="gap"/>
  </c:chart>
  <c:spPr>
    <a:noFill/>
    <a:ln>
      <a:noFill/>
    </a:ln>
  </c:spPr>
  <c:txPr>
    <a:bodyPr/>
    <a:lstStyle/>
    <a:p>
      <a:pPr>
        <a:defRPr sz="1991" b="1" i="0" u="none" strike="noStrike" baseline="0">
          <a:solidFill>
            <a:srgbClr val="000000"/>
          </a:solidFill>
          <a:latin typeface="Arial"/>
          <a:ea typeface="Arial"/>
          <a:cs typeface="Arial"/>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Лист2!$A$30</c:f>
              <c:strCache>
                <c:ptCount val="1"/>
                <c:pt idx="0">
                  <c:v>Факт</c:v>
                </c:pt>
              </c:strCache>
            </c:strRef>
          </c:tx>
          <c:spPr>
            <a:ln>
              <a:noFill/>
            </a:ln>
          </c:spPr>
          <c:marker>
            <c:symbol val="diamond"/>
            <c:size val="8"/>
            <c:spPr>
              <a:solidFill>
                <a:srgbClr val="FF0000"/>
              </a:solidFill>
              <a:ln>
                <a:solidFill>
                  <a:srgbClr val="FF0000"/>
                </a:solidFill>
              </a:ln>
            </c:spPr>
          </c:marker>
          <c:dLbls>
            <c:dLbl>
              <c:idx val="4"/>
              <c:layout>
                <c:manualLayout>
                  <c:x val="-0.05"/>
                  <c:y val="-6.4814814814815117E-2"/>
                </c:manualLayout>
              </c:layout>
              <c:showVal val="1"/>
            </c:dLbl>
            <c:dLbl>
              <c:idx val="5"/>
              <c:layout>
                <c:manualLayout>
                  <c:x val="-1.1111111111111165E-2"/>
                  <c:y val="-5.5555555555555455E-2"/>
                </c:manualLayout>
              </c:layout>
              <c:showVal val="1"/>
            </c:dLbl>
            <c:dLbl>
              <c:idx val="6"/>
              <c:layout>
                <c:manualLayout>
                  <c:x val="2.777777777777803E-3"/>
                  <c:y val="-8.3333333333333343E-2"/>
                </c:manualLayout>
              </c:layout>
              <c:showVal val="1"/>
            </c:dLbl>
            <c:dLbl>
              <c:idx val="7"/>
              <c:layout>
                <c:manualLayout>
                  <c:x val="1.1111111111111125E-2"/>
                  <c:y val="-9.259259259259317E-2"/>
                </c:manualLayout>
              </c:layout>
              <c:showVal val="1"/>
            </c:dLbl>
            <c:showVal val="1"/>
          </c:dLbls>
          <c:cat>
            <c:numRef>
              <c:f>Лист2!$B$29:$L$29</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Лист2!$B$30:$L$30</c:f>
              <c:numCache>
                <c:formatCode>General</c:formatCode>
                <c:ptCount val="11"/>
                <c:pt idx="0">
                  <c:v>6.29</c:v>
                </c:pt>
                <c:pt idx="1">
                  <c:v>6.6099999999999985</c:v>
                </c:pt>
                <c:pt idx="2">
                  <c:v>6.7700000000000014</c:v>
                </c:pt>
                <c:pt idx="3">
                  <c:v>6.46</c:v>
                </c:pt>
              </c:numCache>
            </c:numRef>
          </c:val>
        </c:ser>
        <c:ser>
          <c:idx val="2"/>
          <c:order val="1"/>
          <c:tx>
            <c:strRef>
              <c:f>Лист2!$A$31</c:f>
              <c:strCache>
                <c:ptCount val="1"/>
                <c:pt idx="0">
                  <c:v>Прогноз Минэнерго 2013</c:v>
                </c:pt>
              </c:strCache>
            </c:strRef>
          </c:tx>
          <c:spPr>
            <a:ln w="28575">
              <a:noFill/>
            </a:ln>
          </c:spPr>
          <c:marker>
            <c:symbol val="square"/>
            <c:size val="7"/>
            <c:spPr>
              <a:solidFill>
                <a:srgbClr val="0070C0"/>
              </a:solidFill>
              <a:ln>
                <a:solidFill>
                  <a:srgbClr val="0070C0"/>
                </a:solidFill>
              </a:ln>
            </c:spPr>
          </c:marker>
          <c:dLbls>
            <c:dLbl>
              <c:idx val="6"/>
              <c:layout>
                <c:manualLayout>
                  <c:x val="-5.5555555555555455E-2"/>
                  <c:y val="-5.0925925925925923E-2"/>
                </c:manualLayout>
              </c:layout>
              <c:showVal val="1"/>
            </c:dLbl>
            <c:dLbl>
              <c:idx val="8"/>
              <c:layout>
                <c:manualLayout>
                  <c:x val="-5.5555555555555455E-2"/>
                  <c:y val="-6.0185185185185217E-2"/>
                </c:manualLayout>
              </c:layout>
              <c:showVal val="1"/>
            </c:dLbl>
            <c:dLbl>
              <c:idx val="10"/>
              <c:layout>
                <c:manualLayout>
                  <c:x val="-4.4444444444444502E-2"/>
                  <c:y val="-6.9444444444444503E-2"/>
                </c:manualLayout>
              </c:layout>
              <c:showVal val="1"/>
            </c:dLbl>
            <c:delete val="1"/>
          </c:dLbls>
          <c:val>
            <c:numRef>
              <c:f>Лист2!$B$31:$L$31</c:f>
              <c:numCache>
                <c:formatCode>General</c:formatCode>
                <c:ptCount val="11"/>
                <c:pt idx="4" formatCode="0.00">
                  <c:v>6.509855784369293</c:v>
                </c:pt>
                <c:pt idx="5" formatCode="0.00">
                  <c:v>6.5048304719709398</c:v>
                </c:pt>
                <c:pt idx="6" formatCode="0.00">
                  <c:v>6.5040650406504055</c:v>
                </c:pt>
                <c:pt idx="7" formatCode="0.00">
                  <c:v>6.5278106508875524</c:v>
                </c:pt>
                <c:pt idx="8" formatCode="0.00">
                  <c:v>6.5533329445384005</c:v>
                </c:pt>
                <c:pt idx="9" formatCode="0.00">
                  <c:v>6.5660464312460389</c:v>
                </c:pt>
                <c:pt idx="10" formatCode="0.00">
                  <c:v>6.5664845173041755</c:v>
                </c:pt>
              </c:numCache>
            </c:numRef>
          </c:val>
        </c:ser>
        <c:ser>
          <c:idx val="1"/>
          <c:order val="2"/>
          <c:tx>
            <c:strRef>
              <c:f>Лист2!$A$32</c:f>
              <c:strCache>
                <c:ptCount val="1"/>
                <c:pt idx="0">
                  <c:v>Среднее значение 2009-2012 </c:v>
                </c:pt>
              </c:strCache>
            </c:strRef>
          </c:tx>
          <c:spPr>
            <a:ln>
              <a:solidFill>
                <a:srgbClr val="F517CB"/>
              </a:solidFill>
              <a:prstDash val="dash"/>
            </a:ln>
          </c:spPr>
          <c:marker>
            <c:symbol val="none"/>
          </c:marker>
          <c:dLbls>
            <c:dLbl>
              <c:idx val="0"/>
              <c:layout>
                <c:manualLayout>
                  <c:x val="-0.10833333333333336"/>
                  <c:y val="4.2437781360067394E-17"/>
                </c:manualLayout>
              </c:layout>
              <c:spPr/>
              <c:txPr>
                <a:bodyPr/>
                <a:lstStyle/>
                <a:p>
                  <a:pPr>
                    <a:defRPr sz="1200" b="1">
                      <a:solidFill>
                        <a:srgbClr val="F517CB"/>
                      </a:solidFill>
                    </a:defRPr>
                  </a:pPr>
                  <a:endParaRPr lang="ru-RU"/>
                </a:p>
              </c:txPr>
              <c:showVal val="1"/>
            </c:dLbl>
            <c:delete val="1"/>
          </c:dLbls>
          <c:val>
            <c:numRef>
              <c:f>Лист2!$B$32:$L$32</c:f>
              <c:numCache>
                <c:formatCode>General</c:formatCode>
                <c:ptCount val="11"/>
                <c:pt idx="0" formatCode="0.00">
                  <c:v>6.5329478037242614</c:v>
                </c:pt>
                <c:pt idx="1">
                  <c:v>6.53</c:v>
                </c:pt>
                <c:pt idx="2">
                  <c:v>6.53</c:v>
                </c:pt>
                <c:pt idx="3">
                  <c:v>6.53</c:v>
                </c:pt>
              </c:numCache>
            </c:numRef>
          </c:val>
        </c:ser>
        <c:ser>
          <c:idx val="3"/>
          <c:order val="3"/>
          <c:tx>
            <c:strRef>
              <c:f>Лист2!$A$33</c:f>
              <c:strCache>
                <c:ptCount val="1"/>
                <c:pt idx="0">
                  <c:v>Среднее значение 2013-2019</c:v>
                </c:pt>
              </c:strCache>
            </c:strRef>
          </c:tx>
          <c:spPr>
            <a:ln w="28575">
              <a:solidFill>
                <a:srgbClr val="0070C0"/>
              </a:solidFill>
              <a:prstDash val="dash"/>
            </a:ln>
          </c:spPr>
          <c:marker>
            <c:symbol val="none"/>
          </c:marker>
          <c:val>
            <c:numRef>
              <c:f>Лист2!$B$33:$L$33</c:f>
              <c:numCache>
                <c:formatCode>General</c:formatCode>
                <c:ptCount val="11"/>
                <c:pt idx="4">
                  <c:v>6.53</c:v>
                </c:pt>
                <c:pt idx="5">
                  <c:v>6.53</c:v>
                </c:pt>
                <c:pt idx="6">
                  <c:v>6.53</c:v>
                </c:pt>
                <c:pt idx="7">
                  <c:v>6.53</c:v>
                </c:pt>
                <c:pt idx="8">
                  <c:v>6.53</c:v>
                </c:pt>
                <c:pt idx="9">
                  <c:v>6.53</c:v>
                </c:pt>
                <c:pt idx="10">
                  <c:v>6.53</c:v>
                </c:pt>
              </c:numCache>
            </c:numRef>
          </c:val>
        </c:ser>
        <c:marker val="1"/>
        <c:axId val="252689408"/>
        <c:axId val="252777216"/>
      </c:lineChart>
      <c:catAx>
        <c:axId val="252689408"/>
        <c:scaling>
          <c:orientation val="minMax"/>
        </c:scaling>
        <c:axPos val="b"/>
        <c:numFmt formatCode="General" sourceLinked="1"/>
        <c:tickLblPos val="nextTo"/>
        <c:crossAx val="252777216"/>
        <c:crosses val="autoZero"/>
        <c:auto val="1"/>
        <c:lblAlgn val="ctr"/>
        <c:lblOffset val="100"/>
        <c:tickLblSkip val="2"/>
      </c:catAx>
      <c:valAx>
        <c:axId val="252777216"/>
        <c:scaling>
          <c:orientation val="minMax"/>
        </c:scaling>
        <c:axPos val="l"/>
        <c:majorGridlines/>
        <c:numFmt formatCode="General" sourceLinked="1"/>
        <c:tickLblPos val="nextTo"/>
        <c:crossAx val="252689408"/>
        <c:crosses val="autoZero"/>
        <c:crossBetween val="between"/>
      </c:valAx>
    </c:plotArea>
    <c:legend>
      <c:legendPos val="r"/>
      <c:layout>
        <c:manualLayout>
          <c:xMode val="edge"/>
          <c:yMode val="edge"/>
          <c:x val="0.64209711286089644"/>
          <c:y val="3.0488116068824886E-2"/>
          <c:w val="0.34123622047244095"/>
          <c:h val="0.86032006415864681"/>
        </c:manualLayout>
      </c:layout>
      <c:txPr>
        <a:bodyPr/>
        <a:lstStyle/>
        <a:p>
          <a:pPr>
            <a:defRPr sz="900"/>
          </a:pPr>
          <a:endParaRPr lang="ru-RU"/>
        </a:p>
      </c:txPr>
    </c:legend>
    <c:plotVisOnly val="1"/>
  </c:chart>
  <c:externalData r:id="rId1"/>
</c:chartSpace>
</file>

<file path=word/drawings/_rels/drawing11.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12.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13.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15.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16.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17.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19.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20.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21.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22.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23.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24.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29.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30.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31.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32.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34.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35.xml.rels><?xml version="1.0" encoding="UTF-8" standalone="yes"?>
<Relationships xmlns="http://schemas.openxmlformats.org/package/2006/relationships"><Relationship Id="rId1" Type="http://schemas.openxmlformats.org/officeDocument/2006/relationships/image" Target="../media/image29.jpeg"/></Relationships>
</file>

<file path=word/drawings/_rels/drawing36.xml.rels><?xml version="1.0" encoding="UTF-8" standalone="yes"?>
<Relationships xmlns="http://schemas.openxmlformats.org/package/2006/relationships"><Relationship Id="rId1" Type="http://schemas.openxmlformats.org/officeDocument/2006/relationships/image" Target="../media/image29.jpeg"/></Relationships>
</file>

<file path=word/drawings/drawing1.xml><?xml version="1.0" encoding="utf-8"?>
<c:userShapes xmlns:c="http://schemas.openxmlformats.org/drawingml/2006/chart">
  <cdr:relSizeAnchor xmlns:cdr="http://schemas.openxmlformats.org/drawingml/2006/chartDrawing">
    <cdr:from>
      <cdr:x>0.28425</cdr:x>
      <cdr:y>0.06</cdr:y>
    </cdr:from>
    <cdr:to>
      <cdr:x>0.28425</cdr:x>
      <cdr:y>0.8825</cdr:y>
    </cdr:to>
    <cdr:sp macro="" textlink="">
      <cdr:nvSpPr>
        <cdr:cNvPr id="1025" name="Line 1"/>
        <cdr:cNvSpPr>
          <a:spLocks xmlns:a="http://schemas.openxmlformats.org/drawingml/2006/main" noChangeShapeType="1"/>
        </cdr:cNvSpPr>
      </cdr:nvSpPr>
      <cdr:spPr bwMode="auto">
        <a:xfrm xmlns:a="http://schemas.openxmlformats.org/drawingml/2006/main" flipH="1">
          <a:off x="1705713" y="238316"/>
          <a:ext cx="0" cy="3266908"/>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0.527</cdr:x>
      <cdr:y>0.06</cdr:y>
    </cdr:from>
    <cdr:to>
      <cdr:x>0.527</cdr:x>
      <cdr:y>0.88175</cdr:y>
    </cdr:to>
    <cdr:sp macro="" textlink="">
      <cdr:nvSpPr>
        <cdr:cNvPr id="1026" name="Line 2"/>
        <cdr:cNvSpPr>
          <a:spLocks xmlns:a="http://schemas.openxmlformats.org/drawingml/2006/main" noChangeShapeType="1"/>
        </cdr:cNvSpPr>
      </cdr:nvSpPr>
      <cdr:spPr bwMode="auto">
        <a:xfrm xmlns:a="http://schemas.openxmlformats.org/drawingml/2006/main" flipH="1">
          <a:off x="3162395" y="238316"/>
          <a:ext cx="0" cy="326392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0.55525</cdr:x>
      <cdr:y>0.06</cdr:y>
    </cdr:from>
    <cdr:to>
      <cdr:x>0.55525</cdr:x>
      <cdr:y>0.88175</cdr:y>
    </cdr:to>
    <cdr:sp macro="" textlink="">
      <cdr:nvSpPr>
        <cdr:cNvPr id="1027" name="Line 3"/>
        <cdr:cNvSpPr>
          <a:spLocks xmlns:a="http://schemas.openxmlformats.org/drawingml/2006/main" noChangeShapeType="1"/>
        </cdr:cNvSpPr>
      </cdr:nvSpPr>
      <cdr:spPr bwMode="auto">
        <a:xfrm xmlns:a="http://schemas.openxmlformats.org/drawingml/2006/main" flipH="1">
          <a:off x="3331916" y="238316"/>
          <a:ext cx="0" cy="3263929"/>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sp>
  </cdr:relSizeAnchor>
  <cdr:relSizeAnchor xmlns:cdr="http://schemas.openxmlformats.org/drawingml/2006/chartDrawing">
    <cdr:from>
      <cdr:x>0.23625</cdr:x>
      <cdr:y>0.87</cdr:y>
    </cdr:from>
    <cdr:to>
      <cdr:x>0.33775</cdr:x>
      <cdr:y>0.9755</cdr:y>
    </cdr:to>
    <cdr:sp macro="" textlink="">
      <cdr:nvSpPr>
        <cdr:cNvPr id="1028" name="Text Box 4"/>
        <cdr:cNvSpPr txBox="1">
          <a:spLocks xmlns:a="http://schemas.openxmlformats.org/drawingml/2006/main" noChangeArrowheads="1"/>
        </cdr:cNvSpPr>
      </cdr:nvSpPr>
      <cdr:spPr bwMode="auto">
        <a:xfrm xmlns:a="http://schemas.openxmlformats.org/drawingml/2006/main">
          <a:off x="1417677" y="3455575"/>
          <a:ext cx="609076" cy="41903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ru-RU" sz="1000" b="1" i="0" u="none" strike="noStrike" baseline="0">
              <a:solidFill>
                <a:srgbClr val="000000"/>
              </a:solidFill>
              <a:latin typeface="Arial"/>
              <a:cs typeface="Arial"/>
            </a:rPr>
            <a:t>1999</a:t>
          </a:r>
        </a:p>
        <a:p xmlns:a="http://schemas.openxmlformats.org/drawingml/2006/main">
          <a:pPr algn="l" rtl="0">
            <a:defRPr sz="1000"/>
          </a:pPr>
          <a:endParaRPr lang="ru-RU" sz="1000" b="1" i="0" u="none" strike="noStrike" baseline="0">
            <a:solidFill>
              <a:srgbClr val="000000"/>
            </a:solidFill>
            <a:latin typeface="Arial"/>
            <a:cs typeface="Arial"/>
          </a:endParaRPr>
        </a:p>
      </cdr:txBody>
    </cdr:sp>
  </cdr:relSizeAnchor>
  <cdr:relSizeAnchor xmlns:cdr="http://schemas.openxmlformats.org/drawingml/2006/chartDrawing">
    <cdr:from>
      <cdr:x>0.48075</cdr:x>
      <cdr:y>0.87</cdr:y>
    </cdr:from>
    <cdr:to>
      <cdr:x>0.58225</cdr:x>
      <cdr:y>0.9875</cdr:y>
    </cdr:to>
    <cdr:sp macro="" textlink="">
      <cdr:nvSpPr>
        <cdr:cNvPr id="1029" name="Text Box 5"/>
        <cdr:cNvSpPr txBox="1">
          <a:spLocks xmlns:a="http://schemas.openxmlformats.org/drawingml/2006/main" noChangeArrowheads="1"/>
        </cdr:cNvSpPr>
      </cdr:nvSpPr>
      <cdr:spPr bwMode="auto">
        <a:xfrm xmlns:a="http://schemas.openxmlformats.org/drawingml/2006/main">
          <a:off x="2884861" y="3455575"/>
          <a:ext cx="609076" cy="46670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91440" tIns="45720" rIns="91440" bIns="45720" anchor="t" upright="1"/>
        <a:lstStyle xmlns:a="http://schemas.openxmlformats.org/drawingml/2006/main"/>
        <a:p xmlns:a="http://schemas.openxmlformats.org/drawingml/2006/main">
          <a:pPr algn="l" rtl="0">
            <a:defRPr sz="1000"/>
          </a:pPr>
          <a:r>
            <a:rPr lang="ru-RU" sz="1000" b="1" i="0" u="none" strike="noStrike" baseline="0">
              <a:solidFill>
                <a:srgbClr val="0000FF"/>
              </a:solidFill>
              <a:latin typeface="Arial"/>
              <a:cs typeface="Arial"/>
            </a:rPr>
            <a:t>2008</a:t>
          </a:r>
        </a:p>
        <a:p xmlns:a="http://schemas.openxmlformats.org/drawingml/2006/main">
          <a:pPr algn="l" rtl="0">
            <a:defRPr sz="1000"/>
          </a:pPr>
          <a:endParaRPr lang="ru-RU" sz="1000" b="1" i="0" u="none" strike="noStrike" baseline="0">
            <a:solidFill>
              <a:srgbClr val="0000FF"/>
            </a:solidFill>
            <a:latin typeface="Arial"/>
            <a:cs typeface="Arial"/>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0.71162</cdr:x>
      <cdr:y>0.05141</cdr:y>
    </cdr:from>
    <cdr:to>
      <cdr:x>0.71162</cdr:x>
      <cdr:y>0.81879</cdr:y>
    </cdr:to>
    <cdr:sp macro="" textlink="">
      <cdr:nvSpPr>
        <cdr:cNvPr id="3" name="Прямая соединительная линия 2"/>
        <cdr:cNvSpPr/>
      </cdr:nvSpPr>
      <cdr:spPr>
        <a:xfrm xmlns:a="http://schemas.openxmlformats.org/drawingml/2006/main">
          <a:off x="3563370" y="253659"/>
          <a:ext cx="0" cy="378618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0.76155</cdr:x>
      <cdr:y>0.05141</cdr:y>
    </cdr:from>
    <cdr:to>
      <cdr:x>0.76155</cdr:x>
      <cdr:y>0.81396</cdr:y>
    </cdr:to>
    <cdr:sp macro="" textlink="">
      <cdr:nvSpPr>
        <cdr:cNvPr id="5" name="Прямая соединительная линия 4"/>
        <cdr:cNvSpPr/>
      </cdr:nvSpPr>
      <cdr:spPr>
        <a:xfrm xmlns:a="http://schemas.openxmlformats.org/drawingml/2006/main">
          <a:off x="3813401" y="253659"/>
          <a:ext cx="0" cy="37623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1.xml><?xml version="1.0" encoding="utf-8"?>
<c:userShapes xmlns:c="http://schemas.openxmlformats.org/drawingml/2006/chart">
  <cdr:relSizeAnchor xmlns:cdr="http://schemas.openxmlformats.org/drawingml/2006/chartDrawing">
    <cdr:from>
      <cdr:x>0.721</cdr:x>
      <cdr:y>0.03515</cdr:y>
    </cdr:from>
    <cdr:to>
      <cdr:x>0.75775</cdr:x>
      <cdr:y>0.95862</cdr:y>
    </cdr:to>
    <cdr:sp macro="" textlink="">
      <cdr:nvSpPr>
        <cdr:cNvPr id="28" name="Прямоугольник 27"/>
        <cdr:cNvSpPr/>
      </cdr:nvSpPr>
      <cdr:spPr>
        <a:xfrm xmlns:a="http://schemas.openxmlformats.org/drawingml/2006/main">
          <a:off x="5258322" y="147639"/>
          <a:ext cx="268021" cy="3879059"/>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800" b="1">
              <a:solidFill>
                <a:schemeClr val="tx1"/>
              </a:solidFill>
            </a:rPr>
            <a:t>Падение</a:t>
          </a:r>
        </a:p>
        <a:p xmlns:a="http://schemas.openxmlformats.org/drawingml/2006/main">
          <a:endParaRPr lang="ru-RU" sz="1800" b="1">
            <a:solidFill>
              <a:schemeClr val="tx1"/>
            </a:solidFill>
          </a:endParaRPr>
        </a:p>
        <a:p xmlns:a="http://schemas.openxmlformats.org/drawingml/2006/main">
          <a:r>
            <a:rPr lang="ru-RU" sz="1800" b="1">
              <a:solidFill>
                <a:schemeClr val="tx1"/>
              </a:solidFill>
            </a:rPr>
            <a:t>ВРП</a:t>
          </a:r>
        </a:p>
      </cdr:txBody>
    </cdr:sp>
  </cdr:relSizeAnchor>
  <cdr:relSizeAnchor xmlns:cdr="http://schemas.openxmlformats.org/drawingml/2006/chartDrawing">
    <cdr:from>
      <cdr:x>0.34409</cdr:x>
      <cdr:y>0.02479</cdr:y>
    </cdr:from>
    <cdr:to>
      <cdr:x>0.37862</cdr:x>
      <cdr:y>0.95592</cdr:y>
    </cdr:to>
    <cdr:sp macro="" textlink="">
      <cdr:nvSpPr>
        <cdr:cNvPr id="27" name="Прямоугольник 26"/>
        <cdr:cNvSpPr/>
      </cdr:nvSpPr>
      <cdr:spPr>
        <a:xfrm xmlns:a="http://schemas.openxmlformats.org/drawingml/2006/main">
          <a:off x="2509498" y="104117"/>
          <a:ext cx="251830" cy="3911235"/>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800" b="1">
              <a:solidFill>
                <a:schemeClr val="tx1"/>
              </a:solidFill>
            </a:rPr>
            <a:t>Падение         </a:t>
          </a:r>
        </a:p>
        <a:p xmlns:a="http://schemas.openxmlformats.org/drawingml/2006/main">
          <a:r>
            <a:rPr lang="ru-RU" sz="1800" b="1">
              <a:solidFill>
                <a:schemeClr val="tx1"/>
              </a:solidFill>
            </a:rPr>
            <a:t>ВРП</a:t>
          </a:r>
        </a:p>
      </cdr:txBody>
    </cdr:sp>
  </cdr:relSizeAnchor>
  <cdr:relSizeAnchor xmlns:cdr="http://schemas.openxmlformats.org/drawingml/2006/chartDrawing">
    <cdr:from>
      <cdr:x>0.40855</cdr:x>
      <cdr:y>0.02251</cdr:y>
    </cdr:from>
    <cdr:to>
      <cdr:x>0.68847</cdr:x>
      <cdr:y>0.1418</cdr:y>
    </cdr:to>
    <cdr:sp macro="" textlink="">
      <cdr:nvSpPr>
        <cdr:cNvPr id="12" name="TextBox 11"/>
        <cdr:cNvSpPr txBox="1"/>
      </cdr:nvSpPr>
      <cdr:spPr>
        <a:xfrm xmlns:a="http://schemas.openxmlformats.org/drawingml/2006/main">
          <a:off x="3287024" y="94565"/>
          <a:ext cx="2252115" cy="501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FF0000"/>
              </a:solidFill>
            </a:rPr>
            <a:t>Рост  ВРП</a:t>
          </a:r>
        </a:p>
      </cdr:txBody>
    </cdr:sp>
  </cdr:relSizeAnchor>
  <cdr:relSizeAnchor xmlns:cdr="http://schemas.openxmlformats.org/drawingml/2006/chartDrawing">
    <cdr:from>
      <cdr:x>0.7632</cdr:x>
      <cdr:y>0.02605</cdr:y>
    </cdr:from>
    <cdr:to>
      <cdr:x>0.96152</cdr:x>
      <cdr:y>0.10393</cdr:y>
    </cdr:to>
    <cdr:sp macro="" textlink="">
      <cdr:nvSpPr>
        <cdr:cNvPr id="13" name="TextBox 12"/>
        <cdr:cNvSpPr txBox="1"/>
      </cdr:nvSpPr>
      <cdr:spPr>
        <a:xfrm xmlns:a="http://schemas.openxmlformats.org/drawingml/2006/main">
          <a:off x="6528000" y="145899"/>
          <a:ext cx="1696320" cy="43618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FF0000"/>
              </a:solidFill>
            </a:rPr>
            <a:t>Рост ВРП</a:t>
          </a:r>
        </a:p>
      </cdr:txBody>
    </cdr:sp>
  </cdr:relSizeAnchor>
  <cdr:relSizeAnchor xmlns:cdr="http://schemas.openxmlformats.org/drawingml/2006/chartDrawing">
    <cdr:from>
      <cdr:x>0.07795</cdr:x>
      <cdr:y>0.47959</cdr:y>
    </cdr:from>
    <cdr:to>
      <cdr:x>0.28744</cdr:x>
      <cdr:y>0.4807</cdr:y>
    </cdr:to>
    <cdr:sp macro="" textlink="">
      <cdr:nvSpPr>
        <cdr:cNvPr id="18" name="Прямая со стрелкой 17"/>
        <cdr:cNvSpPr/>
      </cdr:nvSpPr>
      <cdr:spPr>
        <a:xfrm xmlns:a="http://schemas.openxmlformats.org/drawingml/2006/main" flipH="1" flipV="1">
          <a:off x="666749" y="2686049"/>
          <a:ext cx="1791829" cy="6183"/>
        </a:xfrm>
        <a:prstGeom xmlns:a="http://schemas.openxmlformats.org/drawingml/2006/main" prst="straightConnector1">
          <a:avLst/>
        </a:prstGeom>
        <a:ln xmlns:a="http://schemas.openxmlformats.org/drawingml/2006/main">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5.64684E-5</cdr:x>
      <cdr:y>0.46404</cdr:y>
    </cdr:from>
    <cdr:to>
      <cdr:x>0.10452</cdr:x>
      <cdr:y>0.52543</cdr:y>
    </cdr:to>
    <cdr:sp macro="" textlink="">
      <cdr:nvSpPr>
        <cdr:cNvPr id="19" name="TextBox 18"/>
        <cdr:cNvSpPr txBox="1"/>
      </cdr:nvSpPr>
      <cdr:spPr>
        <a:xfrm xmlns:a="http://schemas.openxmlformats.org/drawingml/2006/main">
          <a:off x="483" y="2598963"/>
          <a:ext cx="893493" cy="34382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FF0000"/>
              </a:solidFill>
            </a:rPr>
            <a:t>9,6%</a:t>
          </a:r>
        </a:p>
      </cdr:txBody>
    </cdr:sp>
  </cdr:relSizeAnchor>
  <cdr:relSizeAnchor xmlns:cdr="http://schemas.openxmlformats.org/drawingml/2006/chartDrawing">
    <cdr:from>
      <cdr:x>0.00927</cdr:x>
      <cdr:y>0.5729</cdr:y>
    </cdr:from>
    <cdr:to>
      <cdr:x>0.13603</cdr:x>
      <cdr:y>0.64023</cdr:y>
    </cdr:to>
    <cdr:sp macro="" textlink="">
      <cdr:nvSpPr>
        <cdr:cNvPr id="22" name="TextBox 21"/>
        <cdr:cNvSpPr txBox="1"/>
      </cdr:nvSpPr>
      <cdr:spPr>
        <a:xfrm xmlns:a="http://schemas.openxmlformats.org/drawingml/2006/main">
          <a:off x="79266" y="3208657"/>
          <a:ext cx="1084236" cy="3770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002060"/>
              </a:solidFill>
            </a:rPr>
            <a:t>3,6%</a:t>
          </a:r>
        </a:p>
      </cdr:txBody>
    </cdr:sp>
  </cdr:relSizeAnchor>
  <cdr:relSizeAnchor xmlns:cdr="http://schemas.openxmlformats.org/drawingml/2006/chartDrawing">
    <cdr:from>
      <cdr:x>0.28062</cdr:x>
      <cdr:y>0.48129</cdr:y>
    </cdr:from>
    <cdr:to>
      <cdr:x>0.66815</cdr:x>
      <cdr:y>0.48129</cdr:y>
    </cdr:to>
    <cdr:sp macro="" textlink="">
      <cdr:nvSpPr>
        <cdr:cNvPr id="15" name="Прямая соединительная линия 14"/>
        <cdr:cNvSpPr/>
      </cdr:nvSpPr>
      <cdr:spPr>
        <a:xfrm xmlns:a="http://schemas.openxmlformats.org/drawingml/2006/main">
          <a:off x="2400300" y="2695574"/>
          <a:ext cx="3314700" cy="0"/>
        </a:xfrm>
        <a:prstGeom xmlns:a="http://schemas.openxmlformats.org/drawingml/2006/main" prst="line">
          <a:avLst/>
        </a:prstGeom>
        <a:ln xmlns:a="http://schemas.openxmlformats.org/drawingml/2006/main" w="285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0.33431</cdr:x>
      <cdr:y>0.5658</cdr:y>
    </cdr:from>
    <cdr:to>
      <cdr:x>0.71516</cdr:x>
      <cdr:y>0.5658</cdr:y>
    </cdr:to>
    <cdr:sp macro="" textlink="">
      <cdr:nvSpPr>
        <cdr:cNvPr id="23" name="Прямая соединительная линия 22"/>
        <cdr:cNvSpPr/>
      </cdr:nvSpPr>
      <cdr:spPr>
        <a:xfrm xmlns:a="http://schemas.openxmlformats.org/drawingml/2006/main">
          <a:off x="2242725" y="2376651"/>
          <a:ext cx="2554943" cy="0"/>
        </a:xfrm>
        <a:prstGeom xmlns:a="http://schemas.openxmlformats.org/drawingml/2006/main" prst="line">
          <a:avLst/>
        </a:prstGeom>
        <a:ln xmlns:a="http://schemas.openxmlformats.org/drawingml/2006/main" w="254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32" name="Прямая со стрелкой 31"/>
        <cdr:cNvSpPr/>
      </cdr:nvSpPr>
      <cdr:spPr>
        <a:xfrm xmlns:a="http://schemas.openxmlformats.org/drawingml/2006/main" flipH="1">
          <a:off x="-552449" y="-1143000"/>
          <a:ext cx="0" cy="0"/>
        </a:xfrm>
        <a:prstGeom xmlns:a="http://schemas.openxmlformats.org/drawingml/2006/main" prst="straightConnector1">
          <a:avLst/>
        </a:prstGeom>
        <a:ln xmlns:a="http://schemas.openxmlformats.org/drawingml/2006/main" w="22225">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0.15378</cdr:x>
      <cdr:y>0.805</cdr:y>
    </cdr:from>
    <cdr:to>
      <cdr:x>0.29397</cdr:x>
      <cdr:y>0.805</cdr:y>
    </cdr:to>
    <cdr:sp macro="" textlink="">
      <cdr:nvSpPr>
        <cdr:cNvPr id="34" name="Прямая соединительная линия 33"/>
        <cdr:cNvSpPr/>
      </cdr:nvSpPr>
      <cdr:spPr>
        <a:xfrm xmlns:a="http://schemas.openxmlformats.org/drawingml/2006/main">
          <a:off x="1724026" y="4600575"/>
          <a:ext cx="1571625" cy="0"/>
        </a:xfrm>
        <a:prstGeom xmlns:a="http://schemas.openxmlformats.org/drawingml/2006/main" prst="line">
          <a:avLst/>
        </a:prstGeom>
        <a:ln xmlns:a="http://schemas.openxmlformats.org/drawingml/2006/main" w="254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0.07901</cdr:x>
      <cdr:y>0.805</cdr:y>
    </cdr:from>
    <cdr:to>
      <cdr:x>0.15633</cdr:x>
      <cdr:y>0.805</cdr:y>
    </cdr:to>
    <cdr:sp macro="" textlink="">
      <cdr:nvSpPr>
        <cdr:cNvPr id="36" name="Прямая со стрелкой 35"/>
        <cdr:cNvSpPr/>
      </cdr:nvSpPr>
      <cdr:spPr>
        <a:xfrm xmlns:a="http://schemas.openxmlformats.org/drawingml/2006/main" flipH="1">
          <a:off x="885826" y="4600575"/>
          <a:ext cx="866775" cy="0"/>
        </a:xfrm>
        <a:prstGeom xmlns:a="http://schemas.openxmlformats.org/drawingml/2006/main" prst="straightConnector1">
          <a:avLst/>
        </a:prstGeom>
        <a:ln xmlns:a="http://schemas.openxmlformats.org/drawingml/2006/main" w="22225">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0.0068</cdr:x>
      <cdr:y>0.78167</cdr:y>
    </cdr:from>
    <cdr:to>
      <cdr:x>0.09601</cdr:x>
      <cdr:y>0.84167</cdr:y>
    </cdr:to>
    <cdr:sp macro="" textlink="">
      <cdr:nvSpPr>
        <cdr:cNvPr id="37" name="TextBox 36"/>
        <cdr:cNvSpPr txBox="1"/>
      </cdr:nvSpPr>
      <cdr:spPr>
        <a:xfrm xmlns:a="http://schemas.openxmlformats.org/drawingml/2006/main">
          <a:off x="76201" y="4467225"/>
          <a:ext cx="1000125" cy="342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chemeClr val="accent1"/>
              </a:solidFill>
            </a:rPr>
            <a:t>-2,4%</a:t>
          </a:r>
        </a:p>
      </cdr:txBody>
    </cdr:sp>
  </cdr:relSizeAnchor>
  <cdr:relSizeAnchor xmlns:cdr="http://schemas.openxmlformats.org/drawingml/2006/chartDrawing">
    <cdr:from>
      <cdr:x>0.00765</cdr:x>
      <cdr:y>0.5191</cdr:y>
    </cdr:from>
    <cdr:to>
      <cdr:x>0.13441</cdr:x>
      <cdr:y>0.58643</cdr:y>
    </cdr:to>
    <cdr:sp macro="" textlink="">
      <cdr:nvSpPr>
        <cdr:cNvPr id="16" name="TextBox 1"/>
        <cdr:cNvSpPr txBox="1"/>
      </cdr:nvSpPr>
      <cdr:spPr>
        <a:xfrm xmlns:a="http://schemas.openxmlformats.org/drawingml/2006/main">
          <a:off x="51288" y="2180492"/>
          <a:ext cx="850374" cy="2828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a:solidFill>
                <a:schemeClr val="accent1"/>
              </a:solidFill>
            </a:rPr>
            <a:t>3,8%</a:t>
          </a:r>
        </a:p>
      </cdr:txBody>
    </cdr:sp>
  </cdr:relSizeAnchor>
  <cdr:relSizeAnchor xmlns:cdr="http://schemas.openxmlformats.org/drawingml/2006/chartDrawing">
    <cdr:from>
      <cdr:x>0.0811</cdr:x>
      <cdr:y>0.5639</cdr:y>
    </cdr:from>
    <cdr:to>
      <cdr:x>0.33995</cdr:x>
      <cdr:y>0.5639</cdr:y>
    </cdr:to>
    <cdr:sp macro="" textlink="">
      <cdr:nvSpPr>
        <cdr:cNvPr id="29" name="Прямая со стрелкой 28"/>
        <cdr:cNvSpPr/>
      </cdr:nvSpPr>
      <cdr:spPr>
        <a:xfrm xmlns:a="http://schemas.openxmlformats.org/drawingml/2006/main" flipH="1">
          <a:off x="544078" y="2368689"/>
          <a:ext cx="1736480" cy="0"/>
        </a:xfrm>
        <a:prstGeom xmlns:a="http://schemas.openxmlformats.org/drawingml/2006/main" prst="straightConnector1">
          <a:avLst/>
        </a:prstGeom>
        <a:ln xmlns:a="http://schemas.openxmlformats.org/drawingml/2006/main" w="22225">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0.0811</cdr:x>
      <cdr:y>0.58309</cdr:y>
    </cdr:from>
    <cdr:to>
      <cdr:x>0.31046</cdr:x>
      <cdr:y>0.58309</cdr:y>
    </cdr:to>
    <cdr:sp macro="" textlink="">
      <cdr:nvSpPr>
        <cdr:cNvPr id="31" name="Прямая со стрелкой 30"/>
        <cdr:cNvSpPr/>
      </cdr:nvSpPr>
      <cdr:spPr>
        <a:xfrm xmlns:a="http://schemas.openxmlformats.org/drawingml/2006/main" flipH="1">
          <a:off x="544078" y="2449285"/>
          <a:ext cx="1538653" cy="0"/>
        </a:xfrm>
        <a:prstGeom xmlns:a="http://schemas.openxmlformats.org/drawingml/2006/main" prst="straightConnector1">
          <a:avLst/>
        </a:prstGeom>
        <a:ln xmlns:a="http://schemas.openxmlformats.org/drawingml/2006/main" w="22225">
          <a:solidFill>
            <a:srgbClr val="00206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0.09708</cdr:x>
      <cdr:y>0.02721</cdr:y>
    </cdr:from>
    <cdr:to>
      <cdr:x>0.377</cdr:x>
      <cdr:y>0.1465</cdr:y>
    </cdr:to>
    <cdr:sp macro="" textlink="">
      <cdr:nvSpPr>
        <cdr:cNvPr id="20" name="TextBox 1"/>
        <cdr:cNvSpPr txBox="1"/>
      </cdr:nvSpPr>
      <cdr:spPr>
        <a:xfrm xmlns:a="http://schemas.openxmlformats.org/drawingml/2006/main">
          <a:off x="781050" y="114300"/>
          <a:ext cx="2252115" cy="50108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600" b="1">
              <a:solidFill>
                <a:sysClr val="windowText" lastClr="000000"/>
              </a:solidFill>
            </a:rPr>
            <a:t>Падение  ВРП</a:t>
          </a:r>
        </a:p>
      </cdr:txBody>
    </cdr:sp>
  </cdr:relSizeAnchor>
</c:userShapes>
</file>

<file path=word/drawings/drawing12.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a:off x="-3676650" y="-2238375"/>
          <a:ext cx="0" cy="0"/>
        </a:xfrm>
        <a:prstGeom xmlns:a="http://schemas.openxmlformats.org/drawingml/2006/main" prst="line">
          <a:avLst/>
        </a:prstGeom>
        <a:ln xmlns:a="http://schemas.openxmlformats.org/drawingml/2006/main" w="2540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0.13124</cdr:x>
      <cdr:y>0.50718</cdr:y>
    </cdr:from>
    <cdr:to>
      <cdr:x>0.63957</cdr:x>
      <cdr:y>0.51065</cdr:y>
    </cdr:to>
    <cdr:sp macro="" textlink="">
      <cdr:nvSpPr>
        <cdr:cNvPr id="5" name="Прямая соединительная линия 4"/>
        <cdr:cNvSpPr/>
      </cdr:nvSpPr>
      <cdr:spPr>
        <a:xfrm xmlns:a="http://schemas.openxmlformats.org/drawingml/2006/main" flipV="1">
          <a:off x="771287" y="1956495"/>
          <a:ext cx="2987437" cy="13394"/>
        </a:xfrm>
        <a:prstGeom xmlns:a="http://schemas.openxmlformats.org/drawingml/2006/main" prst="line">
          <a:avLst/>
        </a:prstGeom>
        <a:ln xmlns:a="http://schemas.openxmlformats.org/drawingml/2006/main" w="19050">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0.07436</cdr:x>
      <cdr:y>0.67407</cdr:y>
    </cdr:from>
    <cdr:to>
      <cdr:x>0.18935</cdr:x>
      <cdr:y>0.67517</cdr:y>
    </cdr:to>
    <cdr:sp macro="" textlink="">
      <cdr:nvSpPr>
        <cdr:cNvPr id="7" name="Прямая со стрелкой 6"/>
        <cdr:cNvSpPr/>
      </cdr:nvSpPr>
      <cdr:spPr>
        <a:xfrm xmlns:a="http://schemas.openxmlformats.org/drawingml/2006/main" flipH="1" flipV="1">
          <a:off x="466726" y="2606745"/>
          <a:ext cx="721804" cy="4226"/>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0.00607</cdr:x>
      <cdr:y>0.62469</cdr:y>
    </cdr:from>
    <cdr:to>
      <cdr:x>0.16692</cdr:x>
      <cdr:y>0.74815</cdr:y>
    </cdr:to>
    <cdr:sp macro="" textlink="">
      <cdr:nvSpPr>
        <cdr:cNvPr id="8" name="TextBox 7"/>
        <cdr:cNvSpPr txBox="1"/>
      </cdr:nvSpPr>
      <cdr:spPr>
        <a:xfrm xmlns:a="http://schemas.openxmlformats.org/drawingml/2006/main">
          <a:off x="38102" y="2409824"/>
          <a:ext cx="1009650" cy="476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00B0F0"/>
              </a:solidFill>
            </a:rPr>
            <a:t>0,4</a:t>
          </a:r>
        </a:p>
      </cdr:txBody>
    </cdr:sp>
  </cdr:relSizeAnchor>
  <cdr:relSizeAnchor xmlns:cdr="http://schemas.openxmlformats.org/drawingml/2006/chartDrawing">
    <cdr:from>
      <cdr:x>0.13604</cdr:x>
      <cdr:y>0.05053</cdr:y>
    </cdr:from>
    <cdr:to>
      <cdr:x>0.17878</cdr:x>
      <cdr:y>0.94559</cdr:y>
    </cdr:to>
    <cdr:sp macro="" textlink="">
      <cdr:nvSpPr>
        <cdr:cNvPr id="11" name="Прямоугольник 10"/>
        <cdr:cNvSpPr/>
      </cdr:nvSpPr>
      <cdr:spPr>
        <a:xfrm xmlns:a="http://schemas.openxmlformats.org/drawingml/2006/main">
          <a:off x="795679" y="194923"/>
          <a:ext cx="250030" cy="3452812"/>
        </a:xfrm>
        <a:prstGeom xmlns:a="http://schemas.openxmlformats.org/drawingml/2006/main" prst="rect">
          <a:avLst/>
        </a:prstGeom>
        <a:blipFill xmlns:a="http://schemas.openxmlformats.org/drawingml/2006/main" dpi="0" rotWithShape="1">
          <a:blip xmlns:r="http://schemas.openxmlformats.org/officeDocument/2006/relationships" r:embed="rId1">
            <a:alphaModFix amt="54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0.60661</cdr:x>
      <cdr:y>0.03704</cdr:y>
    </cdr:from>
    <cdr:to>
      <cdr:x>0.64935</cdr:x>
      <cdr:y>0.9321</cdr:y>
    </cdr:to>
    <cdr:sp macro="" textlink="">
      <cdr:nvSpPr>
        <cdr:cNvPr id="13" name="Прямоугольник 12"/>
        <cdr:cNvSpPr/>
      </cdr:nvSpPr>
      <cdr:spPr>
        <a:xfrm xmlns:a="http://schemas.openxmlformats.org/drawingml/2006/main">
          <a:off x="3548061" y="142875"/>
          <a:ext cx="250030" cy="3452812"/>
        </a:xfrm>
        <a:prstGeom xmlns:a="http://schemas.openxmlformats.org/drawingml/2006/main" prst="rect">
          <a:avLst/>
        </a:prstGeom>
        <a:blipFill xmlns:a="http://schemas.openxmlformats.org/drawingml/2006/main" dpi="0" rotWithShape="1">
          <a:blip xmlns:r="http://schemas.openxmlformats.org/officeDocument/2006/relationships" r:embed="rId1">
            <a:alphaModFix amt="54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0.22967</cdr:x>
      <cdr:y>0.31905</cdr:y>
    </cdr:from>
    <cdr:to>
      <cdr:x>0.34774</cdr:x>
      <cdr:y>0.90547</cdr:y>
    </cdr:to>
    <cdr:sp macro="" textlink="">
      <cdr:nvSpPr>
        <cdr:cNvPr id="14" name="Овал 13"/>
        <cdr:cNvSpPr/>
      </cdr:nvSpPr>
      <cdr:spPr>
        <a:xfrm xmlns:a="http://schemas.openxmlformats.org/drawingml/2006/main">
          <a:off x="1343365" y="1230766"/>
          <a:ext cx="690563" cy="2262188"/>
        </a:xfrm>
        <a:prstGeom xmlns:a="http://schemas.openxmlformats.org/drawingml/2006/main" prst="ellipse">
          <a:avLst/>
        </a:prstGeom>
        <a:noFill xmlns:a="http://schemas.openxmlformats.org/drawingml/2006/main"/>
        <a:ln xmlns:a="http://schemas.openxmlformats.org/drawingml/2006/main" w="15875"/>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3.xml><?xml version="1.0" encoding="utf-8"?>
<c:userShapes xmlns:c="http://schemas.openxmlformats.org/drawingml/2006/chart">
  <cdr:relSizeAnchor xmlns:cdr="http://schemas.openxmlformats.org/drawingml/2006/chartDrawing">
    <cdr:from>
      <cdr:x>0.05753</cdr:x>
      <cdr:y>0.30003</cdr:y>
    </cdr:from>
    <cdr:to>
      <cdr:x>0.72306</cdr:x>
      <cdr:y>0.30003</cdr:y>
    </cdr:to>
    <cdr:sp macro="" textlink="">
      <cdr:nvSpPr>
        <cdr:cNvPr id="3" name="Прямая со стрелкой 2"/>
        <cdr:cNvSpPr/>
      </cdr:nvSpPr>
      <cdr:spPr>
        <a:xfrm xmlns:a="http://schemas.openxmlformats.org/drawingml/2006/main" flipH="1">
          <a:off x="365514" y="915355"/>
          <a:ext cx="4228470" cy="0"/>
        </a:xfrm>
        <a:prstGeom xmlns:a="http://schemas.openxmlformats.org/drawingml/2006/main" prst="straightConnector1">
          <a:avLst/>
        </a:prstGeom>
        <a:ln xmlns:a="http://schemas.openxmlformats.org/drawingml/2006/main" w="22225">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0.00829</cdr:x>
      <cdr:y>0.28991</cdr:y>
    </cdr:from>
    <cdr:to>
      <cdr:x>0.14098</cdr:x>
      <cdr:y>0.36935</cdr:y>
    </cdr:to>
    <cdr:sp macro="" textlink="">
      <cdr:nvSpPr>
        <cdr:cNvPr id="4" name="TextBox 3"/>
        <cdr:cNvSpPr txBox="1"/>
      </cdr:nvSpPr>
      <cdr:spPr>
        <a:xfrm xmlns:a="http://schemas.openxmlformats.org/drawingml/2006/main">
          <a:off x="52666" y="884499"/>
          <a:ext cx="843046" cy="242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chemeClr val="tx2">
                  <a:lumMod val="60000"/>
                  <a:lumOff val="40000"/>
                </a:schemeClr>
              </a:solidFill>
            </a:rPr>
            <a:t>0,4</a:t>
          </a:r>
        </a:p>
      </cdr:txBody>
    </cdr:sp>
  </cdr:relSizeAnchor>
  <cdr:relSizeAnchor xmlns:cdr="http://schemas.openxmlformats.org/drawingml/2006/chartDrawing">
    <cdr:from>
      <cdr:x>0.15297</cdr:x>
      <cdr:y>0.16017</cdr:y>
    </cdr:from>
    <cdr:to>
      <cdr:x>0.19495</cdr:x>
      <cdr:y>0.96566</cdr:y>
    </cdr:to>
    <cdr:sp macro="" textlink="">
      <cdr:nvSpPr>
        <cdr:cNvPr id="5" name="Прямоугольник 4"/>
        <cdr:cNvSpPr/>
      </cdr:nvSpPr>
      <cdr:spPr>
        <a:xfrm xmlns:a="http://schemas.openxmlformats.org/drawingml/2006/main">
          <a:off x="971912" y="488668"/>
          <a:ext cx="266700" cy="2457450"/>
        </a:xfrm>
        <a:prstGeom xmlns:a="http://schemas.openxmlformats.org/drawingml/2006/main" prst="rect">
          <a:avLst/>
        </a:prstGeom>
        <a:blipFill xmlns:a="http://schemas.openxmlformats.org/drawingml/2006/main" dpi="0" rotWithShape="1">
          <a:blip xmlns:r="http://schemas.openxmlformats.org/officeDocument/2006/relationships" r:embed="rId1">
            <a:alphaModFix amt="52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0.76613</cdr:x>
      <cdr:y>0.16642</cdr:y>
    </cdr:from>
    <cdr:to>
      <cdr:x>0.80511</cdr:x>
      <cdr:y>0.96254</cdr:y>
    </cdr:to>
    <cdr:sp macro="" textlink="">
      <cdr:nvSpPr>
        <cdr:cNvPr id="7" name="Прямоугольник 6"/>
        <cdr:cNvSpPr/>
      </cdr:nvSpPr>
      <cdr:spPr>
        <a:xfrm xmlns:a="http://schemas.openxmlformats.org/drawingml/2006/main">
          <a:off x="4867637" y="507718"/>
          <a:ext cx="247650" cy="2428875"/>
        </a:xfrm>
        <a:prstGeom xmlns:a="http://schemas.openxmlformats.org/drawingml/2006/main" prst="rect">
          <a:avLst/>
        </a:prstGeom>
        <a:blipFill xmlns:a="http://schemas.openxmlformats.org/drawingml/2006/main" dpi="0" rotWithShape="1">
          <a:blip xmlns:r="http://schemas.openxmlformats.org/officeDocument/2006/relationships" r:embed="rId1">
            <a:alphaModFix amt="59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4.xml><?xml version="1.0" encoding="utf-8"?>
<c:userShapes xmlns:c="http://schemas.openxmlformats.org/drawingml/2006/chart">
  <cdr:relSizeAnchor xmlns:cdr="http://schemas.openxmlformats.org/drawingml/2006/chartDrawing">
    <cdr:from>
      <cdr:x>0.26925</cdr:x>
      <cdr:y>0.0203</cdr:y>
    </cdr:from>
    <cdr:to>
      <cdr:x>0.26925</cdr:x>
      <cdr:y>0.8455</cdr:y>
    </cdr:to>
    <cdr:sp macro="" textlink="">
      <cdr:nvSpPr>
        <cdr:cNvPr id="3" name="Прямая соединительная линия 2"/>
        <cdr:cNvSpPr/>
      </cdr:nvSpPr>
      <cdr:spPr>
        <a:xfrm xmlns:a="http://schemas.openxmlformats.org/drawingml/2006/main" flipV="1">
          <a:off x="1223316" y="75204"/>
          <a:ext cx="0" cy="3057552"/>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0.72977</cdr:x>
      <cdr:y>0.02185</cdr:y>
    </cdr:from>
    <cdr:to>
      <cdr:x>0.72977</cdr:x>
      <cdr:y>0.84191</cdr:y>
    </cdr:to>
    <cdr:sp macro="" textlink="">
      <cdr:nvSpPr>
        <cdr:cNvPr id="5" name="Прямая соединительная линия 4"/>
        <cdr:cNvSpPr/>
      </cdr:nvSpPr>
      <cdr:spPr>
        <a:xfrm xmlns:a="http://schemas.openxmlformats.org/drawingml/2006/main" flipV="1">
          <a:off x="3315667" y="80947"/>
          <a:ext cx="0" cy="303850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5.xml><?xml version="1.0" encoding="utf-8"?>
<c:userShapes xmlns:c="http://schemas.openxmlformats.org/drawingml/2006/chart">
  <cdr:relSizeAnchor xmlns:cdr="http://schemas.openxmlformats.org/drawingml/2006/chartDrawing">
    <cdr:from>
      <cdr:x>0.1135</cdr:x>
      <cdr:y>0.24306</cdr:y>
    </cdr:from>
    <cdr:to>
      <cdr:x>0.30061</cdr:x>
      <cdr:y>0.24306</cdr:y>
    </cdr:to>
    <cdr:sp macro="" textlink="">
      <cdr:nvSpPr>
        <cdr:cNvPr id="3" name="Прямая со стрелкой 2"/>
        <cdr:cNvSpPr/>
      </cdr:nvSpPr>
      <cdr:spPr>
        <a:xfrm xmlns:a="http://schemas.openxmlformats.org/drawingml/2006/main" flipH="1">
          <a:off x="704850" y="666750"/>
          <a:ext cx="1162050" cy="0"/>
        </a:xfrm>
        <a:prstGeom xmlns:a="http://schemas.openxmlformats.org/drawingml/2006/main" prst="straightConnector1">
          <a:avLst/>
        </a:prstGeom>
        <a:ln xmlns:a="http://schemas.openxmlformats.org/drawingml/2006/main" w="1270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0.11503</cdr:x>
      <cdr:y>0.35764</cdr:y>
    </cdr:from>
    <cdr:to>
      <cdr:x>0.30521</cdr:x>
      <cdr:y>0.35764</cdr:y>
    </cdr:to>
    <cdr:sp macro="" textlink="">
      <cdr:nvSpPr>
        <cdr:cNvPr id="7" name="Прямая со стрелкой 6"/>
        <cdr:cNvSpPr/>
      </cdr:nvSpPr>
      <cdr:spPr>
        <a:xfrm xmlns:a="http://schemas.openxmlformats.org/drawingml/2006/main" flipH="1">
          <a:off x="714375" y="981075"/>
          <a:ext cx="1181100" cy="0"/>
        </a:xfrm>
        <a:prstGeom xmlns:a="http://schemas.openxmlformats.org/drawingml/2006/main" prst="straightConnector1">
          <a:avLst/>
        </a:prstGeom>
        <a:ln xmlns:a="http://schemas.openxmlformats.org/drawingml/2006/main" w="12700">
          <a:solidFill>
            <a:srgbClr val="00206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0.11503</cdr:x>
      <cdr:y>0.37153</cdr:y>
    </cdr:from>
    <cdr:to>
      <cdr:x>0.30368</cdr:x>
      <cdr:y>0.37153</cdr:y>
    </cdr:to>
    <cdr:sp macro="" textlink="">
      <cdr:nvSpPr>
        <cdr:cNvPr id="11" name="Прямая со стрелкой 10"/>
        <cdr:cNvSpPr/>
      </cdr:nvSpPr>
      <cdr:spPr>
        <a:xfrm xmlns:a="http://schemas.openxmlformats.org/drawingml/2006/main" flipH="1">
          <a:off x="714375" y="1019175"/>
          <a:ext cx="1171575" cy="0"/>
        </a:xfrm>
        <a:prstGeom xmlns:a="http://schemas.openxmlformats.org/drawingml/2006/main" prst="straightConnector1">
          <a:avLst/>
        </a:prstGeom>
        <a:ln xmlns:a="http://schemas.openxmlformats.org/drawingml/2006/main" w="12700">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0.31611</cdr:x>
      <cdr:y>0.06439</cdr:y>
    </cdr:from>
    <cdr:to>
      <cdr:x>0.35392</cdr:x>
      <cdr:y>0.94965</cdr:y>
    </cdr:to>
    <cdr:sp macro="" textlink="">
      <cdr:nvSpPr>
        <cdr:cNvPr id="5" name="Прямоугольник 4"/>
        <cdr:cNvSpPr/>
      </cdr:nvSpPr>
      <cdr:spPr>
        <a:xfrm xmlns:a="http://schemas.openxmlformats.org/drawingml/2006/main">
          <a:off x="2042026" y="180312"/>
          <a:ext cx="244230" cy="2478943"/>
        </a:xfrm>
        <a:prstGeom xmlns:a="http://schemas.openxmlformats.org/drawingml/2006/main" prst="rect">
          <a:avLst/>
        </a:prstGeom>
        <a:blipFill xmlns:a="http://schemas.openxmlformats.org/drawingml/2006/main" dpi="0" rotWithShape="1">
          <a:blip xmlns:r="http://schemas.openxmlformats.org/officeDocument/2006/relationships" r:embed="rId1">
            <a:alphaModFix amt="57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0.61858</cdr:x>
      <cdr:y>0.06003</cdr:y>
    </cdr:from>
    <cdr:to>
      <cdr:x>0.66016</cdr:x>
      <cdr:y>0.94529</cdr:y>
    </cdr:to>
    <cdr:sp macro="" textlink="">
      <cdr:nvSpPr>
        <cdr:cNvPr id="6" name="Прямоугольник 5"/>
        <cdr:cNvSpPr/>
      </cdr:nvSpPr>
      <cdr:spPr>
        <a:xfrm xmlns:a="http://schemas.openxmlformats.org/drawingml/2006/main">
          <a:off x="3995871" y="168100"/>
          <a:ext cx="268653" cy="2478943"/>
        </a:xfrm>
        <a:prstGeom xmlns:a="http://schemas.openxmlformats.org/drawingml/2006/main" prst="rect">
          <a:avLst/>
        </a:prstGeom>
        <a:blipFill xmlns:a="http://schemas.openxmlformats.org/drawingml/2006/main" dpi="0" rotWithShape="1">
          <a:blip xmlns:r="http://schemas.openxmlformats.org/officeDocument/2006/relationships" r:embed="rId1">
            <a:alphaModFix amt="56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6.xml><?xml version="1.0" encoding="utf-8"?>
<c:userShapes xmlns:c="http://schemas.openxmlformats.org/drawingml/2006/chart">
  <cdr:relSizeAnchor xmlns:cdr="http://schemas.openxmlformats.org/drawingml/2006/chartDrawing">
    <cdr:from>
      <cdr:x>0.17734</cdr:x>
      <cdr:y>0.01042</cdr:y>
    </cdr:from>
    <cdr:to>
      <cdr:x>0.20854</cdr:x>
      <cdr:y>0.95139</cdr:y>
    </cdr:to>
    <cdr:sp macro="" textlink="">
      <cdr:nvSpPr>
        <cdr:cNvPr id="3" name="Прямоугольник 2"/>
        <cdr:cNvSpPr/>
      </cdr:nvSpPr>
      <cdr:spPr>
        <a:xfrm xmlns:a="http://schemas.openxmlformats.org/drawingml/2006/main">
          <a:off x="1028701" y="28575"/>
          <a:ext cx="180975" cy="2581275"/>
        </a:xfrm>
        <a:prstGeom xmlns:a="http://schemas.openxmlformats.org/drawingml/2006/main" prst="rect">
          <a:avLst/>
        </a:prstGeom>
        <a:blipFill xmlns:a="http://schemas.openxmlformats.org/drawingml/2006/main" dpi="0" rotWithShape="1">
          <a:blip xmlns:r="http://schemas.openxmlformats.org/officeDocument/2006/relationships" r:embed="rId1">
            <a:alphaModFix amt="58000"/>
          </a:blip>
          <a:srcRect/>
          <a:stretch>
            <a:fillRect/>
          </a:stretch>
        </a:blip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0.63711</cdr:x>
      <cdr:y>0.05903</cdr:y>
    </cdr:from>
    <cdr:to>
      <cdr:x>0.66831</cdr:x>
      <cdr:y>1</cdr:y>
    </cdr:to>
    <cdr:sp macro="" textlink="">
      <cdr:nvSpPr>
        <cdr:cNvPr id="4" name="Прямоугольник 3"/>
        <cdr:cNvSpPr/>
      </cdr:nvSpPr>
      <cdr:spPr>
        <a:xfrm xmlns:a="http://schemas.openxmlformats.org/drawingml/2006/main">
          <a:off x="3695700" y="1095375"/>
          <a:ext cx="180975" cy="2581275"/>
        </a:xfrm>
        <a:prstGeom xmlns:a="http://schemas.openxmlformats.org/drawingml/2006/main" prst="rect">
          <a:avLst/>
        </a:prstGeom>
        <a:blipFill xmlns:a="http://schemas.openxmlformats.org/drawingml/2006/main" dpi="0" rotWithShape="1">
          <a:blip xmlns:r="http://schemas.openxmlformats.org/officeDocument/2006/relationships" r:embed="rId1">
            <a:alphaModFix amt="58000"/>
          </a:blip>
          <a:srcRect/>
          <a:stretch>
            <a:fillRect/>
          </a:stretch>
        </a:blip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17.xml><?xml version="1.0" encoding="utf-8"?>
<c:userShapes xmlns:c="http://schemas.openxmlformats.org/drawingml/2006/chart">
  <cdr:relSizeAnchor xmlns:cdr="http://schemas.openxmlformats.org/drawingml/2006/chartDrawing">
    <cdr:from>
      <cdr:x>0.12787</cdr:x>
      <cdr:y>0.02899</cdr:y>
    </cdr:from>
    <cdr:to>
      <cdr:x>0.15738</cdr:x>
      <cdr:y>0.89565</cdr:y>
    </cdr:to>
    <cdr:sp macro="" textlink="">
      <cdr:nvSpPr>
        <cdr:cNvPr id="2" name="Прямоугольник 1"/>
        <cdr:cNvSpPr/>
      </cdr:nvSpPr>
      <cdr:spPr>
        <a:xfrm xmlns:a="http://schemas.openxmlformats.org/drawingml/2006/main">
          <a:off x="742950" y="95252"/>
          <a:ext cx="171450" cy="2847974"/>
        </a:xfrm>
        <a:prstGeom xmlns:a="http://schemas.openxmlformats.org/drawingml/2006/main" prst="rect">
          <a:avLst/>
        </a:prstGeom>
        <a:blipFill xmlns:a="http://schemas.openxmlformats.org/drawingml/2006/main" dpi="0" rotWithShape="1">
          <a:blip xmlns:r="http://schemas.openxmlformats.org/officeDocument/2006/relationships" r:embed="rId1">
            <a:alphaModFix amt="58000"/>
          </a:blip>
          <a:srcRect/>
          <a:stretch>
            <a:fillRect/>
          </a:stretch>
        </a:blipFill>
        <a:ln xmlns:a="http://schemas.openxmlformats.org/drawingml/2006/main" w="127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0.55738</cdr:x>
      <cdr:y>0.03478</cdr:y>
    </cdr:from>
    <cdr:to>
      <cdr:x>0.58852</cdr:x>
      <cdr:y>0.87826</cdr:y>
    </cdr:to>
    <cdr:sp macro="" textlink="">
      <cdr:nvSpPr>
        <cdr:cNvPr id="3" name="Прямоугольник 2"/>
        <cdr:cNvSpPr/>
      </cdr:nvSpPr>
      <cdr:spPr>
        <a:xfrm xmlns:a="http://schemas.openxmlformats.org/drawingml/2006/main">
          <a:off x="3238500" y="114302"/>
          <a:ext cx="180975" cy="2771774"/>
        </a:xfrm>
        <a:prstGeom xmlns:a="http://schemas.openxmlformats.org/drawingml/2006/main" prst="rect">
          <a:avLst/>
        </a:prstGeom>
        <a:blipFill xmlns:a="http://schemas.openxmlformats.org/drawingml/2006/main" dpi="0" rotWithShape="1">
          <a:blip xmlns:r="http://schemas.openxmlformats.org/officeDocument/2006/relationships" r:embed="rId1">
            <a:alphaModFix amt="58000"/>
          </a:blip>
          <a:srcRect/>
          <a:stretch>
            <a:fillRect/>
          </a:stretch>
        </a:blipFill>
        <a:ln xmlns:a="http://schemas.openxmlformats.org/drawingml/2006/main" w="12700"/>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18.xml><?xml version="1.0" encoding="utf-8"?>
<c:userShapes xmlns:c="http://schemas.openxmlformats.org/drawingml/2006/chart">
  <cdr:relSizeAnchor xmlns:cdr="http://schemas.openxmlformats.org/drawingml/2006/chartDrawing">
    <cdr:from>
      <cdr:x>0.74687</cdr:x>
      <cdr:y>0.00632</cdr:y>
    </cdr:from>
    <cdr:to>
      <cdr:x>0.74687</cdr:x>
      <cdr:y>0.79368</cdr:y>
    </cdr:to>
    <cdr:sp macro="" textlink="">
      <cdr:nvSpPr>
        <cdr:cNvPr id="3" name="Прямая соединительная линия 2"/>
        <cdr:cNvSpPr/>
      </cdr:nvSpPr>
      <cdr:spPr>
        <a:xfrm xmlns:a="http://schemas.openxmlformats.org/drawingml/2006/main" flipV="1">
          <a:off x="3420340" y="17318"/>
          <a:ext cx="0" cy="2156113"/>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0.2458</cdr:x>
      <cdr:y>0.01581</cdr:y>
    </cdr:from>
    <cdr:to>
      <cdr:x>0.2458</cdr:x>
      <cdr:y>0.78103</cdr:y>
    </cdr:to>
    <cdr:sp macro="" textlink="">
      <cdr:nvSpPr>
        <cdr:cNvPr id="5" name="Прямая соединительная линия 4"/>
        <cdr:cNvSpPr/>
      </cdr:nvSpPr>
      <cdr:spPr>
        <a:xfrm xmlns:a="http://schemas.openxmlformats.org/drawingml/2006/main" flipV="1">
          <a:off x="1125682" y="43293"/>
          <a:ext cx="0" cy="20955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19.xml><?xml version="1.0" encoding="utf-8"?>
<c:userShapes xmlns:c="http://schemas.openxmlformats.org/drawingml/2006/chart">
  <cdr:relSizeAnchor xmlns:cdr="http://schemas.openxmlformats.org/drawingml/2006/chartDrawing">
    <cdr:from>
      <cdr:x>0.15688</cdr:x>
      <cdr:y>0.0895</cdr:y>
    </cdr:from>
    <cdr:to>
      <cdr:x>0.19349</cdr:x>
      <cdr:y>0.83102</cdr:y>
    </cdr:to>
    <cdr:sp macro="" textlink="">
      <cdr:nvSpPr>
        <cdr:cNvPr id="2" name="Прямоугольник 1"/>
        <cdr:cNvSpPr/>
      </cdr:nvSpPr>
      <cdr:spPr>
        <a:xfrm xmlns:a="http://schemas.openxmlformats.org/drawingml/2006/main">
          <a:off x="931959" y="263406"/>
          <a:ext cx="217479" cy="218246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ysClr val="windowText" lastClr="000000"/>
              </a:solidFill>
            </a:rPr>
            <a:t>Падение ВРП</a:t>
          </a:r>
        </a:p>
      </cdr:txBody>
    </cdr:sp>
  </cdr:relSizeAnchor>
  <cdr:relSizeAnchor xmlns:cdr="http://schemas.openxmlformats.org/drawingml/2006/chartDrawing">
    <cdr:from>
      <cdr:x>0.71161</cdr:x>
      <cdr:y>0.08421</cdr:y>
    </cdr:from>
    <cdr:to>
      <cdr:x>0.75528</cdr:x>
      <cdr:y>0.84211</cdr:y>
    </cdr:to>
    <cdr:sp macro="" textlink="">
      <cdr:nvSpPr>
        <cdr:cNvPr id="3" name="Прямоугольник 2"/>
        <cdr:cNvSpPr/>
      </cdr:nvSpPr>
      <cdr:spPr>
        <a:xfrm xmlns:a="http://schemas.openxmlformats.org/drawingml/2006/main">
          <a:off x="4227271" y="247849"/>
          <a:ext cx="259418" cy="223067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b="1">
              <a:solidFill>
                <a:sysClr val="windowText" lastClr="000000"/>
              </a:solidFill>
            </a:rPr>
            <a:t>Падение ВРП</a:t>
          </a:r>
        </a:p>
      </cdr:txBody>
    </cdr:sp>
  </cdr:relSizeAnchor>
  <cdr:relSizeAnchor xmlns:cdr="http://schemas.openxmlformats.org/drawingml/2006/chartDrawing">
    <cdr:from>
      <cdr:x>0.91929</cdr:x>
      <cdr:y>0.08097</cdr:y>
    </cdr:from>
    <cdr:to>
      <cdr:x>0.95027</cdr:x>
      <cdr:y>0.83887</cdr:y>
    </cdr:to>
    <cdr:sp macro="" textlink="">
      <cdr:nvSpPr>
        <cdr:cNvPr id="4" name="Прямоугольник 3"/>
        <cdr:cNvSpPr/>
      </cdr:nvSpPr>
      <cdr:spPr>
        <a:xfrm xmlns:a="http://schemas.openxmlformats.org/drawingml/2006/main">
          <a:off x="5460956" y="238324"/>
          <a:ext cx="184034" cy="223067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b="1">
              <a:solidFill>
                <a:sysClr val="windowText" lastClr="000000"/>
              </a:solidFill>
            </a:rPr>
            <a:t>Падение ВРП</a:t>
          </a:r>
        </a:p>
      </cdr:txBody>
    </cdr:sp>
  </cdr:relSizeAnchor>
</c:userShapes>
</file>

<file path=word/drawings/drawing2.xml><?xml version="1.0" encoding="utf-8"?>
<c:userShapes xmlns:c="http://schemas.openxmlformats.org/drawingml/2006/chart">
  <cdr:relSizeAnchor xmlns:cdr="http://schemas.openxmlformats.org/drawingml/2006/chartDrawing">
    <cdr:from>
      <cdr:x>0.10681</cdr:x>
      <cdr:y>0.45802</cdr:y>
    </cdr:from>
    <cdr:to>
      <cdr:x>0.27624</cdr:x>
      <cdr:y>0.64504</cdr:y>
    </cdr:to>
    <cdr:sp macro="" textlink="">
      <cdr:nvSpPr>
        <cdr:cNvPr id="3" name="Прямая соединительная линия 2"/>
        <cdr:cNvSpPr/>
      </cdr:nvSpPr>
      <cdr:spPr>
        <a:xfrm xmlns:a="http://schemas.openxmlformats.org/drawingml/2006/main" flipV="1">
          <a:off x="552450" y="2286000"/>
          <a:ext cx="876300" cy="933450"/>
        </a:xfrm>
        <a:prstGeom xmlns:a="http://schemas.openxmlformats.org/drawingml/2006/main" prst="line">
          <a:avLst/>
        </a:prstGeom>
        <a:ln xmlns:a="http://schemas.openxmlformats.org/drawingml/2006/main" w="15875">
          <a:solidFill>
            <a:srgbClr val="7030A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0.xml><?xml version="1.0" encoding="utf-8"?>
<c:userShapes xmlns:c="http://schemas.openxmlformats.org/drawingml/2006/chart">
  <cdr:relSizeAnchor xmlns:cdr="http://schemas.openxmlformats.org/drawingml/2006/chartDrawing">
    <cdr:from>
      <cdr:x>0.10543</cdr:x>
      <cdr:y>0.12783</cdr:y>
    </cdr:from>
    <cdr:to>
      <cdr:x>0.14234</cdr:x>
      <cdr:y>0.9621</cdr:y>
    </cdr:to>
    <cdr:sp macro="" textlink="">
      <cdr:nvSpPr>
        <cdr:cNvPr id="2" name="Прямоугольник 1"/>
        <cdr:cNvSpPr/>
      </cdr:nvSpPr>
      <cdr:spPr>
        <a:xfrm xmlns:a="http://schemas.openxmlformats.org/drawingml/2006/main">
          <a:off x="692942" y="538162"/>
          <a:ext cx="242531" cy="3512343"/>
        </a:xfrm>
        <a:prstGeom xmlns:a="http://schemas.openxmlformats.org/drawingml/2006/main" prst="rect">
          <a:avLst/>
        </a:prstGeom>
        <a:blipFill xmlns:a="http://schemas.openxmlformats.org/drawingml/2006/main" dpi="0" rotWithShape="1">
          <a:blip xmlns:r="http://schemas.openxmlformats.org/officeDocument/2006/relationships" r:embed="rId1">
            <a:alphaModFix amt="36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Падение  </a:t>
          </a:r>
        </a:p>
        <a:p xmlns:a="http://schemas.openxmlformats.org/drawingml/2006/main">
          <a:r>
            <a:rPr lang="ru-RU">
              <a:solidFill>
                <a:sysClr val="windowText" lastClr="000000"/>
              </a:solidFill>
            </a:rPr>
            <a:t> ВРП</a:t>
          </a:r>
          <a:r>
            <a:rPr lang="ru-RU" baseline="0">
              <a:solidFill>
                <a:sysClr val="windowText" lastClr="000000"/>
              </a:solidFill>
            </a:rPr>
            <a:t> </a:t>
          </a:r>
          <a:endParaRPr lang="ru-RU">
            <a:solidFill>
              <a:sysClr val="windowText" lastClr="000000"/>
            </a:solidFill>
          </a:endParaRPr>
        </a:p>
      </cdr:txBody>
    </cdr:sp>
  </cdr:relSizeAnchor>
  <cdr:relSizeAnchor xmlns:cdr="http://schemas.openxmlformats.org/drawingml/2006/chartDrawing">
    <cdr:from>
      <cdr:x>0.52754</cdr:x>
      <cdr:y>0.125</cdr:y>
    </cdr:from>
    <cdr:to>
      <cdr:x>0.57283</cdr:x>
      <cdr:y>0.97059</cdr:y>
    </cdr:to>
    <cdr:sp macro="" textlink="">
      <cdr:nvSpPr>
        <cdr:cNvPr id="3" name="Прямоугольник 2"/>
        <cdr:cNvSpPr/>
      </cdr:nvSpPr>
      <cdr:spPr>
        <a:xfrm xmlns:a="http://schemas.openxmlformats.org/drawingml/2006/main">
          <a:off x="3467100" y="526255"/>
          <a:ext cx="297656" cy="3559969"/>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a:solidFill>
                <a:sysClr val="windowText" lastClr="000000"/>
              </a:solidFill>
            </a:rPr>
            <a:t>Падение </a:t>
          </a:r>
        </a:p>
        <a:p xmlns:a="http://schemas.openxmlformats.org/drawingml/2006/main">
          <a:endParaRPr lang="ru-RU">
            <a:solidFill>
              <a:sysClr val="windowText" lastClr="000000"/>
            </a:solidFill>
          </a:endParaRPr>
        </a:p>
        <a:p xmlns:a="http://schemas.openxmlformats.org/drawingml/2006/main">
          <a:r>
            <a:rPr lang="ru-RU">
              <a:solidFill>
                <a:sysClr val="windowText" lastClr="000000"/>
              </a:solidFill>
            </a:rPr>
            <a:t>ВРП</a:t>
          </a:r>
        </a:p>
      </cdr:txBody>
    </cdr:sp>
  </cdr:relSizeAnchor>
  <cdr:relSizeAnchor xmlns:cdr="http://schemas.openxmlformats.org/drawingml/2006/chartDrawing">
    <cdr:from>
      <cdr:x>0.17312</cdr:x>
      <cdr:y>0.2173</cdr:y>
    </cdr:from>
    <cdr:to>
      <cdr:x>0.30471</cdr:x>
      <cdr:y>0.78911</cdr:y>
    </cdr:to>
    <cdr:sp macro="" textlink="">
      <cdr:nvSpPr>
        <cdr:cNvPr id="4" name="Овал 3"/>
        <cdr:cNvSpPr/>
      </cdr:nvSpPr>
      <cdr:spPr>
        <a:xfrm xmlns:a="http://schemas.openxmlformats.org/drawingml/2006/main">
          <a:off x="1137767" y="914836"/>
          <a:ext cx="864864" cy="2407349"/>
        </a:xfrm>
        <a:prstGeom xmlns:a="http://schemas.openxmlformats.org/drawingml/2006/main" prst="ellipse">
          <a:avLst/>
        </a:prstGeom>
        <a:solidFill xmlns:a="http://schemas.openxmlformats.org/drawingml/2006/main">
          <a:schemeClr val="accent1">
            <a:alpha val="6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0.56196</cdr:x>
      <cdr:y>0.17873</cdr:y>
    </cdr:from>
    <cdr:to>
      <cdr:x>0.69601</cdr:x>
      <cdr:y>0.78457</cdr:y>
    </cdr:to>
    <cdr:sp macro="" textlink="">
      <cdr:nvSpPr>
        <cdr:cNvPr id="5" name="Овал 4"/>
        <cdr:cNvSpPr/>
      </cdr:nvSpPr>
      <cdr:spPr>
        <a:xfrm xmlns:a="http://schemas.openxmlformats.org/drawingml/2006/main">
          <a:off x="3693318" y="752476"/>
          <a:ext cx="881062" cy="2550604"/>
        </a:xfrm>
        <a:prstGeom xmlns:a="http://schemas.openxmlformats.org/drawingml/2006/main" prst="ellipse">
          <a:avLst/>
        </a:prstGeom>
        <a:solidFill xmlns:a="http://schemas.openxmlformats.org/drawingml/2006/main">
          <a:schemeClr val="accent1">
            <a:alpha val="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0.27754</cdr:x>
      <cdr:y>0.125</cdr:y>
    </cdr:from>
    <cdr:to>
      <cdr:x>0.46051</cdr:x>
      <cdr:y>0.19853</cdr:y>
    </cdr:to>
    <cdr:sp macro="" textlink="">
      <cdr:nvSpPr>
        <cdr:cNvPr id="6" name="TextBox 5"/>
        <cdr:cNvSpPr txBox="1"/>
      </cdr:nvSpPr>
      <cdr:spPr>
        <a:xfrm xmlns:a="http://schemas.openxmlformats.org/drawingml/2006/main">
          <a:off x="1824036" y="526256"/>
          <a:ext cx="1202531" cy="3095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ysClr val="windowText" lastClr="000000"/>
              </a:solidFill>
            </a:rPr>
            <a:t>Рост ВРПмр</a:t>
          </a:r>
        </a:p>
      </cdr:txBody>
    </cdr:sp>
  </cdr:relSizeAnchor>
  <cdr:relSizeAnchor xmlns:cdr="http://schemas.openxmlformats.org/drawingml/2006/chartDrawing">
    <cdr:from>
      <cdr:x>0.57428</cdr:x>
      <cdr:y>0.12443</cdr:y>
    </cdr:from>
    <cdr:to>
      <cdr:x>0.75725</cdr:x>
      <cdr:y>0.19796</cdr:y>
    </cdr:to>
    <cdr:sp macro="" textlink="">
      <cdr:nvSpPr>
        <cdr:cNvPr id="7" name="TextBox 1"/>
        <cdr:cNvSpPr txBox="1"/>
      </cdr:nvSpPr>
      <cdr:spPr>
        <a:xfrm xmlns:a="http://schemas.openxmlformats.org/drawingml/2006/main">
          <a:off x="3774281" y="523875"/>
          <a:ext cx="1202531" cy="3095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b="1">
              <a:solidFill>
                <a:sysClr val="windowText" lastClr="000000"/>
              </a:solidFill>
            </a:rPr>
            <a:t>Рост ВРПмр</a:t>
          </a:r>
        </a:p>
      </cdr:txBody>
    </cdr:sp>
  </cdr:relSizeAnchor>
</c:userShapes>
</file>

<file path=word/drawings/drawing21.xml><?xml version="1.0" encoding="utf-8"?>
<c:userShapes xmlns:c="http://schemas.openxmlformats.org/drawingml/2006/chart">
  <cdr:relSizeAnchor xmlns:cdr="http://schemas.openxmlformats.org/drawingml/2006/chartDrawing">
    <cdr:from>
      <cdr:x>0.11862</cdr:x>
      <cdr:y>0.10857</cdr:y>
    </cdr:from>
    <cdr:to>
      <cdr:x>0.15746</cdr:x>
      <cdr:y>0.98008</cdr:y>
    </cdr:to>
    <cdr:sp macro="" textlink="">
      <cdr:nvSpPr>
        <cdr:cNvPr id="2" name="Прямоугольник 1"/>
        <cdr:cNvSpPr/>
      </cdr:nvSpPr>
      <cdr:spPr>
        <a:xfrm xmlns:a="http://schemas.openxmlformats.org/drawingml/2006/main">
          <a:off x="704655" y="437335"/>
          <a:ext cx="230726" cy="3510559"/>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0.5612</cdr:x>
      <cdr:y>0.12848</cdr:y>
    </cdr:from>
    <cdr:to>
      <cdr:x>0.60613</cdr:x>
      <cdr:y>1</cdr:y>
    </cdr:to>
    <cdr:sp macro="" textlink="">
      <cdr:nvSpPr>
        <cdr:cNvPr id="3" name="Прямоугольник 2"/>
        <cdr:cNvSpPr/>
      </cdr:nvSpPr>
      <cdr:spPr>
        <a:xfrm xmlns:a="http://schemas.openxmlformats.org/drawingml/2006/main">
          <a:off x="3333750" y="517534"/>
          <a:ext cx="266940" cy="351060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22.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 стрелкой 2"/>
        <cdr:cNvSpPr/>
      </cdr:nvSpPr>
      <cdr:spPr>
        <a:xfrm xmlns:a="http://schemas.openxmlformats.org/drawingml/2006/main" flipH="1">
          <a:off x="-2076451" y="-23612475"/>
          <a:ext cx="0" cy="0"/>
        </a:xfrm>
        <a:prstGeom xmlns:a="http://schemas.openxmlformats.org/drawingml/2006/main" prst="straightConnector1">
          <a:avLst/>
        </a:prstGeom>
        <a:ln xmlns:a="http://schemas.openxmlformats.org/drawingml/2006/main" w="15875">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0.27994</cdr:y>
    </cdr:from>
    <cdr:to>
      <cdr:x>0.11709</cdr:x>
      <cdr:y>0.35932</cdr:y>
    </cdr:to>
    <cdr:sp macro="" textlink="">
      <cdr:nvSpPr>
        <cdr:cNvPr id="6" name="TextBox 5"/>
        <cdr:cNvSpPr txBox="1"/>
      </cdr:nvSpPr>
      <cdr:spPr>
        <a:xfrm xmlns:a="http://schemas.openxmlformats.org/drawingml/2006/main">
          <a:off x="0" y="1114425"/>
          <a:ext cx="695570" cy="3159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ysClr val="windowText" lastClr="000000"/>
              </a:solidFill>
            </a:rPr>
            <a:t>10,6%</a:t>
          </a:r>
        </a:p>
      </cdr:txBody>
    </cdr:sp>
  </cdr:relSizeAnchor>
  <cdr:relSizeAnchor xmlns:cdr="http://schemas.openxmlformats.org/drawingml/2006/chartDrawing">
    <cdr:from>
      <cdr:x>0.60289</cdr:x>
      <cdr:y>0.03425</cdr:y>
    </cdr:from>
    <cdr:to>
      <cdr:x>0.65026</cdr:x>
      <cdr:y>0.98564</cdr:y>
    </cdr:to>
    <cdr:sp macro="" textlink="">
      <cdr:nvSpPr>
        <cdr:cNvPr id="7" name="Прямоугольник 6"/>
        <cdr:cNvSpPr/>
      </cdr:nvSpPr>
      <cdr:spPr>
        <a:xfrm xmlns:a="http://schemas.openxmlformats.org/drawingml/2006/main">
          <a:off x="3581400" y="136363"/>
          <a:ext cx="281427" cy="3787412"/>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0.26016</cdr:x>
      <cdr:y>0.03572</cdr:y>
    </cdr:from>
    <cdr:to>
      <cdr:x>0.31196</cdr:x>
      <cdr:y>0.9689</cdr:y>
    </cdr:to>
    <cdr:sp macro="" textlink="">
      <cdr:nvSpPr>
        <cdr:cNvPr id="8" name="Прямоугольник 7"/>
        <cdr:cNvSpPr/>
      </cdr:nvSpPr>
      <cdr:spPr>
        <a:xfrm xmlns:a="http://schemas.openxmlformats.org/drawingml/2006/main">
          <a:off x="1545464" y="142181"/>
          <a:ext cx="307714" cy="3714919"/>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0.08395</cdr:x>
      <cdr:y>0.39143</cdr:y>
    </cdr:from>
    <cdr:to>
      <cdr:x>0.12645</cdr:x>
      <cdr:y>0.39143</cdr:y>
    </cdr:to>
    <cdr:sp macro="" textlink="">
      <cdr:nvSpPr>
        <cdr:cNvPr id="10" name="Прямая со стрелкой 9"/>
        <cdr:cNvSpPr/>
      </cdr:nvSpPr>
      <cdr:spPr>
        <a:xfrm xmlns:a="http://schemas.openxmlformats.org/drawingml/2006/main" flipH="1">
          <a:off x="572604" y="2061128"/>
          <a:ext cx="289892" cy="0"/>
        </a:xfrm>
        <a:prstGeom xmlns:a="http://schemas.openxmlformats.org/drawingml/2006/main" prst="straightConnector1">
          <a:avLst/>
        </a:prstGeom>
        <a:ln xmlns:a="http://schemas.openxmlformats.org/drawingml/2006/main" w="28575">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0.35144</cdr:y>
    </cdr:from>
    <cdr:to>
      <cdr:x>0.10422</cdr:x>
      <cdr:y>0.44982</cdr:y>
    </cdr:to>
    <cdr:sp macro="" textlink="">
      <cdr:nvSpPr>
        <cdr:cNvPr id="11" name="TextBox 10"/>
        <cdr:cNvSpPr txBox="1"/>
      </cdr:nvSpPr>
      <cdr:spPr>
        <a:xfrm xmlns:a="http://schemas.openxmlformats.org/drawingml/2006/main">
          <a:off x="0" y="1399064"/>
          <a:ext cx="619125" cy="3916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FF0000"/>
              </a:solidFill>
            </a:rPr>
            <a:t>8,7%</a:t>
          </a:r>
        </a:p>
      </cdr:txBody>
    </cdr:sp>
  </cdr:relSizeAnchor>
  <cdr:relSizeAnchor xmlns:cdr="http://schemas.openxmlformats.org/drawingml/2006/chartDrawing">
    <cdr:from>
      <cdr:x>0.64866</cdr:x>
      <cdr:y>0.03381</cdr:y>
    </cdr:from>
    <cdr:to>
      <cdr:x>0.69559</cdr:x>
      <cdr:y>0.98325</cdr:y>
    </cdr:to>
    <cdr:sp macro="" textlink="">
      <cdr:nvSpPr>
        <cdr:cNvPr id="14" name="Прямоугольник 13"/>
        <cdr:cNvSpPr/>
      </cdr:nvSpPr>
      <cdr:spPr>
        <a:xfrm xmlns:a="http://schemas.openxmlformats.org/drawingml/2006/main">
          <a:off x="3853302" y="134601"/>
          <a:ext cx="278784" cy="3779649"/>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0.08962</cdr:x>
      <cdr:y>0</cdr:y>
    </cdr:from>
    <cdr:to>
      <cdr:x>0.26456</cdr:x>
      <cdr:y>0.09092</cdr:y>
    </cdr:to>
    <cdr:sp macro="" textlink="">
      <cdr:nvSpPr>
        <cdr:cNvPr id="9" name="TextBox 8"/>
        <cdr:cNvSpPr txBox="1"/>
      </cdr:nvSpPr>
      <cdr:spPr>
        <a:xfrm xmlns:a="http://schemas.openxmlformats.org/drawingml/2006/main">
          <a:off x="532390" y="0"/>
          <a:ext cx="1039235" cy="3619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800" b="1">
              <a:solidFill>
                <a:schemeClr val="tx1"/>
              </a:solidFill>
            </a:rPr>
            <a:t>Рост ИОК</a:t>
          </a:r>
        </a:p>
      </cdr:txBody>
    </cdr:sp>
  </cdr:relSizeAnchor>
  <cdr:relSizeAnchor xmlns:cdr="http://schemas.openxmlformats.org/drawingml/2006/chartDrawing">
    <cdr:from>
      <cdr:x>0.38412</cdr:x>
      <cdr:y>0</cdr:y>
    </cdr:from>
    <cdr:to>
      <cdr:x>0.55799</cdr:x>
      <cdr:y>0.10104</cdr:y>
    </cdr:to>
    <cdr:sp macro="" textlink="">
      <cdr:nvSpPr>
        <cdr:cNvPr id="12" name="TextBox 1"/>
        <cdr:cNvSpPr txBox="1"/>
      </cdr:nvSpPr>
      <cdr:spPr>
        <a:xfrm xmlns:a="http://schemas.openxmlformats.org/drawingml/2006/main">
          <a:off x="2281858" y="0"/>
          <a:ext cx="1032841" cy="40224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a:solidFill>
                <a:schemeClr val="tx1"/>
              </a:solidFill>
            </a:rPr>
            <a:t>Рост ИОК</a:t>
          </a:r>
        </a:p>
      </cdr:txBody>
    </cdr:sp>
  </cdr:relSizeAnchor>
  <cdr:relSizeAnchor xmlns:cdr="http://schemas.openxmlformats.org/drawingml/2006/chartDrawing">
    <cdr:from>
      <cdr:x>0.75761</cdr:x>
      <cdr:y>0</cdr:y>
    </cdr:from>
    <cdr:to>
      <cdr:x>0.93159</cdr:x>
      <cdr:y>0.10867</cdr:y>
    </cdr:to>
    <cdr:sp macro="" textlink="">
      <cdr:nvSpPr>
        <cdr:cNvPr id="13" name="TextBox 1"/>
        <cdr:cNvSpPr txBox="1"/>
      </cdr:nvSpPr>
      <cdr:spPr>
        <a:xfrm xmlns:a="http://schemas.openxmlformats.org/drawingml/2006/main">
          <a:off x="4500529" y="0"/>
          <a:ext cx="1033495" cy="432621"/>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a:solidFill>
                <a:schemeClr val="tx1"/>
              </a:solidFill>
            </a:rPr>
            <a:t>Рост ИОК</a:t>
          </a:r>
        </a:p>
      </cdr:txBody>
    </cdr:sp>
  </cdr:relSizeAnchor>
</c:userShapes>
</file>

<file path=word/drawings/drawing23.xml><?xml version="1.0" encoding="utf-8"?>
<c:userShapes xmlns:c="http://schemas.openxmlformats.org/drawingml/2006/chart">
  <cdr:relSizeAnchor xmlns:cdr="http://schemas.openxmlformats.org/drawingml/2006/chartDrawing">
    <cdr:from>
      <cdr:x>0.07823</cdr:x>
      <cdr:y>0.088</cdr:y>
    </cdr:from>
    <cdr:to>
      <cdr:x>0.21435</cdr:x>
      <cdr:y>0.86667</cdr:y>
    </cdr:to>
    <cdr:sp macro="" textlink="">
      <cdr:nvSpPr>
        <cdr:cNvPr id="2" name="Овал 1"/>
        <cdr:cNvSpPr/>
      </cdr:nvSpPr>
      <cdr:spPr>
        <a:xfrm xmlns:a="http://schemas.openxmlformats.org/drawingml/2006/main">
          <a:off x="556293" y="454744"/>
          <a:ext cx="967953" cy="4023812"/>
        </a:xfrm>
        <a:prstGeom xmlns:a="http://schemas.openxmlformats.org/drawingml/2006/main" prst="ellipse">
          <a:avLst/>
        </a:prstGeom>
        <a:solidFill xmlns:a="http://schemas.openxmlformats.org/drawingml/2006/main">
          <a:schemeClr val="accent1">
            <a:alpha val="0"/>
          </a:scheme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0.4752</cdr:x>
      <cdr:y>0.08267</cdr:y>
    </cdr:from>
    <cdr:to>
      <cdr:x>0.61976</cdr:x>
      <cdr:y>0.872</cdr:y>
    </cdr:to>
    <cdr:sp macro="" textlink="">
      <cdr:nvSpPr>
        <cdr:cNvPr id="3" name="Овал 2"/>
        <cdr:cNvSpPr/>
      </cdr:nvSpPr>
      <cdr:spPr>
        <a:xfrm xmlns:a="http://schemas.openxmlformats.org/drawingml/2006/main">
          <a:off x="3371737" y="427934"/>
          <a:ext cx="1025701" cy="4086087"/>
        </a:xfrm>
        <a:prstGeom xmlns:a="http://schemas.openxmlformats.org/drawingml/2006/main" prst="ellipse">
          <a:avLst/>
        </a:prstGeom>
        <a:solidFill xmlns:a="http://schemas.openxmlformats.org/drawingml/2006/main">
          <a:schemeClr val="accent1">
            <a:alpha val="0"/>
          </a:scheme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0.25363</cdr:x>
      <cdr:y>0.06933</cdr:y>
    </cdr:from>
    <cdr:to>
      <cdr:x>0.30635</cdr:x>
      <cdr:y>0.968</cdr:y>
    </cdr:to>
    <cdr:sp macro="" textlink="">
      <cdr:nvSpPr>
        <cdr:cNvPr id="4" name="Прямоугольник 3"/>
        <cdr:cNvSpPr/>
      </cdr:nvSpPr>
      <cdr:spPr>
        <a:xfrm xmlns:a="http://schemas.openxmlformats.org/drawingml/2006/main">
          <a:off x="1799638" y="358913"/>
          <a:ext cx="374078" cy="4652065"/>
        </a:xfrm>
        <a:prstGeom xmlns:a="http://schemas.openxmlformats.org/drawingml/2006/main" prst="rect">
          <a:avLst/>
        </a:prstGeom>
        <a:blipFill xmlns:a="http://schemas.openxmlformats.org/drawingml/2006/main" dpi="0" rotWithShape="1">
          <a:blip xmlns:r="http://schemas.openxmlformats.org/officeDocument/2006/relationships" r:embed="rId1">
            <a:alphaModFix amt="47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0.61246</cdr:x>
      <cdr:y>0.072</cdr:y>
    </cdr:from>
    <cdr:to>
      <cdr:x>0.66178</cdr:x>
      <cdr:y>0.97333</cdr:y>
    </cdr:to>
    <cdr:sp macro="" textlink="">
      <cdr:nvSpPr>
        <cdr:cNvPr id="5" name="Прямоугольник 4"/>
        <cdr:cNvSpPr/>
      </cdr:nvSpPr>
      <cdr:spPr>
        <a:xfrm xmlns:a="http://schemas.openxmlformats.org/drawingml/2006/main">
          <a:off x="4345696" y="372717"/>
          <a:ext cx="349944" cy="4665869"/>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0.65935</cdr:x>
      <cdr:y>0.06933</cdr:y>
    </cdr:from>
    <cdr:to>
      <cdr:x>0.69455</cdr:x>
      <cdr:y>0.97067</cdr:y>
    </cdr:to>
    <cdr:sp macro="" textlink="">
      <cdr:nvSpPr>
        <cdr:cNvPr id="6" name="Прямоугольник 5"/>
        <cdr:cNvSpPr/>
      </cdr:nvSpPr>
      <cdr:spPr>
        <a:xfrm xmlns:a="http://schemas.openxmlformats.org/drawingml/2006/main">
          <a:off x="4678361" y="358913"/>
          <a:ext cx="249791" cy="4665869"/>
        </a:xfrm>
        <a:prstGeom xmlns:a="http://schemas.openxmlformats.org/drawingml/2006/main" prst="rect">
          <a:avLst/>
        </a:prstGeom>
        <a:blipFill xmlns:a="http://schemas.openxmlformats.org/drawingml/2006/main" dpi="0" rotWithShape="1">
          <a:blip xmlns:r="http://schemas.openxmlformats.org/officeDocument/2006/relationships" r:embed="rId1">
            <a:alphaModFix amt="47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8" name="Прямая соединительная линия 7"/>
        <cdr:cNvSpPr/>
      </cdr:nvSpPr>
      <cdr:spPr>
        <a:xfrm xmlns:a="http://schemas.openxmlformats.org/drawingml/2006/main">
          <a:off x="-6405216" y="-24475109"/>
          <a:ext cx="0" cy="0"/>
        </a:xfrm>
        <a:prstGeom xmlns:a="http://schemas.openxmlformats.org/drawingml/2006/main" prst="line">
          <a:avLst/>
        </a:prstGeom>
        <a:ln xmlns:a="http://schemas.openxmlformats.org/drawingml/2006/main" w="285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0.05272</cdr:x>
      <cdr:y>0.61333</cdr:y>
    </cdr:from>
    <cdr:to>
      <cdr:x>0.63435</cdr:x>
      <cdr:y>0.61333</cdr:y>
    </cdr:to>
    <cdr:sp macro="" textlink="">
      <cdr:nvSpPr>
        <cdr:cNvPr id="10" name="Прямая соединительная линия 9"/>
        <cdr:cNvSpPr/>
      </cdr:nvSpPr>
      <cdr:spPr>
        <a:xfrm xmlns:a="http://schemas.openxmlformats.org/drawingml/2006/main">
          <a:off x="427936" y="3175000"/>
          <a:ext cx="4721087" cy="0"/>
        </a:xfrm>
        <a:prstGeom xmlns:a="http://schemas.openxmlformats.org/drawingml/2006/main" prst="line">
          <a:avLst/>
        </a:prstGeom>
        <a:ln xmlns:a="http://schemas.openxmlformats.org/drawingml/2006/main" w="285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0.0017</cdr:x>
      <cdr:y>0.568</cdr:y>
    </cdr:from>
    <cdr:to>
      <cdr:x>0.11565</cdr:x>
      <cdr:y>0.63733</cdr:y>
    </cdr:to>
    <cdr:sp macro="" textlink="">
      <cdr:nvSpPr>
        <cdr:cNvPr id="11" name="TextBox 10"/>
        <cdr:cNvSpPr txBox="1"/>
      </cdr:nvSpPr>
      <cdr:spPr>
        <a:xfrm xmlns:a="http://schemas.openxmlformats.org/drawingml/2006/main">
          <a:off x="13806" y="2940326"/>
          <a:ext cx="924891" cy="358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rgbClr val="FF0000"/>
              </a:solidFill>
            </a:rPr>
            <a:t>0,84</a:t>
          </a:r>
        </a:p>
      </cdr:txBody>
    </cdr:sp>
  </cdr:relSizeAnchor>
  <cdr:relSizeAnchor xmlns:cdr="http://schemas.openxmlformats.org/drawingml/2006/chartDrawing">
    <cdr:from>
      <cdr:x>0.08986</cdr:x>
      <cdr:y>0.01633</cdr:y>
    </cdr:from>
    <cdr:to>
      <cdr:x>0.25094</cdr:x>
      <cdr:y>0.091</cdr:y>
    </cdr:to>
    <cdr:sp macro="" textlink="">
      <cdr:nvSpPr>
        <cdr:cNvPr id="12" name="TextBox 1"/>
        <cdr:cNvSpPr txBox="1"/>
      </cdr:nvSpPr>
      <cdr:spPr>
        <a:xfrm xmlns:a="http://schemas.openxmlformats.org/drawingml/2006/main">
          <a:off x="639019" y="84398"/>
          <a:ext cx="1145412" cy="3858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800" b="1">
              <a:solidFill>
                <a:sysClr val="windowText" lastClr="000000"/>
              </a:solidFill>
            </a:rPr>
            <a:t>Рост ИОК</a:t>
          </a:r>
        </a:p>
      </cdr:txBody>
    </cdr:sp>
  </cdr:relSizeAnchor>
  <cdr:relSizeAnchor xmlns:cdr="http://schemas.openxmlformats.org/drawingml/2006/chartDrawing">
    <cdr:from>
      <cdr:x>0.38658</cdr:x>
      <cdr:y>0.01633</cdr:y>
    </cdr:from>
    <cdr:to>
      <cdr:x>0.54766</cdr:x>
      <cdr:y>0.091</cdr:y>
    </cdr:to>
    <cdr:sp macro="" textlink="">
      <cdr:nvSpPr>
        <cdr:cNvPr id="13" name="TextBox 1"/>
        <cdr:cNvSpPr txBox="1"/>
      </cdr:nvSpPr>
      <cdr:spPr>
        <a:xfrm xmlns:a="http://schemas.openxmlformats.org/drawingml/2006/main">
          <a:off x="2748987" y="84398"/>
          <a:ext cx="1145412" cy="3858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800" b="1">
              <a:solidFill>
                <a:sysClr val="windowText" lastClr="000000"/>
              </a:solidFill>
            </a:rPr>
            <a:t>Рост ИОК</a:t>
          </a:r>
        </a:p>
      </cdr:txBody>
    </cdr:sp>
  </cdr:relSizeAnchor>
  <cdr:relSizeAnchor xmlns:cdr="http://schemas.openxmlformats.org/drawingml/2006/chartDrawing">
    <cdr:from>
      <cdr:x>0.71213</cdr:x>
      <cdr:y>0.02567</cdr:y>
    </cdr:from>
    <cdr:to>
      <cdr:x>0.8732</cdr:x>
      <cdr:y>0.10033</cdr:y>
    </cdr:to>
    <cdr:sp macro="" textlink="">
      <cdr:nvSpPr>
        <cdr:cNvPr id="14" name="TextBox 1"/>
        <cdr:cNvSpPr txBox="1"/>
      </cdr:nvSpPr>
      <cdr:spPr>
        <a:xfrm xmlns:a="http://schemas.openxmlformats.org/drawingml/2006/main">
          <a:off x="5063925" y="132627"/>
          <a:ext cx="1145412" cy="38582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800" b="1">
              <a:solidFill>
                <a:sysClr val="windowText" lastClr="000000"/>
              </a:solidFill>
            </a:rPr>
            <a:t>Рост ИОК</a:t>
          </a:r>
        </a:p>
      </cdr:txBody>
    </cdr:sp>
  </cdr:relSizeAnchor>
</c:userShapes>
</file>

<file path=word/drawings/drawing24.xml><?xml version="1.0" encoding="utf-8"?>
<c:userShapes xmlns:c="http://schemas.openxmlformats.org/drawingml/2006/chart">
  <cdr:relSizeAnchor xmlns:cdr="http://schemas.openxmlformats.org/drawingml/2006/chartDrawing">
    <cdr:from>
      <cdr:x>0.24326</cdr:x>
      <cdr:y>0.0924</cdr:y>
    </cdr:from>
    <cdr:to>
      <cdr:x>0.28159</cdr:x>
      <cdr:y>0.93771</cdr:y>
    </cdr:to>
    <cdr:sp macro="" textlink="">
      <cdr:nvSpPr>
        <cdr:cNvPr id="2" name="Прямоугольник 1"/>
        <cdr:cNvSpPr/>
      </cdr:nvSpPr>
      <cdr:spPr>
        <a:xfrm xmlns:a="http://schemas.openxmlformats.org/drawingml/2006/main">
          <a:off x="2046735" y="405335"/>
          <a:ext cx="322504" cy="3708157"/>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0.6024</cdr:x>
      <cdr:y>0.09293</cdr:y>
    </cdr:from>
    <cdr:to>
      <cdr:x>0.64073</cdr:x>
      <cdr:y>0.93823</cdr:y>
    </cdr:to>
    <cdr:sp macro="" textlink="">
      <cdr:nvSpPr>
        <cdr:cNvPr id="6" name="Прямоугольник 5"/>
        <cdr:cNvSpPr/>
      </cdr:nvSpPr>
      <cdr:spPr>
        <a:xfrm xmlns:a="http://schemas.openxmlformats.org/drawingml/2006/main">
          <a:off x="5068543" y="407659"/>
          <a:ext cx="322504" cy="3708113"/>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0.64548</cdr:x>
      <cdr:y>0.09017</cdr:y>
    </cdr:from>
    <cdr:to>
      <cdr:x>0.68381</cdr:x>
      <cdr:y>0.93547</cdr:y>
    </cdr:to>
    <cdr:sp macro="" textlink="">
      <cdr:nvSpPr>
        <cdr:cNvPr id="7" name="Прямоугольник 6"/>
        <cdr:cNvSpPr/>
      </cdr:nvSpPr>
      <cdr:spPr>
        <a:xfrm xmlns:a="http://schemas.openxmlformats.org/drawingml/2006/main">
          <a:off x="5430981" y="395552"/>
          <a:ext cx="322503" cy="3708113"/>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0.06374</cdr:x>
      <cdr:y>0.02892</cdr:y>
    </cdr:from>
    <cdr:to>
      <cdr:x>0.17258</cdr:x>
      <cdr:y>0.11173</cdr:y>
    </cdr:to>
    <cdr:sp macro="" textlink="">
      <cdr:nvSpPr>
        <cdr:cNvPr id="9" name="TextBox 8"/>
        <cdr:cNvSpPr txBox="1"/>
      </cdr:nvSpPr>
      <cdr:spPr>
        <a:xfrm xmlns:a="http://schemas.openxmlformats.org/drawingml/2006/main">
          <a:off x="535547" y="126308"/>
          <a:ext cx="914400" cy="36170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400" b="1"/>
            <a:t>Рост ИОК</a:t>
          </a:r>
        </a:p>
      </cdr:txBody>
    </cdr:sp>
  </cdr:relSizeAnchor>
  <cdr:relSizeAnchor xmlns:cdr="http://schemas.openxmlformats.org/drawingml/2006/chartDrawing">
    <cdr:from>
      <cdr:x>0.34729</cdr:x>
      <cdr:y>0.0138</cdr:y>
    </cdr:from>
    <cdr:to>
      <cdr:x>0.45613</cdr:x>
      <cdr:y>0.09661</cdr:y>
    </cdr:to>
    <cdr:sp macro="" textlink="">
      <cdr:nvSpPr>
        <cdr:cNvPr id="10" name="TextBox 1"/>
        <cdr:cNvSpPr txBox="1"/>
      </cdr:nvSpPr>
      <cdr:spPr>
        <a:xfrm xmlns:a="http://schemas.openxmlformats.org/drawingml/2006/main">
          <a:off x="2917784" y="60286"/>
          <a:ext cx="914400" cy="3617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1"/>
            <a:t>Рост ИОК</a:t>
          </a:r>
        </a:p>
      </cdr:txBody>
    </cdr:sp>
  </cdr:relSizeAnchor>
  <cdr:relSizeAnchor xmlns:cdr="http://schemas.openxmlformats.org/drawingml/2006/chartDrawing">
    <cdr:from>
      <cdr:x>0.64579</cdr:x>
      <cdr:y>0.02484</cdr:y>
    </cdr:from>
    <cdr:to>
      <cdr:x>0.75462</cdr:x>
      <cdr:y>0.10765</cdr:y>
    </cdr:to>
    <cdr:sp macro="" textlink="">
      <cdr:nvSpPr>
        <cdr:cNvPr id="11" name="TextBox 1"/>
        <cdr:cNvSpPr txBox="1"/>
      </cdr:nvSpPr>
      <cdr:spPr>
        <a:xfrm xmlns:a="http://schemas.openxmlformats.org/drawingml/2006/main">
          <a:off x="5425634" y="108513"/>
          <a:ext cx="914400" cy="36170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400" b="1"/>
            <a:t>Рост ИОК</a:t>
          </a:r>
        </a:p>
      </cdr:txBody>
    </cdr:sp>
  </cdr:relSizeAnchor>
</c:userShapes>
</file>

<file path=word/drawings/drawing25.xml><?xml version="1.0" encoding="utf-8"?>
<c:userShapes xmlns:c="http://schemas.openxmlformats.org/drawingml/2006/chart">
  <cdr:relSizeAnchor xmlns:cdr="http://schemas.openxmlformats.org/drawingml/2006/chartDrawing">
    <cdr:from>
      <cdr:x>0.3149</cdr:x>
      <cdr:y>0.93421</cdr:y>
    </cdr:from>
    <cdr:to>
      <cdr:x>0.51459</cdr:x>
      <cdr:y>0.97744</cdr:y>
    </cdr:to>
    <cdr:sp macro="" textlink="">
      <cdr:nvSpPr>
        <cdr:cNvPr id="2" name="TextBox 1"/>
        <cdr:cNvSpPr txBox="1"/>
      </cdr:nvSpPr>
      <cdr:spPr>
        <a:xfrm xmlns:a="http://schemas.openxmlformats.org/drawingml/2006/main">
          <a:off x="1952626" y="4733924"/>
          <a:ext cx="12382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0.51152</cdr:x>
      <cdr:y>0.86466</cdr:y>
    </cdr:from>
    <cdr:to>
      <cdr:x>0.51152</cdr:x>
      <cdr:y>0.95489</cdr:y>
    </cdr:to>
    <cdr:sp macro="" textlink="">
      <cdr:nvSpPr>
        <cdr:cNvPr id="4" name="Прямая соединительная линия 3"/>
        <cdr:cNvSpPr/>
      </cdr:nvSpPr>
      <cdr:spPr>
        <a:xfrm xmlns:a="http://schemas.openxmlformats.org/drawingml/2006/main">
          <a:off x="3171826" y="4381500"/>
          <a:ext cx="0" cy="457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0.34716</cdr:x>
      <cdr:y>0.94549</cdr:y>
    </cdr:from>
    <cdr:to>
      <cdr:x>0.4977</cdr:x>
      <cdr:y>0.98496</cdr:y>
    </cdr:to>
    <cdr:sp macro="" textlink="">
      <cdr:nvSpPr>
        <cdr:cNvPr id="5" name="TextBox 4"/>
        <cdr:cNvSpPr txBox="1"/>
      </cdr:nvSpPr>
      <cdr:spPr>
        <a:xfrm xmlns:a="http://schemas.openxmlformats.org/drawingml/2006/main">
          <a:off x="2152651" y="4791075"/>
          <a:ext cx="9334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факт</a:t>
          </a:r>
        </a:p>
        <a:p xmlns:a="http://schemas.openxmlformats.org/drawingml/2006/main">
          <a:endParaRPr lang="ru-RU" sz="1100"/>
        </a:p>
      </cdr:txBody>
    </cdr:sp>
  </cdr:relSizeAnchor>
  <cdr:relSizeAnchor xmlns:cdr="http://schemas.openxmlformats.org/drawingml/2006/chartDrawing">
    <cdr:from>
      <cdr:x>0.57604</cdr:x>
      <cdr:y>0.86466</cdr:y>
    </cdr:from>
    <cdr:to>
      <cdr:x>0.57604</cdr:x>
      <cdr:y>0.95489</cdr:y>
    </cdr:to>
    <cdr:sp macro="" textlink="">
      <cdr:nvSpPr>
        <cdr:cNvPr id="7" name="Прямая соединительная линия 6"/>
        <cdr:cNvSpPr/>
      </cdr:nvSpPr>
      <cdr:spPr>
        <a:xfrm xmlns:a="http://schemas.openxmlformats.org/drawingml/2006/main">
          <a:off x="3571876" y="4381500"/>
          <a:ext cx="0" cy="4572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0.49462</cdr:x>
      <cdr:y>0.94549</cdr:y>
    </cdr:from>
    <cdr:to>
      <cdr:x>0.61598</cdr:x>
      <cdr:y>0.99248</cdr:y>
    </cdr:to>
    <cdr:sp macro="" textlink="">
      <cdr:nvSpPr>
        <cdr:cNvPr id="8" name="TextBox 7"/>
        <cdr:cNvSpPr txBox="1"/>
      </cdr:nvSpPr>
      <cdr:spPr>
        <a:xfrm xmlns:a="http://schemas.openxmlformats.org/drawingml/2006/main">
          <a:off x="3067050" y="4791074"/>
          <a:ext cx="752476" cy="2381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оценка</a:t>
          </a:r>
        </a:p>
      </cdr:txBody>
    </cdr:sp>
  </cdr:relSizeAnchor>
  <cdr:relSizeAnchor xmlns:cdr="http://schemas.openxmlformats.org/drawingml/2006/chartDrawing">
    <cdr:from>
      <cdr:x>0.76959</cdr:x>
      <cdr:y>0.8797</cdr:y>
    </cdr:from>
    <cdr:to>
      <cdr:x>0.76959</cdr:x>
      <cdr:y>0.94925</cdr:y>
    </cdr:to>
    <cdr:sp macro="" textlink="">
      <cdr:nvSpPr>
        <cdr:cNvPr id="10" name="Прямая соединительная линия 9"/>
        <cdr:cNvSpPr/>
      </cdr:nvSpPr>
      <cdr:spPr>
        <a:xfrm xmlns:a="http://schemas.openxmlformats.org/drawingml/2006/main">
          <a:off x="4772026" y="4457700"/>
          <a:ext cx="0" cy="3524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0.60522</cdr:x>
      <cdr:y>0.94173</cdr:y>
    </cdr:from>
    <cdr:to>
      <cdr:x>0.77573</cdr:x>
      <cdr:y>0.99436</cdr:y>
    </cdr:to>
    <cdr:sp macro="" textlink="">
      <cdr:nvSpPr>
        <cdr:cNvPr id="11" name="TextBox 10"/>
        <cdr:cNvSpPr txBox="1"/>
      </cdr:nvSpPr>
      <cdr:spPr>
        <a:xfrm xmlns:a="http://schemas.openxmlformats.org/drawingml/2006/main">
          <a:off x="3752851" y="4772025"/>
          <a:ext cx="1057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прогноз </a:t>
          </a:r>
        </a:p>
      </cdr:txBody>
    </cdr:sp>
  </cdr:relSizeAnchor>
  <cdr:relSizeAnchor xmlns:cdr="http://schemas.openxmlformats.org/drawingml/2006/chartDrawing">
    <cdr:from>
      <cdr:x>0</cdr:x>
      <cdr:y>0.04135</cdr:y>
    </cdr:from>
    <cdr:to>
      <cdr:x>0.08819</cdr:x>
      <cdr:y>0.09398</cdr:y>
    </cdr:to>
    <cdr:sp macro="" textlink="">
      <cdr:nvSpPr>
        <cdr:cNvPr id="9" name="TextBox 8"/>
        <cdr:cNvSpPr txBox="1"/>
      </cdr:nvSpPr>
      <cdr:spPr>
        <a:xfrm xmlns:a="http://schemas.openxmlformats.org/drawingml/2006/main">
          <a:off x="0" y="209550"/>
          <a:ext cx="59055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200" b="1"/>
            <a:t>$ </a:t>
          </a:r>
          <a:r>
            <a:rPr lang="ru-RU" sz="1200" b="1"/>
            <a:t>млрд.</a:t>
          </a:r>
          <a:r>
            <a:rPr lang="ru-RU" sz="1200" b="1" baseline="0"/>
            <a:t> </a:t>
          </a:r>
          <a:endParaRPr lang="ru-RU" sz="1200" b="1"/>
        </a:p>
      </cdr:txBody>
    </cdr:sp>
  </cdr:relSizeAnchor>
</c:userShapes>
</file>

<file path=word/drawings/drawing26.xml><?xml version="1.0" encoding="utf-8"?>
<c:userShapes xmlns:c="http://schemas.openxmlformats.org/drawingml/2006/chart">
  <cdr:relSizeAnchor xmlns:cdr="http://schemas.openxmlformats.org/drawingml/2006/chartDrawing">
    <cdr:from>
      <cdr:x>0.47464</cdr:x>
      <cdr:y>0.45373</cdr:y>
    </cdr:from>
    <cdr:to>
      <cdr:x>0.62681</cdr:x>
      <cdr:y>0.45373</cdr:y>
    </cdr:to>
    <cdr:sp macro="" textlink="">
      <cdr:nvSpPr>
        <cdr:cNvPr id="5" name="Прямая соединительная линия 4"/>
        <cdr:cNvSpPr/>
      </cdr:nvSpPr>
      <cdr:spPr>
        <a:xfrm xmlns:a="http://schemas.openxmlformats.org/drawingml/2006/main">
          <a:off x="2495554" y="1447808"/>
          <a:ext cx="800080" cy="0"/>
        </a:xfrm>
        <a:prstGeom xmlns:a="http://schemas.openxmlformats.org/drawingml/2006/main" prst="line">
          <a:avLst/>
        </a:prstGeom>
        <a:ln xmlns:a="http://schemas.openxmlformats.org/drawingml/2006/main" w="22225">
          <a:solidFill>
            <a:schemeClr val="tx1"/>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7.xml><?xml version="1.0" encoding="utf-8"?>
<c:userShapes xmlns:c="http://schemas.openxmlformats.org/drawingml/2006/chart">
  <cdr:relSizeAnchor xmlns:cdr="http://schemas.openxmlformats.org/drawingml/2006/chartDrawing">
    <cdr:from>
      <cdr:x>0.08559</cdr:x>
      <cdr:y>0.53992</cdr:y>
    </cdr:from>
    <cdr:to>
      <cdr:x>0.15995</cdr:x>
      <cdr:y>0.58959</cdr:y>
    </cdr:to>
    <cdr:sp macro="" textlink="">
      <cdr:nvSpPr>
        <cdr:cNvPr id="2" name="TextBox 1"/>
        <cdr:cNvSpPr txBox="1"/>
      </cdr:nvSpPr>
      <cdr:spPr>
        <a:xfrm xmlns:a="http://schemas.openxmlformats.org/drawingml/2006/main">
          <a:off x="522577" y="2889238"/>
          <a:ext cx="454007" cy="265796"/>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rgbClr val="002060"/>
              </a:solidFill>
            </a:rPr>
            <a:t>6135,4</a:t>
          </a:r>
        </a:p>
      </cdr:txBody>
    </cdr:sp>
  </cdr:relSizeAnchor>
  <cdr:relSizeAnchor xmlns:cdr="http://schemas.openxmlformats.org/drawingml/2006/chartDrawing">
    <cdr:from>
      <cdr:x>0.10389</cdr:x>
      <cdr:y>0.63191</cdr:y>
    </cdr:from>
    <cdr:to>
      <cdr:x>0.12361</cdr:x>
      <cdr:y>0.65531</cdr:y>
    </cdr:to>
    <cdr:sp macro="" textlink="">
      <cdr:nvSpPr>
        <cdr:cNvPr id="6" name="Прямая соединительная линия 5"/>
        <cdr:cNvSpPr/>
      </cdr:nvSpPr>
      <cdr:spPr>
        <a:xfrm xmlns:a="http://schemas.openxmlformats.org/drawingml/2006/main" flipV="1">
          <a:off x="841096" y="4484086"/>
          <a:ext cx="159658" cy="166049"/>
        </a:xfrm>
        <a:prstGeom xmlns:a="http://schemas.openxmlformats.org/drawingml/2006/main" prst="line">
          <a:avLst/>
        </a:prstGeom>
        <a:ln xmlns:a="http://schemas.openxmlformats.org/drawingml/2006/main" w="254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0.57294</cdr:x>
      <cdr:y>0.23087</cdr:y>
    </cdr:from>
    <cdr:to>
      <cdr:x>0.64118</cdr:x>
      <cdr:y>0.3302</cdr:y>
    </cdr:to>
    <cdr:sp macro="" textlink="">
      <cdr:nvSpPr>
        <cdr:cNvPr id="7" name="Прямая соединительная линия 6"/>
        <cdr:cNvSpPr/>
      </cdr:nvSpPr>
      <cdr:spPr>
        <a:xfrm xmlns:a="http://schemas.openxmlformats.org/drawingml/2006/main" flipV="1">
          <a:off x="4638676" y="1638301"/>
          <a:ext cx="552450" cy="704850"/>
        </a:xfrm>
        <a:prstGeom xmlns:a="http://schemas.openxmlformats.org/drawingml/2006/main" prst="line">
          <a:avLst/>
        </a:prstGeom>
        <a:ln xmlns:a="http://schemas.openxmlformats.org/drawingml/2006/main" w="25400">
          <a:solidFill>
            <a:schemeClr val="tx2">
              <a:lumMod val="40000"/>
              <a:lumOff val="6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0.64235</cdr:x>
      <cdr:y>0.13154</cdr:y>
    </cdr:from>
    <cdr:to>
      <cdr:x>0.76824</cdr:x>
      <cdr:y>0.22819</cdr:y>
    </cdr:to>
    <cdr:sp macro="" textlink="">
      <cdr:nvSpPr>
        <cdr:cNvPr id="9" name="Прямая соединительная линия 8"/>
        <cdr:cNvSpPr/>
      </cdr:nvSpPr>
      <cdr:spPr>
        <a:xfrm xmlns:a="http://schemas.openxmlformats.org/drawingml/2006/main" flipV="1">
          <a:off x="5200651" y="933451"/>
          <a:ext cx="1019175" cy="685800"/>
        </a:xfrm>
        <a:prstGeom xmlns:a="http://schemas.openxmlformats.org/drawingml/2006/main" prst="line">
          <a:avLst/>
        </a:prstGeom>
        <a:ln xmlns:a="http://schemas.openxmlformats.org/drawingml/2006/main" w="25400">
          <a:solidFill>
            <a:schemeClr val="tx2">
              <a:lumMod val="40000"/>
              <a:lumOff val="6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0.63882</cdr:x>
      <cdr:y>0.22416</cdr:y>
    </cdr:from>
    <cdr:to>
      <cdr:x>0.64706</cdr:x>
      <cdr:y>0.23356</cdr:y>
    </cdr:to>
    <cdr:sp macro="" textlink="">
      <cdr:nvSpPr>
        <cdr:cNvPr id="11" name="Прямая соединительная линия 10"/>
        <cdr:cNvSpPr/>
      </cdr:nvSpPr>
      <cdr:spPr>
        <a:xfrm xmlns:a="http://schemas.openxmlformats.org/drawingml/2006/main" flipV="1">
          <a:off x="5172076" y="1590676"/>
          <a:ext cx="66675" cy="66675"/>
        </a:xfrm>
        <a:prstGeom xmlns:a="http://schemas.openxmlformats.org/drawingml/2006/main" prst="line">
          <a:avLst/>
        </a:prstGeom>
        <a:ln xmlns:a="http://schemas.openxmlformats.org/drawingml/2006/main" w="25400">
          <a:solidFill>
            <a:schemeClr val="tx2">
              <a:lumMod val="60000"/>
              <a:lumOff val="4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0.58941</cdr:x>
      <cdr:y>0.32349</cdr:y>
    </cdr:from>
    <cdr:to>
      <cdr:x>0.59765</cdr:x>
      <cdr:y>0.32483</cdr:y>
    </cdr:to>
    <cdr:sp macro="" textlink="">
      <cdr:nvSpPr>
        <cdr:cNvPr id="13" name="Прямая соединительная линия 12"/>
        <cdr:cNvSpPr/>
      </cdr:nvSpPr>
      <cdr:spPr>
        <a:xfrm xmlns:a="http://schemas.openxmlformats.org/drawingml/2006/main" flipV="1">
          <a:off x="4772025" y="2295523"/>
          <a:ext cx="66675" cy="9527"/>
        </a:xfrm>
        <a:prstGeom xmlns:a="http://schemas.openxmlformats.org/drawingml/2006/main" prst="line">
          <a:avLst/>
        </a:prstGeom>
        <a:ln xmlns:a="http://schemas.openxmlformats.org/drawingml/2006/main" w="25400">
          <a:solidFill>
            <a:schemeClr val="accent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0.08668</cdr:x>
      <cdr:y>0.59008</cdr:y>
    </cdr:from>
    <cdr:to>
      <cdr:x>0.80315</cdr:x>
      <cdr:y>0.59008</cdr:y>
    </cdr:to>
    <cdr:sp macro="" textlink="">
      <cdr:nvSpPr>
        <cdr:cNvPr id="15" name="Прямая соединительная линия 14"/>
        <cdr:cNvSpPr/>
      </cdr:nvSpPr>
      <cdr:spPr>
        <a:xfrm xmlns:a="http://schemas.openxmlformats.org/drawingml/2006/main">
          <a:off x="529227" y="3157655"/>
          <a:ext cx="4374425" cy="0"/>
        </a:xfrm>
        <a:prstGeom xmlns:a="http://schemas.openxmlformats.org/drawingml/2006/main" prst="line">
          <a:avLst/>
        </a:prstGeom>
        <a:ln xmlns:a="http://schemas.openxmlformats.org/drawingml/2006/main" w="25400">
          <a:solidFill>
            <a:schemeClr val="tx2">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8.xml><?xml version="1.0" encoding="utf-8"?>
<c:userShapes xmlns:c="http://schemas.openxmlformats.org/drawingml/2006/chart">
  <cdr:relSizeAnchor xmlns:cdr="http://schemas.openxmlformats.org/drawingml/2006/chartDrawing">
    <cdr:from>
      <cdr:x>0</cdr:x>
      <cdr:y>0</cdr:y>
    </cdr:from>
    <cdr:to>
      <cdr:x>0</cdr:x>
      <cdr:y>0</cdr:y>
    </cdr:to>
    <cdr:sp macro="" textlink="">
      <cdr:nvSpPr>
        <cdr:cNvPr id="3" name="Прямая соединительная линия 2"/>
        <cdr:cNvSpPr/>
      </cdr:nvSpPr>
      <cdr:spPr>
        <a:xfrm xmlns:a="http://schemas.openxmlformats.org/drawingml/2006/main">
          <a:off x="-4305300" y="-2143125"/>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0.09032</cdr:x>
      <cdr:y>0.54941</cdr:y>
    </cdr:from>
    <cdr:to>
      <cdr:x>1</cdr:x>
      <cdr:y>0.54941</cdr:y>
    </cdr:to>
    <cdr:sp macro="" textlink="">
      <cdr:nvSpPr>
        <cdr:cNvPr id="5" name="Прямая соединительная линия 4"/>
        <cdr:cNvSpPr/>
      </cdr:nvSpPr>
      <cdr:spPr>
        <a:xfrm xmlns:a="http://schemas.openxmlformats.org/drawingml/2006/main">
          <a:off x="611655" y="1848432"/>
          <a:ext cx="5554074" cy="0"/>
        </a:xfrm>
        <a:prstGeom xmlns:a="http://schemas.openxmlformats.org/drawingml/2006/main" prst="line">
          <a:avLst/>
        </a:prstGeom>
        <a:ln xmlns:a="http://schemas.openxmlformats.org/drawingml/2006/main" w="22225">
          <a:solidFill>
            <a:schemeClr val="accent6">
              <a:lumMod val="75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0.09399</cdr:x>
      <cdr:y>0.4691</cdr:y>
    </cdr:from>
    <cdr:to>
      <cdr:x>0.16598</cdr:x>
      <cdr:y>0.54036</cdr:y>
    </cdr:to>
    <cdr:sp macro="" textlink="">
      <cdr:nvSpPr>
        <cdr:cNvPr id="6" name="TextBox 5"/>
        <cdr:cNvSpPr txBox="1"/>
      </cdr:nvSpPr>
      <cdr:spPr>
        <a:xfrm xmlns:a="http://schemas.openxmlformats.org/drawingml/2006/main">
          <a:off x="573858" y="1578243"/>
          <a:ext cx="439537" cy="23974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solidFill>
                <a:schemeClr val="accent6">
                  <a:lumMod val="75000"/>
                </a:schemeClr>
              </a:solidFill>
            </a:rPr>
            <a:t>670,9</a:t>
          </a:r>
        </a:p>
      </cdr:txBody>
    </cdr:sp>
  </cdr:relSizeAnchor>
</c:userShapes>
</file>

<file path=word/drawings/drawing29.xml><?xml version="1.0" encoding="utf-8"?>
<c:userShapes xmlns:c="http://schemas.openxmlformats.org/drawingml/2006/chart">
  <cdr:relSizeAnchor xmlns:cdr="http://schemas.openxmlformats.org/drawingml/2006/chartDrawing">
    <cdr:from>
      <cdr:x>0.46232</cdr:x>
      <cdr:y>0.01042</cdr:y>
    </cdr:from>
    <cdr:to>
      <cdr:x>0.51538</cdr:x>
      <cdr:y>0.82986</cdr:y>
    </cdr:to>
    <cdr:sp macro="" textlink="">
      <cdr:nvSpPr>
        <cdr:cNvPr id="2" name="Прямоугольник 1"/>
        <cdr:cNvSpPr/>
      </cdr:nvSpPr>
      <cdr:spPr>
        <a:xfrm xmlns:a="http://schemas.openxmlformats.org/drawingml/2006/main">
          <a:off x="2162176" y="28575"/>
          <a:ext cx="248125" cy="224790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b="1">
              <a:solidFill>
                <a:sysClr val="windowText" lastClr="000000"/>
              </a:solidFill>
            </a:rPr>
            <a:t>Падение</a:t>
          </a:r>
        </a:p>
        <a:p xmlns:a="http://schemas.openxmlformats.org/drawingml/2006/main">
          <a:r>
            <a:rPr lang="ru-RU" b="1">
              <a:solidFill>
                <a:sysClr val="windowText" lastClr="000000"/>
              </a:solidFill>
            </a:rPr>
            <a:t> ИОК</a:t>
          </a:r>
        </a:p>
      </cdr:txBody>
    </cdr:sp>
  </cdr:relSizeAnchor>
  <cdr:relSizeAnchor xmlns:cdr="http://schemas.openxmlformats.org/drawingml/2006/chartDrawing">
    <cdr:from>
      <cdr:x>0.51959</cdr:x>
      <cdr:y>0.00347</cdr:y>
    </cdr:from>
    <cdr:to>
      <cdr:x>0.57026</cdr:x>
      <cdr:y>0.83333</cdr:y>
    </cdr:to>
    <cdr:sp macro="" textlink="">
      <cdr:nvSpPr>
        <cdr:cNvPr id="3" name="Прямоугольник 2"/>
        <cdr:cNvSpPr/>
      </cdr:nvSpPr>
      <cdr:spPr>
        <a:xfrm xmlns:a="http://schemas.openxmlformats.org/drawingml/2006/main">
          <a:off x="2430006" y="9518"/>
          <a:ext cx="236995" cy="2276481"/>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ru-RU" b="1">
              <a:solidFill>
                <a:sysClr val="windowText" lastClr="000000"/>
              </a:solidFill>
            </a:rPr>
            <a:t>Падение</a:t>
          </a:r>
          <a:r>
            <a:rPr lang="ru-RU" b="1" baseline="0">
              <a:solidFill>
                <a:sysClr val="windowText" lastClr="000000"/>
              </a:solidFill>
            </a:rPr>
            <a:t> </a:t>
          </a:r>
        </a:p>
        <a:p xmlns:a="http://schemas.openxmlformats.org/drawingml/2006/main">
          <a:endParaRPr lang="ru-RU" b="1" baseline="0">
            <a:solidFill>
              <a:sysClr val="windowText" lastClr="000000"/>
            </a:solidFill>
          </a:endParaRPr>
        </a:p>
        <a:p xmlns:a="http://schemas.openxmlformats.org/drawingml/2006/main">
          <a:r>
            <a:rPr lang="ru-RU" b="1" baseline="0">
              <a:solidFill>
                <a:sysClr val="windowText" lastClr="000000"/>
              </a:solidFill>
            </a:rPr>
            <a:t>ИОК</a:t>
          </a:r>
          <a:endParaRPr lang="ru-RU" b="1">
            <a:solidFill>
              <a:sysClr val="windowText" lastClr="000000"/>
            </a:solidFill>
          </a:endParaRPr>
        </a:p>
      </cdr:txBody>
    </cdr:sp>
  </cdr:relSizeAnchor>
  <cdr:relSizeAnchor xmlns:cdr="http://schemas.openxmlformats.org/drawingml/2006/chartDrawing">
    <cdr:from>
      <cdr:x>0.89613</cdr:x>
      <cdr:y>0.26042</cdr:y>
    </cdr:from>
    <cdr:to>
      <cdr:x>1</cdr:x>
      <cdr:y>0.36806</cdr:y>
    </cdr:to>
    <cdr:sp macro="" textlink="">
      <cdr:nvSpPr>
        <cdr:cNvPr id="4" name="Овал 3"/>
        <cdr:cNvSpPr/>
      </cdr:nvSpPr>
      <cdr:spPr>
        <a:xfrm xmlns:a="http://schemas.openxmlformats.org/drawingml/2006/main">
          <a:off x="4191000" y="714374"/>
          <a:ext cx="485775" cy="295275"/>
        </a:xfrm>
        <a:prstGeom xmlns:a="http://schemas.openxmlformats.org/drawingml/2006/main" prst="ellipse">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0.25347</cdr:y>
    </cdr:from>
    <cdr:to>
      <cdr:x>0.10387</cdr:x>
      <cdr:y>0.36111</cdr:y>
    </cdr:to>
    <cdr:sp macro="" textlink="">
      <cdr:nvSpPr>
        <cdr:cNvPr id="5" name="Овал 4"/>
        <cdr:cNvSpPr/>
      </cdr:nvSpPr>
      <cdr:spPr>
        <a:xfrm xmlns:a="http://schemas.openxmlformats.org/drawingml/2006/main">
          <a:off x="0" y="695325"/>
          <a:ext cx="485775" cy="295275"/>
        </a:xfrm>
        <a:prstGeom xmlns:a="http://schemas.openxmlformats.org/drawingml/2006/main" prst="ellipse">
          <a:avLst/>
        </a:prstGeom>
        <a:noFill xmlns:a="http://schemas.openxmlformats.org/drawingml/2006/main"/>
        <a:ln xmlns:a="http://schemas.openxmlformats.org/drawingml/2006/main">
          <a:solidFill>
            <a:schemeClr val="accent6">
              <a:lumMod val="75000"/>
            </a:schemeClr>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0.5</cdr:x>
      <cdr:y>0.03371</cdr:y>
    </cdr:from>
    <cdr:to>
      <cdr:x>0.5</cdr:x>
      <cdr:y>0.9083</cdr:y>
    </cdr:to>
    <cdr:sp macro="" textlink="">
      <cdr:nvSpPr>
        <cdr:cNvPr id="113665" name="Line 1"/>
        <cdr:cNvSpPr>
          <a:spLocks xmlns:a="http://schemas.openxmlformats.org/drawingml/2006/main" noChangeShapeType="1"/>
        </cdr:cNvSpPr>
      </cdr:nvSpPr>
      <cdr:spPr bwMode="auto">
        <a:xfrm xmlns:a="http://schemas.openxmlformats.org/drawingml/2006/main" flipV="1">
          <a:off x="4571999" y="216024"/>
          <a:ext cx="0" cy="5604995"/>
        </a:xfrm>
        <a:prstGeom xmlns:a="http://schemas.openxmlformats.org/drawingml/2006/main" prst="line">
          <a:avLst/>
        </a:prstGeom>
        <a:noFill xmlns:a="http://schemas.openxmlformats.org/drawingml/2006/main"/>
        <a:ln xmlns:a="http://schemas.openxmlformats.org/drawingml/2006/main" w="19050">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0.04617</cdr:x>
      <cdr:y>0.61215</cdr:y>
    </cdr:from>
    <cdr:to>
      <cdr:x>0.06973</cdr:x>
      <cdr:y>0.61215</cdr:y>
    </cdr:to>
    <cdr:sp macro="" textlink="">
      <cdr:nvSpPr>
        <cdr:cNvPr id="113666" name="Line 2"/>
        <cdr:cNvSpPr>
          <a:spLocks xmlns:a="http://schemas.openxmlformats.org/drawingml/2006/main" noChangeShapeType="1"/>
        </cdr:cNvSpPr>
      </cdr:nvSpPr>
      <cdr:spPr bwMode="auto">
        <a:xfrm xmlns:a="http://schemas.openxmlformats.org/drawingml/2006/main" flipH="1" flipV="1">
          <a:off x="550743" y="3169240"/>
          <a:ext cx="279381" cy="0"/>
        </a:xfrm>
        <a:prstGeom xmlns:a="http://schemas.openxmlformats.org/drawingml/2006/main" prst="line">
          <a:avLst/>
        </a:prstGeom>
        <a:noFill xmlns:a="http://schemas.openxmlformats.org/drawingml/2006/main"/>
        <a:ln xmlns:a="http://schemas.openxmlformats.org/drawingml/2006/main" w="28575">
          <a:solidFill>
            <a:srgbClr val="FF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0.68054</cdr:x>
      <cdr:y>0.0281</cdr:y>
    </cdr:from>
    <cdr:to>
      <cdr:x>0.68054</cdr:x>
      <cdr:y>0.90269</cdr:y>
    </cdr:to>
    <cdr:sp macro="" textlink="">
      <cdr:nvSpPr>
        <cdr:cNvPr id="113667" name="Line 3"/>
        <cdr:cNvSpPr>
          <a:spLocks xmlns:a="http://schemas.openxmlformats.org/drawingml/2006/main" noChangeShapeType="1"/>
        </cdr:cNvSpPr>
      </cdr:nvSpPr>
      <cdr:spPr bwMode="auto">
        <a:xfrm xmlns:a="http://schemas.openxmlformats.org/drawingml/2006/main" flipV="1">
          <a:off x="8073422" y="148529"/>
          <a:ext cx="0" cy="4523451"/>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0.04807</cdr:x>
      <cdr:y>0.74074</cdr:y>
    </cdr:from>
    <cdr:to>
      <cdr:x>0.07187</cdr:x>
      <cdr:y>0.74074</cdr:y>
    </cdr:to>
    <cdr:sp macro="" textlink="">
      <cdr:nvSpPr>
        <cdr:cNvPr id="113668" name="Line 4"/>
        <cdr:cNvSpPr>
          <a:spLocks xmlns:a="http://schemas.openxmlformats.org/drawingml/2006/main" noChangeShapeType="1"/>
        </cdr:cNvSpPr>
      </cdr:nvSpPr>
      <cdr:spPr bwMode="auto">
        <a:xfrm xmlns:a="http://schemas.openxmlformats.org/drawingml/2006/main" flipH="1" flipV="1">
          <a:off x="569896" y="3899342"/>
          <a:ext cx="282148" cy="0"/>
        </a:xfrm>
        <a:prstGeom xmlns:a="http://schemas.openxmlformats.org/drawingml/2006/main" prst="line">
          <a:avLst/>
        </a:prstGeom>
        <a:noFill xmlns:a="http://schemas.openxmlformats.org/drawingml/2006/main"/>
        <a:ln xmlns:a="http://schemas.openxmlformats.org/drawingml/2006/main" w="28575">
          <a:solidFill>
            <a:srgbClr val="FF0000"/>
          </a:solidFill>
          <a:round/>
          <a:headEnd/>
          <a:tailEnd type="triangle" w="med" len="me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0.04326</cdr:x>
      <cdr:y>0.05618</cdr:y>
    </cdr:from>
    <cdr:to>
      <cdr:x>0.17713</cdr:x>
      <cdr:y>0.15115</cdr:y>
    </cdr:to>
    <cdr:sp macro="" textlink="">
      <cdr:nvSpPr>
        <cdr:cNvPr id="113671" name="Text Box 7"/>
        <cdr:cNvSpPr txBox="1">
          <a:spLocks xmlns:a="http://schemas.openxmlformats.org/drawingml/2006/main" noChangeArrowheads="1"/>
        </cdr:cNvSpPr>
      </cdr:nvSpPr>
      <cdr:spPr bwMode="auto">
        <a:xfrm xmlns:a="http://schemas.openxmlformats.org/drawingml/2006/main">
          <a:off x="395536" y="360040"/>
          <a:ext cx="1224136" cy="60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54864" tIns="45720" rIns="0" bIns="0" anchor="t" upright="1"/>
        <a:lstStyle xmlns:a="http://schemas.openxmlformats.org/drawingml/2006/main"/>
        <a:p xmlns:a="http://schemas.openxmlformats.org/drawingml/2006/main">
          <a:pPr algn="l" rtl="0">
            <a:defRPr sz="1000"/>
          </a:pPr>
          <a:r>
            <a:rPr lang="ru-RU" sz="2575" b="1" i="0" u="none" strike="noStrike" baseline="0" dirty="0" smtClean="0">
              <a:solidFill>
                <a:srgbClr val="FF0000"/>
              </a:solidFill>
              <a:latin typeface="Arial Cyr"/>
              <a:cs typeface="Arial Cyr"/>
            </a:rPr>
            <a:t>ИОК </a:t>
          </a:r>
          <a:endParaRPr lang="ru-RU" sz="2575" b="1" i="0" u="none" strike="noStrike" baseline="0" dirty="0">
            <a:solidFill>
              <a:srgbClr val="FF0000"/>
            </a:solidFill>
            <a:latin typeface="Arial Cyr"/>
            <a:cs typeface="Arial Cyr"/>
          </a:endParaRPr>
        </a:p>
      </cdr:txBody>
    </cdr:sp>
  </cdr:relSizeAnchor>
  <cdr:relSizeAnchor xmlns:cdr="http://schemas.openxmlformats.org/drawingml/2006/chartDrawing">
    <cdr:from>
      <cdr:x>0.689</cdr:x>
      <cdr:y>0.06742</cdr:y>
    </cdr:from>
    <cdr:to>
      <cdr:x>0.83135</cdr:x>
      <cdr:y>0.16239</cdr:y>
    </cdr:to>
    <cdr:sp macro="" textlink="">
      <cdr:nvSpPr>
        <cdr:cNvPr id="113672" name="Text Box 8"/>
        <cdr:cNvSpPr txBox="1">
          <a:spLocks xmlns:a="http://schemas.openxmlformats.org/drawingml/2006/main" noChangeArrowheads="1"/>
        </cdr:cNvSpPr>
      </cdr:nvSpPr>
      <cdr:spPr bwMode="auto">
        <a:xfrm xmlns:a="http://schemas.openxmlformats.org/drawingml/2006/main">
          <a:off x="6300191" y="432048"/>
          <a:ext cx="1301648" cy="60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54864" tIns="41148" rIns="0" bIns="0" anchor="t" upright="1"/>
        <a:lstStyle xmlns:a="http://schemas.openxmlformats.org/drawingml/2006/main"/>
        <a:p xmlns:a="http://schemas.openxmlformats.org/drawingml/2006/main">
          <a:pPr algn="l" rtl="0">
            <a:defRPr sz="1000"/>
          </a:pPr>
          <a:r>
            <a:rPr lang="ru-RU" sz="2375" b="1" i="0" u="none" strike="noStrike" baseline="0" dirty="0" smtClean="0">
              <a:solidFill>
                <a:srgbClr val="FF0000"/>
              </a:solidFill>
              <a:latin typeface="Arial Cyr"/>
              <a:cs typeface="Arial Cyr"/>
            </a:rPr>
            <a:t>ИОК </a:t>
          </a:r>
          <a:endParaRPr lang="ru-RU" sz="2375" b="1" i="0" u="none" strike="noStrike" baseline="0" dirty="0">
            <a:solidFill>
              <a:srgbClr val="FF0000"/>
            </a:solidFill>
            <a:latin typeface="Arial Cyr"/>
            <a:cs typeface="Arial Cyr"/>
          </a:endParaRPr>
        </a:p>
      </cdr:txBody>
    </cdr:sp>
  </cdr:relSizeAnchor>
  <cdr:relSizeAnchor xmlns:cdr="http://schemas.openxmlformats.org/drawingml/2006/chartDrawing">
    <cdr:from>
      <cdr:x>0.14563</cdr:x>
      <cdr:y>0</cdr:y>
    </cdr:from>
    <cdr:to>
      <cdr:x>0.37106</cdr:x>
      <cdr:y>0.09472</cdr:y>
    </cdr:to>
    <cdr:sp macro="" textlink="">
      <cdr:nvSpPr>
        <cdr:cNvPr id="113673" name="Text Box 9"/>
        <cdr:cNvSpPr txBox="1">
          <a:spLocks xmlns:a="http://schemas.openxmlformats.org/drawingml/2006/main" noChangeArrowheads="1"/>
        </cdr:cNvSpPr>
      </cdr:nvSpPr>
      <cdr:spPr bwMode="auto">
        <a:xfrm xmlns:a="http://schemas.openxmlformats.org/drawingml/2006/main">
          <a:off x="1331639" y="-116632"/>
          <a:ext cx="2061332" cy="6070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54864" tIns="45720" rIns="0" bIns="0" anchor="t" upright="1"/>
        <a:lstStyle xmlns:a="http://schemas.openxmlformats.org/drawingml/2006/main"/>
        <a:p xmlns:a="http://schemas.openxmlformats.org/drawingml/2006/main">
          <a:pPr algn="l" rtl="0">
            <a:defRPr sz="1000"/>
          </a:pPr>
          <a:r>
            <a:rPr lang="ru-RU" sz="2575" b="1" i="0" u="none" strike="noStrike" baseline="0" dirty="0">
              <a:solidFill>
                <a:srgbClr val="000000"/>
              </a:solidFill>
              <a:latin typeface="Arial Cyr"/>
              <a:cs typeface="Arial Cyr"/>
            </a:rPr>
            <a:t>РСФСР </a:t>
          </a:r>
        </a:p>
      </cdr:txBody>
    </cdr:sp>
  </cdr:relSizeAnchor>
  <cdr:relSizeAnchor xmlns:cdr="http://schemas.openxmlformats.org/drawingml/2006/chartDrawing">
    <cdr:from>
      <cdr:x>0.689</cdr:x>
      <cdr:y>0</cdr:y>
    </cdr:from>
    <cdr:to>
      <cdr:x>0.79137</cdr:x>
      <cdr:y>0.09472</cdr:y>
    </cdr:to>
    <cdr:sp macro="" textlink="">
      <cdr:nvSpPr>
        <cdr:cNvPr id="113674" name="Text Box 10"/>
        <cdr:cNvSpPr txBox="1">
          <a:spLocks xmlns:a="http://schemas.openxmlformats.org/drawingml/2006/main" noChangeArrowheads="1"/>
        </cdr:cNvSpPr>
      </cdr:nvSpPr>
      <cdr:spPr bwMode="auto">
        <a:xfrm xmlns:a="http://schemas.openxmlformats.org/drawingml/2006/main">
          <a:off x="6300216" y="0"/>
          <a:ext cx="936079" cy="60703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54864" tIns="45720" rIns="0" bIns="0" anchor="t" upright="1"/>
        <a:lstStyle xmlns:a="http://schemas.openxmlformats.org/drawingml/2006/main"/>
        <a:p xmlns:a="http://schemas.openxmlformats.org/drawingml/2006/main">
          <a:pPr algn="l" rtl="0">
            <a:defRPr sz="1000"/>
          </a:pPr>
          <a:r>
            <a:rPr lang="ru-RU" sz="2575" b="1" i="0" u="none" strike="noStrike" baseline="0" dirty="0">
              <a:solidFill>
                <a:srgbClr val="000000"/>
              </a:solidFill>
              <a:latin typeface="Arial Cyr"/>
              <a:cs typeface="Arial Cyr"/>
            </a:rPr>
            <a:t>РФ </a:t>
          </a:r>
        </a:p>
      </cdr:txBody>
    </cdr:sp>
  </cdr:relSizeAnchor>
  <cdr:relSizeAnchor xmlns:cdr="http://schemas.openxmlformats.org/drawingml/2006/chartDrawing">
    <cdr:from>
      <cdr:x>0.89374</cdr:x>
      <cdr:y>0.03371</cdr:y>
    </cdr:from>
    <cdr:to>
      <cdr:x>0.90949</cdr:x>
      <cdr:y>0.89849</cdr:y>
    </cdr:to>
    <cdr:sp macro="" textlink="">
      <cdr:nvSpPr>
        <cdr:cNvPr id="113675" name="Rectangle 11" descr="Светлый диагональный 2"/>
        <cdr:cNvSpPr>
          <a:spLocks xmlns:a="http://schemas.openxmlformats.org/drawingml/2006/main" noChangeArrowheads="1"/>
        </cdr:cNvSpPr>
      </cdr:nvSpPr>
      <cdr:spPr bwMode="auto">
        <a:xfrm xmlns:a="http://schemas.openxmlformats.org/drawingml/2006/main">
          <a:off x="8172399" y="216024"/>
          <a:ext cx="144017" cy="5542126"/>
        </a:xfrm>
        <a:prstGeom xmlns:a="http://schemas.openxmlformats.org/drawingml/2006/main" prst="rect">
          <a:avLst/>
        </a:prstGeom>
        <a:pattFill xmlns:a="http://schemas.openxmlformats.org/drawingml/2006/main" prst="ltUpDiag">
          <a:fgClr>
            <a:srgbClr val="000000">
              <a:alpha val="58000"/>
            </a:srgbClr>
          </a:fgClr>
          <a:bgClr>
            <a:srgbClr val="FFFFFF">
              <a:alpha val="58000"/>
            </a:srgbClr>
          </a:bgClr>
        </a:pattFill>
        <a:ln xmlns:a="http://schemas.openxmlformats.org/drawingml/2006/main" w="9525">
          <a:solidFill>
            <a:srgbClr val="000000"/>
          </a:solidFill>
          <a:miter lim="800000"/>
          <a:headEnd/>
          <a:tailEnd/>
        </a:ln>
      </cdr:spPr>
      <cdr:txBody>
        <a:bodyPr xmlns:a="http://schemas.openxmlformats.org/drawingml/2006/main" vertOverflow="clip" vert="wordArtVert" wrap="square" lIns="45720" tIns="0" rIns="45720" bIns="0" anchor="ctr" upright="1"/>
        <a:lstStyle xmlns:a="http://schemas.openxmlformats.org/drawingml/2006/main"/>
        <a:p xmlns:a="http://schemas.openxmlformats.org/drawingml/2006/main">
          <a:pPr algn="l" rtl="0">
            <a:defRPr sz="1000"/>
          </a:pPr>
          <a:endParaRPr lang="ru-RU" sz="1975" b="1" i="0" u="none" strike="noStrike" baseline="0" dirty="0">
            <a:solidFill>
              <a:srgbClr val="000000"/>
            </a:solidFill>
            <a:latin typeface="Arial Cyr"/>
            <a:cs typeface="Arial Cyr"/>
          </a:endParaRPr>
        </a:p>
      </cdr:txBody>
    </cdr:sp>
  </cdr:relSizeAnchor>
  <cdr:relSizeAnchor xmlns:cdr="http://schemas.openxmlformats.org/drawingml/2006/chartDrawing">
    <cdr:from>
      <cdr:x>0.38188</cdr:x>
      <cdr:y>0.03371</cdr:y>
    </cdr:from>
    <cdr:to>
      <cdr:x>0.38188</cdr:x>
      <cdr:y>0.9083</cdr:y>
    </cdr:to>
    <cdr:sp macro="" textlink="">
      <cdr:nvSpPr>
        <cdr:cNvPr id="13" name="Line 1"/>
        <cdr:cNvSpPr>
          <a:spLocks xmlns:a="http://schemas.openxmlformats.org/drawingml/2006/main" noChangeShapeType="1"/>
        </cdr:cNvSpPr>
      </cdr:nvSpPr>
      <cdr:spPr bwMode="auto">
        <a:xfrm xmlns:a="http://schemas.openxmlformats.org/drawingml/2006/main" flipV="1">
          <a:off x="3491879" y="216024"/>
          <a:ext cx="0" cy="5604995"/>
        </a:xfrm>
        <a:prstGeom xmlns:a="http://schemas.openxmlformats.org/drawingml/2006/main" prst="line">
          <a:avLst/>
        </a:prstGeom>
        <a:noFill xmlns:a="http://schemas.openxmlformats.org/drawingml/2006/main"/>
        <a:ln xmlns:a="http://schemas.openxmlformats.org/drawingml/2006/main" w="19050">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0.41338</cdr:x>
      <cdr:y>1.56038E-7</cdr:y>
    </cdr:from>
    <cdr:to>
      <cdr:x>0.44325</cdr:x>
      <cdr:y>0.99854</cdr:y>
    </cdr:to>
    <cdr:sp macro="" textlink="">
      <cdr:nvSpPr>
        <cdr:cNvPr id="14" name="Text Box 2"/>
        <cdr:cNvSpPr txBox="1">
          <a:spLocks xmlns:a="http://schemas.openxmlformats.org/drawingml/2006/main" noChangeArrowheads="1"/>
        </cdr:cNvSpPr>
      </cdr:nvSpPr>
      <cdr:spPr bwMode="auto">
        <a:xfrm xmlns:a="http://schemas.openxmlformats.org/drawingml/2006/main" rot="16200000">
          <a:off x="716800" y="3063112"/>
          <a:ext cx="6399354" cy="27313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73152" tIns="59436"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endParaRPr lang="ru-RU" sz="2800" b="1" i="0" u="none" strike="noStrike" baseline="0" dirty="0" smtClean="0">
            <a:solidFill>
              <a:srgbClr val="000000"/>
            </a:solidFill>
            <a:latin typeface="Arial Cyr"/>
            <a:cs typeface="Arial Cyr"/>
          </a:endParaRPr>
        </a:p>
        <a:p xmlns:a="http://schemas.openxmlformats.org/drawingml/2006/main">
          <a:pPr algn="l" rtl="0">
            <a:defRPr sz="1000"/>
          </a:pPr>
          <a:endParaRPr lang="ru-RU" sz="2800" b="1" dirty="0" smtClean="0">
            <a:solidFill>
              <a:srgbClr val="000000"/>
            </a:solidFill>
            <a:latin typeface="Arial Cyr"/>
            <a:cs typeface="Arial Cyr"/>
          </a:endParaRPr>
        </a:p>
        <a:p xmlns:a="http://schemas.openxmlformats.org/drawingml/2006/main">
          <a:pPr algn="l" rtl="0">
            <a:defRPr sz="1000"/>
          </a:pPr>
          <a:r>
            <a:rPr lang="ru-RU" sz="1800" b="1" i="0" u="none" strike="noStrike" baseline="0" dirty="0" smtClean="0">
              <a:solidFill>
                <a:srgbClr val="000000"/>
              </a:solidFill>
              <a:latin typeface="Arial Cyr"/>
              <a:cs typeface="Arial Cyr"/>
            </a:rPr>
            <a:t>Перестройка</a:t>
          </a:r>
          <a:endParaRPr lang="ru-RU" sz="1800" b="1" i="0" u="none" strike="noStrike" baseline="0" dirty="0">
            <a:solidFill>
              <a:srgbClr val="000000"/>
            </a:solidFill>
            <a:latin typeface="Arial Cyr"/>
            <a:cs typeface="Arial Cyr"/>
          </a:endParaRPr>
        </a:p>
      </cdr:txBody>
    </cdr:sp>
  </cdr:relSizeAnchor>
  <cdr:relSizeAnchor xmlns:cdr="http://schemas.openxmlformats.org/drawingml/2006/chartDrawing">
    <cdr:from>
      <cdr:x>0.50787</cdr:x>
      <cdr:y>0.05618</cdr:y>
    </cdr:from>
    <cdr:to>
      <cdr:x>0.63387</cdr:x>
      <cdr:y>0.17977</cdr:y>
    </cdr:to>
    <cdr:sp macro="" textlink="">
      <cdr:nvSpPr>
        <cdr:cNvPr id="15" name="Text Box 6"/>
        <cdr:cNvSpPr txBox="1">
          <a:spLocks xmlns:a="http://schemas.openxmlformats.org/drawingml/2006/main" noChangeArrowheads="1"/>
        </cdr:cNvSpPr>
      </cdr:nvSpPr>
      <cdr:spPr bwMode="auto">
        <a:xfrm xmlns:a="http://schemas.openxmlformats.org/drawingml/2006/main">
          <a:off x="4644007" y="360040"/>
          <a:ext cx="1152144" cy="7920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54864" tIns="4114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ru-RU" sz="2375" b="1" i="0" u="none" strike="noStrike" baseline="0" dirty="0" smtClean="0">
              <a:solidFill>
                <a:srgbClr val="000000"/>
              </a:solidFill>
              <a:latin typeface="Arial Cyr"/>
              <a:cs typeface="Arial Cyr"/>
            </a:rPr>
            <a:t>ИОК </a:t>
          </a:r>
          <a:endParaRPr lang="ru-RU" sz="2375" b="1" i="0" u="none" strike="noStrike" baseline="0" dirty="0">
            <a:solidFill>
              <a:srgbClr val="000000"/>
            </a:solidFill>
            <a:latin typeface="Arial Cyr"/>
            <a:cs typeface="Arial Cyr"/>
          </a:endParaRPr>
        </a:p>
      </cdr:txBody>
    </cdr:sp>
  </cdr:relSizeAnchor>
  <cdr:relSizeAnchor xmlns:cdr="http://schemas.openxmlformats.org/drawingml/2006/chartDrawing">
    <cdr:from>
      <cdr:x>0.626</cdr:x>
      <cdr:y>0.08989</cdr:y>
    </cdr:from>
    <cdr:to>
      <cdr:x>0.626</cdr:x>
      <cdr:y>0.13484</cdr:y>
    </cdr:to>
    <cdr:sp macro="" textlink="">
      <cdr:nvSpPr>
        <cdr:cNvPr id="16" name="Прямая со стрелкой 15"/>
        <cdr:cNvSpPr/>
      </cdr:nvSpPr>
      <cdr:spPr>
        <a:xfrm xmlns:a="http://schemas.openxmlformats.org/drawingml/2006/main">
          <a:off x="5724127" y="576064"/>
          <a:ext cx="0" cy="288072"/>
        </a:xfrm>
        <a:prstGeom xmlns:a="http://schemas.openxmlformats.org/drawingml/2006/main" prst="straightConnector1">
          <a:avLst/>
        </a:prstGeom>
        <a:noFill xmlns:a="http://schemas.openxmlformats.org/drawingml/2006/main"/>
        <a:ln xmlns:a="http://schemas.openxmlformats.org/drawingml/2006/main" w="28575"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0.80712</cdr:x>
      <cdr:y>0.08989</cdr:y>
    </cdr:from>
    <cdr:to>
      <cdr:x>0.80712</cdr:x>
      <cdr:y>0.14607</cdr:y>
    </cdr:to>
    <cdr:sp macro="" textlink="">
      <cdr:nvSpPr>
        <cdr:cNvPr id="17" name="Прямая со стрелкой 16"/>
        <cdr:cNvSpPr/>
      </cdr:nvSpPr>
      <cdr:spPr>
        <a:xfrm xmlns:a="http://schemas.openxmlformats.org/drawingml/2006/main" flipV="1">
          <a:off x="7380311" y="576064"/>
          <a:ext cx="0" cy="360042"/>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0.16925</cdr:x>
      <cdr:y>0.07865</cdr:y>
    </cdr:from>
    <cdr:to>
      <cdr:x>0.16925</cdr:x>
      <cdr:y>0.13483</cdr:y>
    </cdr:to>
    <cdr:sp macro="" textlink="">
      <cdr:nvSpPr>
        <cdr:cNvPr id="18" name="Прямая со стрелкой 17"/>
        <cdr:cNvSpPr/>
      </cdr:nvSpPr>
      <cdr:spPr>
        <a:xfrm xmlns:a="http://schemas.openxmlformats.org/drawingml/2006/main" flipV="1">
          <a:off x="1547663" y="504056"/>
          <a:ext cx="0" cy="360041"/>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0.38188</cdr:x>
      <cdr:y>0.05618</cdr:y>
    </cdr:from>
    <cdr:to>
      <cdr:x>0.51575</cdr:x>
      <cdr:y>0.15115</cdr:y>
    </cdr:to>
    <cdr:sp macro="" textlink="">
      <cdr:nvSpPr>
        <cdr:cNvPr id="19" name="Text Box 7"/>
        <cdr:cNvSpPr txBox="1">
          <a:spLocks xmlns:a="http://schemas.openxmlformats.org/drawingml/2006/main" noChangeArrowheads="1"/>
        </cdr:cNvSpPr>
      </cdr:nvSpPr>
      <cdr:spPr bwMode="auto">
        <a:xfrm xmlns:a="http://schemas.openxmlformats.org/drawingml/2006/main">
          <a:off x="3491879" y="360040"/>
          <a:ext cx="1224136" cy="608636"/>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54864" tIns="45720"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ru-RU" sz="2575" b="1" i="0" u="none" strike="noStrike" baseline="0" dirty="0" smtClean="0">
              <a:solidFill>
                <a:srgbClr val="FF0000"/>
              </a:solidFill>
              <a:latin typeface="Arial Cyr"/>
              <a:cs typeface="Arial Cyr"/>
            </a:rPr>
            <a:t>ИОК </a:t>
          </a:r>
          <a:endParaRPr lang="ru-RU" sz="2575" b="1" i="0" u="none" strike="noStrike" baseline="0" dirty="0">
            <a:solidFill>
              <a:srgbClr val="FF0000"/>
            </a:solidFill>
            <a:latin typeface="Arial Cyr"/>
            <a:cs typeface="Arial Cyr"/>
          </a:endParaRPr>
        </a:p>
      </cdr:txBody>
    </cdr:sp>
  </cdr:relSizeAnchor>
  <cdr:relSizeAnchor xmlns:cdr="http://schemas.openxmlformats.org/drawingml/2006/chartDrawing">
    <cdr:from>
      <cdr:x>0.50787</cdr:x>
      <cdr:y>0.08989</cdr:y>
    </cdr:from>
    <cdr:to>
      <cdr:x>0.50787</cdr:x>
      <cdr:y>0.14607</cdr:y>
    </cdr:to>
    <cdr:sp macro="" textlink="">
      <cdr:nvSpPr>
        <cdr:cNvPr id="20" name="Прямая со стрелкой 19"/>
        <cdr:cNvSpPr/>
      </cdr:nvSpPr>
      <cdr:spPr>
        <a:xfrm xmlns:a="http://schemas.openxmlformats.org/drawingml/2006/main" flipV="1">
          <a:off x="4644007" y="576064"/>
          <a:ext cx="0" cy="360042"/>
        </a:xfrm>
        <a:prstGeom xmlns:a="http://schemas.openxmlformats.org/drawingml/2006/main" prst="straightConnector1">
          <a:avLst/>
        </a:prstGeom>
        <a:noFill xmlns:a="http://schemas.openxmlformats.org/drawingml/2006/main"/>
        <a:ln xmlns:a="http://schemas.openxmlformats.org/drawingml/2006/main" w="25400" cap="flat" cmpd="sng" algn="ctr">
          <a:solidFill>
            <a:srgbClr val="FF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0.91737</cdr:x>
      <cdr:y>0.11236</cdr:y>
    </cdr:from>
    <cdr:to>
      <cdr:x>0.91737</cdr:x>
      <cdr:y>0.15731</cdr:y>
    </cdr:to>
    <cdr:sp macro="" textlink="">
      <cdr:nvSpPr>
        <cdr:cNvPr id="22" name="Прямая со стрелкой 21"/>
        <cdr:cNvSpPr/>
      </cdr:nvSpPr>
      <cdr:spPr>
        <a:xfrm xmlns:a="http://schemas.openxmlformats.org/drawingml/2006/main">
          <a:off x="8388423" y="720080"/>
          <a:ext cx="0" cy="288072"/>
        </a:xfrm>
        <a:prstGeom xmlns:a="http://schemas.openxmlformats.org/drawingml/2006/main" prst="straightConnector1">
          <a:avLst/>
        </a:prstGeom>
        <a:noFill xmlns:a="http://schemas.openxmlformats.org/drawingml/2006/main"/>
        <a:ln xmlns:a="http://schemas.openxmlformats.org/drawingml/2006/main" w="28575"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0.09051</cdr:x>
      <cdr:y>0.25843</cdr:y>
    </cdr:from>
    <cdr:to>
      <cdr:x>0.1535</cdr:x>
      <cdr:y>0.85393</cdr:y>
    </cdr:to>
    <cdr:sp macro="" textlink="">
      <cdr:nvSpPr>
        <cdr:cNvPr id="25" name="Овал 24"/>
        <cdr:cNvSpPr/>
      </cdr:nvSpPr>
      <cdr:spPr>
        <a:xfrm xmlns:a="http://schemas.openxmlformats.org/drawingml/2006/main">
          <a:off x="827583" y="1656184"/>
          <a:ext cx="575981" cy="3816388"/>
        </a:xfrm>
        <a:prstGeom xmlns:a="http://schemas.openxmlformats.org/drawingml/2006/main" prst="ellipse">
          <a:avLst/>
        </a:prstGeom>
        <a:noFill xmlns:a="http://schemas.openxmlformats.org/drawingml/2006/main"/>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0.16919</cdr:x>
      <cdr:y>0.08543</cdr:y>
    </cdr:from>
    <cdr:to>
      <cdr:x>0.30307</cdr:x>
      <cdr:y>0.5461</cdr:y>
    </cdr:to>
    <cdr:sp macro="" textlink="">
      <cdr:nvSpPr>
        <cdr:cNvPr id="26" name="Овал 25"/>
        <cdr:cNvSpPr/>
      </cdr:nvSpPr>
      <cdr:spPr>
        <a:xfrm xmlns:a="http://schemas.openxmlformats.org/drawingml/2006/main" flipH="1">
          <a:off x="1031249" y="364529"/>
          <a:ext cx="816010" cy="1965771"/>
        </a:xfrm>
        <a:prstGeom xmlns:a="http://schemas.openxmlformats.org/drawingml/2006/main" prst="ellipse">
          <a:avLst/>
        </a:prstGeom>
        <a:noFill xmlns:a="http://schemas.openxmlformats.org/drawingml/2006/main"/>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0.66525</cdr:x>
      <cdr:y>0.53409</cdr:y>
    </cdr:from>
    <cdr:to>
      <cdr:x>0.71828</cdr:x>
      <cdr:y>0.75791</cdr:y>
    </cdr:to>
    <cdr:sp macro="" textlink="">
      <cdr:nvSpPr>
        <cdr:cNvPr id="27" name="Овал 26"/>
        <cdr:cNvSpPr/>
      </cdr:nvSpPr>
      <cdr:spPr>
        <a:xfrm xmlns:a="http://schemas.openxmlformats.org/drawingml/2006/main" rot="20691678">
          <a:off x="6083020" y="3422803"/>
          <a:ext cx="484894" cy="1434398"/>
        </a:xfrm>
        <a:prstGeom xmlns:a="http://schemas.openxmlformats.org/drawingml/2006/main" prst="ellipse">
          <a:avLst/>
        </a:prstGeom>
        <a:noFill xmlns:a="http://schemas.openxmlformats.org/drawingml/2006/main"/>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0.70475</cdr:x>
      <cdr:y>0.40449</cdr:y>
    </cdr:from>
    <cdr:to>
      <cdr:x>0.7835</cdr:x>
      <cdr:y>0.78652</cdr:y>
    </cdr:to>
    <cdr:sp macro="" textlink="">
      <cdr:nvSpPr>
        <cdr:cNvPr id="28" name="Овал 27"/>
        <cdr:cNvSpPr/>
      </cdr:nvSpPr>
      <cdr:spPr>
        <a:xfrm xmlns:a="http://schemas.openxmlformats.org/drawingml/2006/main">
          <a:off x="6444207" y="2592288"/>
          <a:ext cx="720080" cy="2448272"/>
        </a:xfrm>
        <a:prstGeom xmlns:a="http://schemas.openxmlformats.org/drawingml/2006/main" prst="ellipse">
          <a:avLst/>
        </a:prstGeom>
        <a:noFill xmlns:a="http://schemas.openxmlformats.org/drawingml/2006/main"/>
        <a:ln xmlns:a="http://schemas.openxmlformats.org/drawingml/2006/main" w="158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0.87012</cdr:x>
      <cdr:y>0.05618</cdr:y>
    </cdr:from>
    <cdr:to>
      <cdr:x>0.91737</cdr:x>
      <cdr:y>0.32584</cdr:y>
    </cdr:to>
    <cdr:sp macro="" textlink="">
      <cdr:nvSpPr>
        <cdr:cNvPr id="24" name="TextBox 23"/>
        <cdr:cNvSpPr txBox="1"/>
      </cdr:nvSpPr>
      <cdr:spPr>
        <a:xfrm xmlns:a="http://schemas.openxmlformats.org/drawingml/2006/main">
          <a:off x="7956375" y="360040"/>
          <a:ext cx="432048" cy="17281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b="1" dirty="0" smtClean="0"/>
            <a:t>ИОК</a:t>
          </a:r>
          <a:endParaRPr lang="ru-RU" sz="2000" b="1" dirty="0"/>
        </a:p>
      </cdr:txBody>
    </cdr:sp>
  </cdr:relSizeAnchor>
</c:userShapes>
</file>

<file path=word/drawings/drawing30.xml><?xml version="1.0" encoding="utf-8"?>
<c:userShapes xmlns:c="http://schemas.openxmlformats.org/drawingml/2006/chart">
  <cdr:relSizeAnchor xmlns:cdr="http://schemas.openxmlformats.org/drawingml/2006/chartDrawing">
    <cdr:from>
      <cdr:x>0.11978</cdr:x>
      <cdr:y>0.01674</cdr:y>
    </cdr:from>
    <cdr:to>
      <cdr:x>0.15402</cdr:x>
      <cdr:y>0.91305</cdr:y>
    </cdr:to>
    <cdr:sp macro="" textlink="">
      <cdr:nvSpPr>
        <cdr:cNvPr id="2" name="Прямоугольник 1"/>
        <cdr:cNvSpPr/>
      </cdr:nvSpPr>
      <cdr:spPr>
        <a:xfrm xmlns:a="http://schemas.openxmlformats.org/drawingml/2006/main">
          <a:off x="1201167" y="130983"/>
          <a:ext cx="343368" cy="7012148"/>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0.15471</cdr:x>
      <cdr:y>0.0169</cdr:y>
    </cdr:from>
    <cdr:to>
      <cdr:x>0.18612</cdr:x>
      <cdr:y>0.91731</cdr:y>
    </cdr:to>
    <cdr:sp macro="" textlink="">
      <cdr:nvSpPr>
        <cdr:cNvPr id="3" name="Прямоугольник 2"/>
        <cdr:cNvSpPr/>
      </cdr:nvSpPr>
      <cdr:spPr>
        <a:xfrm xmlns:a="http://schemas.openxmlformats.org/drawingml/2006/main">
          <a:off x="1551478" y="132235"/>
          <a:ext cx="314988" cy="7044223"/>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0.25096</cdr:x>
      <cdr:y>0.01247</cdr:y>
    </cdr:from>
    <cdr:to>
      <cdr:x>0.2982</cdr:x>
      <cdr:y>0.91362</cdr:y>
    </cdr:to>
    <cdr:sp macro="" textlink="">
      <cdr:nvSpPr>
        <cdr:cNvPr id="4" name="Прямоугольник 3"/>
        <cdr:cNvSpPr/>
      </cdr:nvSpPr>
      <cdr:spPr>
        <a:xfrm xmlns:a="http://schemas.openxmlformats.org/drawingml/2006/main">
          <a:off x="2530474" y="95250"/>
          <a:ext cx="476250" cy="6881018"/>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0.41565</cdr:x>
      <cdr:y>0.01996</cdr:y>
    </cdr:from>
    <cdr:to>
      <cdr:x>0.45312</cdr:x>
      <cdr:y>0.91362</cdr:y>
    </cdr:to>
    <cdr:sp macro="" textlink="">
      <cdr:nvSpPr>
        <cdr:cNvPr id="5" name="Прямоугольник 4"/>
        <cdr:cNvSpPr/>
      </cdr:nvSpPr>
      <cdr:spPr>
        <a:xfrm xmlns:a="http://schemas.openxmlformats.org/drawingml/2006/main">
          <a:off x="4191000" y="152400"/>
          <a:ext cx="377824" cy="6823868"/>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0.64375</cdr:x>
      <cdr:y>0.02519</cdr:y>
    </cdr:from>
    <cdr:to>
      <cdr:x>0.68154</cdr:x>
      <cdr:y>0.92135</cdr:y>
    </cdr:to>
    <cdr:sp macro="" textlink="">
      <cdr:nvSpPr>
        <cdr:cNvPr id="6" name="Прямоугольник 5"/>
        <cdr:cNvSpPr/>
      </cdr:nvSpPr>
      <cdr:spPr>
        <a:xfrm xmlns:a="http://schemas.openxmlformats.org/drawingml/2006/main">
          <a:off x="6455723" y="197072"/>
          <a:ext cx="378968" cy="7010974"/>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0.68336</cdr:x>
      <cdr:y>0.02189</cdr:y>
    </cdr:from>
    <cdr:to>
      <cdr:x>0.72115</cdr:x>
      <cdr:y>0.91804</cdr:y>
    </cdr:to>
    <cdr:sp macro="" textlink="">
      <cdr:nvSpPr>
        <cdr:cNvPr id="8" name="Прямоугольник 7"/>
        <cdr:cNvSpPr/>
      </cdr:nvSpPr>
      <cdr:spPr>
        <a:xfrm xmlns:a="http://schemas.openxmlformats.org/drawingml/2006/main">
          <a:off x="6852920" y="171273"/>
          <a:ext cx="378968" cy="7010896"/>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0.72417</cdr:x>
      <cdr:y>0.02213</cdr:y>
    </cdr:from>
    <cdr:to>
      <cdr:x>0.76195</cdr:x>
      <cdr:y>0.91829</cdr:y>
    </cdr:to>
    <cdr:sp macro="" textlink="">
      <cdr:nvSpPr>
        <cdr:cNvPr id="9" name="Прямоугольник 8"/>
        <cdr:cNvSpPr/>
      </cdr:nvSpPr>
      <cdr:spPr>
        <a:xfrm xmlns:a="http://schemas.openxmlformats.org/drawingml/2006/main">
          <a:off x="7262126" y="173152"/>
          <a:ext cx="378869" cy="7010974"/>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0.18612</cdr:x>
      <cdr:y>0.02061</cdr:y>
    </cdr:from>
    <cdr:to>
      <cdr:x>0.2223</cdr:x>
      <cdr:y>0.91731</cdr:y>
    </cdr:to>
    <cdr:sp macro="" textlink="">
      <cdr:nvSpPr>
        <cdr:cNvPr id="10" name="Прямоугольник 9"/>
        <cdr:cNvSpPr/>
      </cdr:nvSpPr>
      <cdr:spPr>
        <a:xfrm xmlns:a="http://schemas.openxmlformats.org/drawingml/2006/main">
          <a:off x="1866490" y="161221"/>
          <a:ext cx="362823" cy="7015199"/>
        </a:xfrm>
        <a:prstGeom xmlns:a="http://schemas.openxmlformats.org/drawingml/2006/main" prst="rect">
          <a:avLst/>
        </a:prstGeom>
        <a:blipFill xmlns:a="http://schemas.openxmlformats.org/drawingml/2006/main" dpi="0" rotWithShape="1">
          <a:blip xmlns:r="http://schemas.openxmlformats.org/officeDocument/2006/relationships" r:embed="rId1">
            <a:alphaModFix amt="57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0.10621</cdr:x>
      <cdr:y>0.36653</cdr:y>
    </cdr:from>
    <cdr:to>
      <cdr:x>0.63991</cdr:x>
      <cdr:y>0.36653</cdr:y>
    </cdr:to>
    <cdr:sp macro="" textlink="">
      <cdr:nvSpPr>
        <cdr:cNvPr id="12" name="Прямая со стрелкой 11"/>
        <cdr:cNvSpPr/>
      </cdr:nvSpPr>
      <cdr:spPr>
        <a:xfrm xmlns:a="http://schemas.openxmlformats.org/drawingml/2006/main" flipH="1">
          <a:off x="1065148" y="2867493"/>
          <a:ext cx="5352091" cy="0"/>
        </a:xfrm>
        <a:prstGeom xmlns:a="http://schemas.openxmlformats.org/drawingml/2006/main" prst="straightConnector1">
          <a:avLst/>
        </a:prstGeom>
        <a:ln xmlns:a="http://schemas.openxmlformats.org/drawingml/2006/main" w="25400">
          <a:solidFill>
            <a:schemeClr val="tx1"/>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0.01425</cdr:x>
      <cdr:y>0.3353</cdr:y>
    </cdr:from>
    <cdr:to>
      <cdr:x>0.15422</cdr:x>
      <cdr:y>0.40905</cdr:y>
    </cdr:to>
    <cdr:sp macro="" textlink="">
      <cdr:nvSpPr>
        <cdr:cNvPr id="13" name="TextBox 12"/>
        <cdr:cNvSpPr txBox="1"/>
      </cdr:nvSpPr>
      <cdr:spPr>
        <a:xfrm xmlns:a="http://schemas.openxmlformats.org/drawingml/2006/main">
          <a:off x="142888" y="2623192"/>
          <a:ext cx="1403637" cy="5769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b="1">
              <a:solidFill>
                <a:schemeClr val="tx1"/>
              </a:solidFill>
            </a:rPr>
            <a:t>21,7%</a:t>
          </a:r>
        </a:p>
      </cdr:txBody>
    </cdr:sp>
  </cdr:relSizeAnchor>
  <cdr:relSizeAnchor xmlns:cdr="http://schemas.openxmlformats.org/drawingml/2006/chartDrawing">
    <cdr:from>
      <cdr:x>0.1076</cdr:x>
      <cdr:y>0.49973</cdr:y>
    </cdr:from>
    <cdr:to>
      <cdr:x>0.64131</cdr:x>
      <cdr:y>0.49973</cdr:y>
    </cdr:to>
    <cdr:sp macro="" textlink="">
      <cdr:nvSpPr>
        <cdr:cNvPr id="15" name="Прямая со стрелкой 14"/>
        <cdr:cNvSpPr/>
      </cdr:nvSpPr>
      <cdr:spPr>
        <a:xfrm xmlns:a="http://schemas.openxmlformats.org/drawingml/2006/main" flipH="1">
          <a:off x="1079035" y="3909545"/>
          <a:ext cx="5352190" cy="0"/>
        </a:xfrm>
        <a:prstGeom xmlns:a="http://schemas.openxmlformats.org/drawingml/2006/main" prst="straightConnector1">
          <a:avLst/>
        </a:prstGeom>
        <a:ln xmlns:a="http://schemas.openxmlformats.org/drawingml/2006/main" w="25400">
          <a:solidFill>
            <a:srgbClr val="FF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0.01658</cdr:x>
      <cdr:y>0.47058</cdr:y>
    </cdr:from>
    <cdr:to>
      <cdr:x>0.16025</cdr:x>
      <cdr:y>0.53629</cdr:y>
    </cdr:to>
    <cdr:sp macro="" textlink="">
      <cdr:nvSpPr>
        <cdr:cNvPr id="16" name="TextBox 15"/>
        <cdr:cNvSpPr txBox="1"/>
      </cdr:nvSpPr>
      <cdr:spPr>
        <a:xfrm xmlns:a="http://schemas.openxmlformats.org/drawingml/2006/main">
          <a:off x="166310" y="3681527"/>
          <a:ext cx="1440691" cy="5140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800" b="1">
              <a:solidFill>
                <a:srgbClr val="FF0000"/>
              </a:solidFill>
            </a:rPr>
            <a:t>7,5 </a:t>
          </a:r>
          <a:r>
            <a:rPr lang="ru-RU" sz="1800">
              <a:solidFill>
                <a:srgbClr val="FF0000"/>
              </a:solidFill>
            </a:rPr>
            <a:t>%</a:t>
          </a:r>
        </a:p>
      </cdr:txBody>
    </cdr:sp>
  </cdr:relSizeAnchor>
</c:userShapes>
</file>

<file path=word/drawings/drawing31.xml><?xml version="1.0" encoding="utf-8"?>
<c:userShapes xmlns:c="http://schemas.openxmlformats.org/drawingml/2006/chart">
  <cdr:relSizeAnchor xmlns:cdr="http://schemas.openxmlformats.org/drawingml/2006/chartDrawing">
    <cdr:from>
      <cdr:x>0.10996</cdr:x>
      <cdr:y>0.21535</cdr:y>
    </cdr:from>
    <cdr:to>
      <cdr:x>0.24514</cdr:x>
      <cdr:y>0.83911</cdr:y>
    </cdr:to>
    <cdr:sp macro="" textlink="">
      <cdr:nvSpPr>
        <cdr:cNvPr id="2" name="Овал 1"/>
        <cdr:cNvSpPr/>
      </cdr:nvSpPr>
      <cdr:spPr>
        <a:xfrm xmlns:a="http://schemas.openxmlformats.org/drawingml/2006/main">
          <a:off x="1091860" y="1391240"/>
          <a:ext cx="1342305" cy="4029720"/>
        </a:xfrm>
        <a:prstGeom xmlns:a="http://schemas.openxmlformats.org/drawingml/2006/main" prst="ellipse">
          <a:avLst/>
        </a:prstGeom>
        <a:solidFill xmlns:a="http://schemas.openxmlformats.org/drawingml/2006/main">
          <a:srgbClr val="FF0000">
            <a:alpha val="0"/>
          </a:srgb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0.45523</cdr:x>
      <cdr:y>0.06839</cdr:y>
    </cdr:from>
    <cdr:to>
      <cdr:x>0.6009</cdr:x>
      <cdr:y>0.80278</cdr:y>
    </cdr:to>
    <cdr:sp macro="" textlink="">
      <cdr:nvSpPr>
        <cdr:cNvPr id="3" name="Овал 2"/>
        <cdr:cNvSpPr/>
      </cdr:nvSpPr>
      <cdr:spPr>
        <a:xfrm xmlns:a="http://schemas.openxmlformats.org/drawingml/2006/main" rot="383327">
          <a:off x="4520271" y="441796"/>
          <a:ext cx="1446481" cy="4744469"/>
        </a:xfrm>
        <a:prstGeom xmlns:a="http://schemas.openxmlformats.org/drawingml/2006/main" prst="ellipse">
          <a:avLst/>
        </a:prstGeom>
        <a:solidFill xmlns:a="http://schemas.openxmlformats.org/drawingml/2006/main">
          <a:schemeClr val="accent1">
            <a:alpha val="0"/>
          </a:schemeClr>
        </a:solid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0.0844</cdr:x>
      <cdr:y>0.15487</cdr:y>
    </cdr:from>
    <cdr:to>
      <cdr:x>0.12303</cdr:x>
      <cdr:y>0.98161</cdr:y>
    </cdr:to>
    <cdr:sp macro="" textlink="">
      <cdr:nvSpPr>
        <cdr:cNvPr id="5" name="Прямоугольник 4"/>
        <cdr:cNvSpPr/>
      </cdr:nvSpPr>
      <cdr:spPr>
        <a:xfrm xmlns:a="http://schemas.openxmlformats.org/drawingml/2006/main">
          <a:off x="838065" y="1000519"/>
          <a:ext cx="383581" cy="5341046"/>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0.42127</cdr:x>
      <cdr:y>0.11589</cdr:y>
    </cdr:from>
    <cdr:to>
      <cdr:x>0.45693</cdr:x>
      <cdr:y>0.96985</cdr:y>
    </cdr:to>
    <cdr:sp macro="" textlink="">
      <cdr:nvSpPr>
        <cdr:cNvPr id="6" name="Прямоугольник 5"/>
        <cdr:cNvSpPr/>
      </cdr:nvSpPr>
      <cdr:spPr>
        <a:xfrm xmlns:a="http://schemas.openxmlformats.org/drawingml/2006/main">
          <a:off x="4158722" y="732217"/>
          <a:ext cx="352031" cy="5395533"/>
        </a:xfrm>
        <a:prstGeom xmlns:a="http://schemas.openxmlformats.org/drawingml/2006/main" prst="rect">
          <a:avLst/>
        </a:prstGeom>
        <a:blipFill xmlns:a="http://schemas.openxmlformats.org/drawingml/2006/main" dpi="0" rotWithShape="1">
          <a:blip xmlns:r="http://schemas.openxmlformats.org/officeDocument/2006/relationships" r:embed="rId1">
            <a:alphaModFix amt="63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0.68157</cdr:x>
      <cdr:y>0.11898</cdr:y>
    </cdr:from>
    <cdr:to>
      <cdr:x>0.71723</cdr:x>
      <cdr:y>0.98036</cdr:y>
    </cdr:to>
    <cdr:sp macro="" textlink="">
      <cdr:nvSpPr>
        <cdr:cNvPr id="7" name="Прямоугольник 6"/>
        <cdr:cNvSpPr/>
      </cdr:nvSpPr>
      <cdr:spPr>
        <a:xfrm xmlns:a="http://schemas.openxmlformats.org/drawingml/2006/main">
          <a:off x="6119008" y="667937"/>
          <a:ext cx="320148" cy="4835478"/>
        </a:xfrm>
        <a:prstGeom xmlns:a="http://schemas.openxmlformats.org/drawingml/2006/main" prst="rect">
          <a:avLst/>
        </a:prstGeom>
        <a:blipFill xmlns:a="http://schemas.openxmlformats.org/drawingml/2006/main" dpi="0" rotWithShape="1">
          <a:blip xmlns:r="http://schemas.openxmlformats.org/officeDocument/2006/relationships" r:embed="rId1">
            <a:alphaModFix amt="65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0.6467</cdr:x>
      <cdr:y>0.11772</cdr:y>
    </cdr:from>
    <cdr:to>
      <cdr:x>0.68236</cdr:x>
      <cdr:y>0.98158</cdr:y>
    </cdr:to>
    <cdr:sp macro="" textlink="">
      <cdr:nvSpPr>
        <cdr:cNvPr id="8" name="Прямоугольник 7"/>
        <cdr:cNvSpPr/>
      </cdr:nvSpPr>
      <cdr:spPr>
        <a:xfrm xmlns:a="http://schemas.openxmlformats.org/drawingml/2006/main">
          <a:off x="5805952" y="660864"/>
          <a:ext cx="320148" cy="4849399"/>
        </a:xfrm>
        <a:prstGeom xmlns:a="http://schemas.openxmlformats.org/drawingml/2006/main" prst="rect">
          <a:avLst/>
        </a:prstGeom>
        <a:blipFill xmlns:a="http://schemas.openxmlformats.org/drawingml/2006/main" dpi="0" rotWithShape="1">
          <a:blip xmlns:r="http://schemas.openxmlformats.org/officeDocument/2006/relationships" r:embed="rId1">
            <a:alphaModFix amt="62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0.56892</cdr:y>
    </cdr:from>
    <cdr:to>
      <cdr:x>0.10963</cdr:x>
      <cdr:y>0.65334</cdr:y>
    </cdr:to>
    <cdr:sp macro="" textlink="">
      <cdr:nvSpPr>
        <cdr:cNvPr id="11" name="TextBox 10"/>
        <cdr:cNvSpPr txBox="1"/>
      </cdr:nvSpPr>
      <cdr:spPr>
        <a:xfrm xmlns:a="http://schemas.openxmlformats.org/drawingml/2006/main">
          <a:off x="0" y="3675406"/>
          <a:ext cx="1088570" cy="5453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FF0000"/>
              </a:solidFill>
            </a:rPr>
            <a:t>0,34</a:t>
          </a:r>
        </a:p>
      </cdr:txBody>
    </cdr:sp>
  </cdr:relSizeAnchor>
  <cdr:relSizeAnchor xmlns:cdr="http://schemas.openxmlformats.org/drawingml/2006/chartDrawing">
    <cdr:from>
      <cdr:x>0.78625</cdr:x>
      <cdr:y>0.56038</cdr:y>
    </cdr:from>
    <cdr:to>
      <cdr:x>0.78664</cdr:x>
      <cdr:y>0.63035</cdr:y>
    </cdr:to>
    <cdr:sp macro="" textlink="">
      <cdr:nvSpPr>
        <cdr:cNvPr id="15" name="Прямая со стрелкой 14"/>
        <cdr:cNvSpPr/>
      </cdr:nvSpPr>
      <cdr:spPr>
        <a:xfrm xmlns:a="http://schemas.openxmlformats.org/drawingml/2006/main" flipH="1">
          <a:off x="7058775" y="3145798"/>
          <a:ext cx="3533" cy="392734"/>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0.0307</cdr:x>
      <cdr:y>0.64385</cdr:y>
    </cdr:from>
    <cdr:to>
      <cdr:x>0.88369</cdr:x>
      <cdr:y>0.64385</cdr:y>
    </cdr:to>
    <cdr:sp macro="" textlink="">
      <cdr:nvSpPr>
        <cdr:cNvPr id="26" name="Прямая со стрелкой 9"/>
        <cdr:cNvSpPr/>
      </cdr:nvSpPr>
      <cdr:spPr>
        <a:xfrm xmlns:a="http://schemas.openxmlformats.org/drawingml/2006/main" flipH="1">
          <a:off x="302064" y="4067974"/>
          <a:ext cx="8392169" cy="0"/>
        </a:xfrm>
        <a:prstGeom xmlns:a="http://schemas.openxmlformats.org/drawingml/2006/main" prst="straightConnector1">
          <a:avLst/>
        </a:prstGeom>
        <a:ln xmlns:a="http://schemas.openxmlformats.org/drawingml/2006/main" w="25400">
          <a:solidFill>
            <a:srgbClr val="FF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0.00152</cdr:x>
      <cdr:y>0.58296</cdr:y>
    </cdr:from>
    <cdr:to>
      <cdr:x>0.08572</cdr:x>
      <cdr:y>0.66738</cdr:y>
    </cdr:to>
    <cdr:sp macro="" textlink="">
      <cdr:nvSpPr>
        <cdr:cNvPr id="27" name="TextBox 10"/>
        <cdr:cNvSpPr txBox="1"/>
      </cdr:nvSpPr>
      <cdr:spPr>
        <a:xfrm xmlns:a="http://schemas.openxmlformats.org/drawingml/2006/main">
          <a:off x="15118" y="3766120"/>
          <a:ext cx="836023" cy="5453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200" b="1">
            <a:solidFill>
              <a:srgbClr val="FF0000"/>
            </a:solidFill>
          </a:endParaRPr>
        </a:p>
      </cdr:txBody>
    </cdr:sp>
  </cdr:relSizeAnchor>
  <cdr:relSizeAnchor xmlns:cdr="http://schemas.openxmlformats.org/drawingml/2006/chartDrawing">
    <cdr:from>
      <cdr:x>0.82356</cdr:x>
      <cdr:y>0.57387</cdr:y>
    </cdr:from>
    <cdr:to>
      <cdr:x>0.82356</cdr:x>
      <cdr:y>0.63794</cdr:y>
    </cdr:to>
    <cdr:sp macro="" textlink="">
      <cdr:nvSpPr>
        <cdr:cNvPr id="32" name="Прямая со стрелкой 31"/>
        <cdr:cNvSpPr/>
      </cdr:nvSpPr>
      <cdr:spPr>
        <a:xfrm xmlns:a="http://schemas.openxmlformats.org/drawingml/2006/main">
          <a:off x="8102600" y="3625849"/>
          <a:ext cx="0" cy="404812"/>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0.86833</cdr:x>
      <cdr:y>0.57575</cdr:y>
    </cdr:from>
    <cdr:to>
      <cdr:x>0.86833</cdr:x>
      <cdr:y>0.64359</cdr:y>
    </cdr:to>
    <cdr:sp macro="" textlink="">
      <cdr:nvSpPr>
        <cdr:cNvPr id="36" name="Прямая со стрелкой 35"/>
        <cdr:cNvSpPr/>
      </cdr:nvSpPr>
      <cdr:spPr>
        <a:xfrm xmlns:a="http://schemas.openxmlformats.org/drawingml/2006/main">
          <a:off x="8543131" y="3637755"/>
          <a:ext cx="0" cy="428625"/>
        </a:xfrm>
        <a:prstGeom xmlns:a="http://schemas.openxmlformats.org/drawingml/2006/main" prst="straightConnector1">
          <a:avLst/>
        </a:prstGeom>
        <a:ln xmlns:a="http://schemas.openxmlformats.org/drawingml/2006/main" w="19050">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0.2535</cdr:x>
      <cdr:y>0.14639</cdr:y>
    </cdr:from>
    <cdr:to>
      <cdr:x>0.29213</cdr:x>
      <cdr:y>0.97313</cdr:y>
    </cdr:to>
    <cdr:sp macro="" textlink="">
      <cdr:nvSpPr>
        <cdr:cNvPr id="14" name="Прямоугольник 13"/>
        <cdr:cNvSpPr/>
      </cdr:nvSpPr>
      <cdr:spPr>
        <a:xfrm xmlns:a="http://schemas.openxmlformats.org/drawingml/2006/main">
          <a:off x="2517138" y="945737"/>
          <a:ext cx="383582" cy="5341045"/>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0.60653</cdr:x>
      <cdr:y>0.12981</cdr:y>
    </cdr:from>
    <cdr:to>
      <cdr:x>0.64452</cdr:x>
      <cdr:y>0.98144</cdr:y>
    </cdr:to>
    <cdr:sp macro="" textlink="">
      <cdr:nvSpPr>
        <cdr:cNvPr id="16" name="Прямоугольник 15"/>
        <cdr:cNvSpPr/>
      </cdr:nvSpPr>
      <cdr:spPr>
        <a:xfrm xmlns:a="http://schemas.openxmlformats.org/drawingml/2006/main">
          <a:off x="5445315" y="728732"/>
          <a:ext cx="341067" cy="4780746"/>
        </a:xfrm>
        <a:prstGeom xmlns:a="http://schemas.openxmlformats.org/drawingml/2006/main" prst="rect">
          <a:avLst/>
        </a:prstGeom>
        <a:blipFill xmlns:a="http://schemas.openxmlformats.org/drawingml/2006/main" dpi="0" rotWithShape="1">
          <a:blip xmlns:r="http://schemas.openxmlformats.org/officeDocument/2006/relationships" r:embed="rId1">
            <a:alphaModFix amt="49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32.xml><?xml version="1.0" encoding="utf-8"?>
<c:userShapes xmlns:c="http://schemas.openxmlformats.org/drawingml/2006/chart">
  <cdr:relSizeAnchor xmlns:cdr="http://schemas.openxmlformats.org/drawingml/2006/chartDrawing">
    <cdr:from>
      <cdr:x>0.24226</cdr:x>
      <cdr:y>0.13942</cdr:y>
    </cdr:from>
    <cdr:to>
      <cdr:x>0.27687</cdr:x>
      <cdr:y>0.95673</cdr:y>
    </cdr:to>
    <cdr:sp macro="" textlink="">
      <cdr:nvSpPr>
        <cdr:cNvPr id="3" name="Прямоугольник 2"/>
        <cdr:cNvSpPr/>
      </cdr:nvSpPr>
      <cdr:spPr>
        <a:xfrm xmlns:a="http://schemas.openxmlformats.org/drawingml/2006/main">
          <a:off x="2111387" y="460375"/>
          <a:ext cx="301613" cy="2698748"/>
        </a:xfrm>
        <a:prstGeom xmlns:a="http://schemas.openxmlformats.org/drawingml/2006/main" prst="rect">
          <a:avLst/>
        </a:prstGeom>
        <a:blipFill xmlns:a="http://schemas.openxmlformats.org/drawingml/2006/main" dpi="0" rotWithShape="1">
          <a:blip xmlns:r="http://schemas.openxmlformats.org/officeDocument/2006/relationships" r:embed="rId1">
            <a:alphaModFix amt="62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0.10757</cdr:x>
      <cdr:y>0.19231</cdr:y>
    </cdr:from>
    <cdr:to>
      <cdr:x>0.25498</cdr:x>
      <cdr:y>0.375</cdr:y>
    </cdr:to>
    <cdr:sp macro="" textlink="">
      <cdr:nvSpPr>
        <cdr:cNvPr id="4" name="TextBox 3"/>
        <cdr:cNvSpPr txBox="1"/>
      </cdr:nvSpPr>
      <cdr:spPr>
        <a:xfrm xmlns:a="http://schemas.openxmlformats.org/drawingml/2006/main">
          <a:off x="816427" y="677458"/>
          <a:ext cx="1118809" cy="6435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FF0000"/>
              </a:solidFill>
            </a:rPr>
            <a:t>Рост ИОКмо</a:t>
          </a:r>
        </a:p>
      </cdr:txBody>
    </cdr:sp>
  </cdr:relSizeAnchor>
  <cdr:relSizeAnchor xmlns:cdr="http://schemas.openxmlformats.org/drawingml/2006/chartDrawing">
    <cdr:from>
      <cdr:x>0.40255</cdr:x>
      <cdr:y>0.12981</cdr:y>
    </cdr:from>
    <cdr:to>
      <cdr:x>0.43898</cdr:x>
      <cdr:y>0.96154</cdr:y>
    </cdr:to>
    <cdr:sp macro="" textlink="">
      <cdr:nvSpPr>
        <cdr:cNvPr id="5" name="Прямоугольник 4"/>
        <cdr:cNvSpPr/>
      </cdr:nvSpPr>
      <cdr:spPr>
        <a:xfrm xmlns:a="http://schemas.openxmlformats.org/drawingml/2006/main">
          <a:off x="3508375" y="428625"/>
          <a:ext cx="317500" cy="2746375"/>
        </a:xfrm>
        <a:prstGeom xmlns:a="http://schemas.openxmlformats.org/drawingml/2006/main" prst="rect">
          <a:avLst/>
        </a:prstGeom>
        <a:blipFill xmlns:a="http://schemas.openxmlformats.org/drawingml/2006/main" dpi="0" rotWithShape="1">
          <a:blip xmlns:r="http://schemas.openxmlformats.org/officeDocument/2006/relationships" r:embed="rId1">
            <a:alphaModFix amt="64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200" b="1">
              <a:solidFill>
                <a:srgbClr val="FF0000"/>
              </a:solidFill>
            </a:rPr>
            <a:t>Падение</a:t>
          </a:r>
          <a:r>
            <a:rPr lang="ru-RU" sz="1200" b="1" baseline="0">
              <a:solidFill>
                <a:srgbClr val="FF0000"/>
              </a:solidFill>
            </a:rPr>
            <a:t> ИОК</a:t>
          </a:r>
          <a:endParaRPr lang="ru-RU" sz="1200" b="1">
            <a:solidFill>
              <a:srgbClr val="FF0000"/>
            </a:solidFill>
          </a:endParaRPr>
        </a:p>
      </cdr:txBody>
    </cdr:sp>
  </cdr:relSizeAnchor>
  <cdr:relSizeAnchor xmlns:cdr="http://schemas.openxmlformats.org/drawingml/2006/chartDrawing">
    <cdr:from>
      <cdr:x>0.28415</cdr:x>
      <cdr:y>0.1875</cdr:y>
    </cdr:from>
    <cdr:to>
      <cdr:x>0.40984</cdr:x>
      <cdr:y>0.36058</cdr:y>
    </cdr:to>
    <cdr:sp macro="" textlink="">
      <cdr:nvSpPr>
        <cdr:cNvPr id="7" name="TextBox 6"/>
        <cdr:cNvSpPr txBox="1"/>
      </cdr:nvSpPr>
      <cdr:spPr>
        <a:xfrm xmlns:a="http://schemas.openxmlformats.org/drawingml/2006/main">
          <a:off x="2476473" y="619125"/>
          <a:ext cx="1095401" cy="57151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FF0000"/>
              </a:solidFill>
            </a:rPr>
            <a:t>Рост ИОКмо</a:t>
          </a:r>
        </a:p>
      </cdr:txBody>
    </cdr:sp>
  </cdr:relSizeAnchor>
  <cdr:relSizeAnchor xmlns:cdr="http://schemas.openxmlformats.org/drawingml/2006/chartDrawing">
    <cdr:from>
      <cdr:x>0.6073</cdr:x>
      <cdr:y>0.07296</cdr:y>
    </cdr:from>
    <cdr:to>
      <cdr:x>0.63944</cdr:x>
      <cdr:y>0.95931</cdr:y>
    </cdr:to>
    <cdr:sp macro="" textlink="">
      <cdr:nvSpPr>
        <cdr:cNvPr id="8" name="Прямоугольник 7"/>
        <cdr:cNvSpPr/>
      </cdr:nvSpPr>
      <cdr:spPr>
        <a:xfrm xmlns:a="http://schemas.openxmlformats.org/drawingml/2006/main">
          <a:off x="4609292" y="257024"/>
          <a:ext cx="243921" cy="3122377"/>
        </a:xfrm>
        <a:prstGeom xmlns:a="http://schemas.openxmlformats.org/drawingml/2006/main" prst="rect">
          <a:avLst/>
        </a:prstGeom>
        <a:blipFill xmlns:a="http://schemas.openxmlformats.org/drawingml/2006/main" dpi="0" rotWithShape="1">
          <a:blip xmlns:r="http://schemas.openxmlformats.org/officeDocument/2006/relationships" r:embed="rId1">
            <a:alphaModFix amt="63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ru-RU" sz="1400" b="1">
              <a:solidFill>
                <a:srgbClr val="FF0000"/>
              </a:solidFill>
            </a:rPr>
            <a:t>Падение ИОКмо</a:t>
          </a:r>
        </a:p>
      </cdr:txBody>
    </cdr:sp>
  </cdr:relSizeAnchor>
  <cdr:relSizeAnchor xmlns:cdr="http://schemas.openxmlformats.org/drawingml/2006/chartDrawing">
    <cdr:from>
      <cdr:x>0.56773</cdr:x>
      <cdr:y>0.07296</cdr:y>
    </cdr:from>
    <cdr:to>
      <cdr:x>0.60616</cdr:x>
      <cdr:y>0.95953</cdr:y>
    </cdr:to>
    <cdr:sp macro="" textlink="">
      <cdr:nvSpPr>
        <cdr:cNvPr id="9" name="Прямоугольник 8"/>
        <cdr:cNvSpPr/>
      </cdr:nvSpPr>
      <cdr:spPr>
        <a:xfrm xmlns:a="http://schemas.openxmlformats.org/drawingml/2006/main">
          <a:off x="4308927" y="257024"/>
          <a:ext cx="291669" cy="3123153"/>
        </a:xfrm>
        <a:prstGeom xmlns:a="http://schemas.openxmlformats.org/drawingml/2006/main" prst="rect">
          <a:avLst/>
        </a:prstGeom>
        <a:blipFill xmlns:a="http://schemas.openxmlformats.org/drawingml/2006/main" dpi="0" rotWithShape="1">
          <a:blip xmlns:r="http://schemas.openxmlformats.org/officeDocument/2006/relationships" r:embed="rId1">
            <a:alphaModFix amt="63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0.44991</cdr:x>
      <cdr:y>0.18269</cdr:y>
    </cdr:from>
    <cdr:to>
      <cdr:x>0.59745</cdr:x>
      <cdr:y>0.32692</cdr:y>
    </cdr:to>
    <cdr:sp macro="" textlink="">
      <cdr:nvSpPr>
        <cdr:cNvPr id="10" name="TextBox 9"/>
        <cdr:cNvSpPr txBox="1"/>
      </cdr:nvSpPr>
      <cdr:spPr>
        <a:xfrm xmlns:a="http://schemas.openxmlformats.org/drawingml/2006/main">
          <a:off x="3921134" y="603250"/>
          <a:ext cx="1285866" cy="4762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solidFill>
                <a:srgbClr val="FF0000"/>
              </a:solidFill>
            </a:rPr>
            <a:t>Рост ИОКмо</a:t>
          </a:r>
        </a:p>
      </cdr:txBody>
    </cdr:sp>
  </cdr:relSizeAnchor>
  <cdr:relSizeAnchor xmlns:cdr="http://schemas.openxmlformats.org/drawingml/2006/chartDrawing">
    <cdr:from>
      <cdr:x>0.05609</cdr:x>
      <cdr:y>0.61058</cdr:y>
    </cdr:from>
    <cdr:to>
      <cdr:x>0.83751</cdr:x>
      <cdr:y>0.61058</cdr:y>
    </cdr:to>
    <cdr:sp macro="" textlink="">
      <cdr:nvSpPr>
        <cdr:cNvPr id="12" name="Прямая со стрелкой 11"/>
        <cdr:cNvSpPr/>
      </cdr:nvSpPr>
      <cdr:spPr>
        <a:xfrm xmlns:a="http://schemas.openxmlformats.org/drawingml/2006/main" flipH="1">
          <a:off x="490836" y="2078910"/>
          <a:ext cx="6837984" cy="0"/>
        </a:xfrm>
        <a:prstGeom xmlns:a="http://schemas.openxmlformats.org/drawingml/2006/main" prst="straightConnector1">
          <a:avLst/>
        </a:prstGeom>
        <a:ln xmlns:a="http://schemas.openxmlformats.org/drawingml/2006/main" w="19050">
          <a:solidFill>
            <a:srgbClr val="FF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0.01275</cdr:x>
      <cdr:y>0.54808</cdr:y>
    </cdr:from>
    <cdr:to>
      <cdr:x>0.09836</cdr:x>
      <cdr:y>0.67788</cdr:y>
    </cdr:to>
    <cdr:sp macro="" textlink="">
      <cdr:nvSpPr>
        <cdr:cNvPr id="13" name="TextBox 12"/>
        <cdr:cNvSpPr txBox="1"/>
      </cdr:nvSpPr>
      <cdr:spPr>
        <a:xfrm xmlns:a="http://schemas.openxmlformats.org/drawingml/2006/main">
          <a:off x="111125" y="1809750"/>
          <a:ext cx="746125" cy="428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rgbClr val="FF0000"/>
              </a:solidFill>
            </a:rPr>
            <a:t>0,34</a:t>
          </a:r>
        </a:p>
      </cdr:txBody>
    </cdr:sp>
  </cdr:relSizeAnchor>
  <cdr:relSizeAnchor xmlns:cdr="http://schemas.openxmlformats.org/drawingml/2006/chartDrawing">
    <cdr:from>
      <cdr:x>0.64308</cdr:x>
      <cdr:y>0.07538</cdr:y>
    </cdr:from>
    <cdr:to>
      <cdr:x>0.68924</cdr:x>
      <cdr:y>0.95387</cdr:y>
    </cdr:to>
    <cdr:sp macro="" textlink="">
      <cdr:nvSpPr>
        <cdr:cNvPr id="11" name="Прямоугольник 10"/>
        <cdr:cNvSpPr/>
      </cdr:nvSpPr>
      <cdr:spPr>
        <a:xfrm xmlns:a="http://schemas.openxmlformats.org/drawingml/2006/main">
          <a:off x="4892754" y="263960"/>
          <a:ext cx="351238" cy="3076299"/>
        </a:xfrm>
        <a:prstGeom xmlns:a="http://schemas.openxmlformats.org/drawingml/2006/main" prst="rect">
          <a:avLst/>
        </a:prstGeom>
        <a:blipFill xmlns:a="http://schemas.openxmlformats.org/drawingml/2006/main" dpi="0" rotWithShape="1">
          <a:blip xmlns:r="http://schemas.openxmlformats.org/officeDocument/2006/relationships" r:embed="rId1">
            <a:alphaModFix amt="62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0.07948</cdr:x>
      <cdr:y>0.1421</cdr:y>
    </cdr:from>
    <cdr:to>
      <cdr:x>0.11576</cdr:x>
      <cdr:y>0.95915</cdr:y>
    </cdr:to>
    <cdr:sp macro="" textlink="">
      <cdr:nvSpPr>
        <cdr:cNvPr id="14" name="Прямоугольник 13"/>
        <cdr:cNvSpPr/>
      </cdr:nvSpPr>
      <cdr:spPr>
        <a:xfrm xmlns:a="http://schemas.openxmlformats.org/drawingml/2006/main">
          <a:off x="695518" y="483825"/>
          <a:ext cx="317476" cy="2781901"/>
        </a:xfrm>
        <a:prstGeom xmlns:a="http://schemas.openxmlformats.org/drawingml/2006/main" prst="rect">
          <a:avLst/>
        </a:prstGeom>
        <a:blipFill xmlns:a="http://schemas.openxmlformats.org/drawingml/2006/main" dpi="0" rotWithShape="1">
          <a:blip xmlns:r="http://schemas.openxmlformats.org/officeDocument/2006/relationships" r:embed="rId1">
            <a:alphaModFix amt="58000"/>
          </a:blip>
          <a:srcRect/>
          <a:stretch>
            <a:fillRect/>
          </a:stretch>
        </a:blipFill>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3.xml><?xml version="1.0" encoding="utf-8"?>
<c:userShapes xmlns:c="http://schemas.openxmlformats.org/drawingml/2006/chart">
  <cdr:relSizeAnchor xmlns:cdr="http://schemas.openxmlformats.org/drawingml/2006/chartDrawing">
    <cdr:from>
      <cdr:x>0.50035</cdr:x>
      <cdr:y>0.37225</cdr:y>
    </cdr:from>
    <cdr:to>
      <cdr:x>0.788</cdr:x>
      <cdr:y>0.37225</cdr:y>
    </cdr:to>
    <cdr:sp macro="" textlink="">
      <cdr:nvSpPr>
        <cdr:cNvPr id="3" name="Прямая со стрелкой 2"/>
        <cdr:cNvSpPr/>
      </cdr:nvSpPr>
      <cdr:spPr>
        <a:xfrm xmlns:a="http://schemas.openxmlformats.org/drawingml/2006/main" flipH="1">
          <a:off x="3009902" y="2527300"/>
          <a:ext cx="1730375" cy="0"/>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0.49771</cdr:x>
      <cdr:y>0.38161</cdr:y>
    </cdr:from>
    <cdr:to>
      <cdr:x>0.49771</cdr:x>
      <cdr:y>0.84458</cdr:y>
    </cdr:to>
    <cdr:sp macro="" textlink="">
      <cdr:nvSpPr>
        <cdr:cNvPr id="5" name="Прямая со стрелкой 4"/>
        <cdr:cNvSpPr/>
      </cdr:nvSpPr>
      <cdr:spPr>
        <a:xfrm xmlns:a="http://schemas.openxmlformats.org/drawingml/2006/main">
          <a:off x="2994027" y="2590800"/>
          <a:ext cx="0" cy="3143250"/>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4.xml><?xml version="1.0" encoding="utf-8"?>
<c:userShapes xmlns:c="http://schemas.openxmlformats.org/drawingml/2006/chart">
  <cdr:relSizeAnchor xmlns:cdr="http://schemas.openxmlformats.org/drawingml/2006/chartDrawing">
    <cdr:from>
      <cdr:x>0.07781</cdr:x>
      <cdr:y>0.01795</cdr:y>
    </cdr:from>
    <cdr:to>
      <cdr:x>0.12583</cdr:x>
      <cdr:y>0.9718</cdr:y>
    </cdr:to>
    <cdr:sp macro="" textlink="">
      <cdr:nvSpPr>
        <cdr:cNvPr id="2" name="Прямоугольник 1"/>
        <cdr:cNvSpPr/>
      </cdr:nvSpPr>
      <cdr:spPr>
        <a:xfrm xmlns:a="http://schemas.openxmlformats.org/drawingml/2006/main">
          <a:off x="621771" y="92606"/>
          <a:ext cx="383646" cy="492125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0.30132</cdr:x>
      <cdr:y>0.02872</cdr:y>
    </cdr:from>
    <cdr:to>
      <cdr:x>0.35762</cdr:x>
      <cdr:y>0.98256</cdr:y>
    </cdr:to>
    <cdr:sp macro="" textlink="">
      <cdr:nvSpPr>
        <cdr:cNvPr id="3" name="Прямоугольник 2"/>
        <cdr:cNvSpPr/>
      </cdr:nvSpPr>
      <cdr:spPr>
        <a:xfrm xmlns:a="http://schemas.openxmlformats.org/drawingml/2006/main">
          <a:off x="2407230" y="152413"/>
          <a:ext cx="449702" cy="5062578"/>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0.66887</cdr:x>
      <cdr:y>0.02564</cdr:y>
    </cdr:from>
    <cdr:to>
      <cdr:x>0.71689</cdr:x>
      <cdr:y>0.97949</cdr:y>
    </cdr:to>
    <cdr:sp macro="" textlink="">
      <cdr:nvSpPr>
        <cdr:cNvPr id="4" name="Прямоугольник 3"/>
        <cdr:cNvSpPr/>
      </cdr:nvSpPr>
      <cdr:spPr>
        <a:xfrm xmlns:a="http://schemas.openxmlformats.org/drawingml/2006/main">
          <a:off x="5344584" y="132292"/>
          <a:ext cx="383646" cy="492125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0.71689</cdr:x>
      <cdr:y>0.02564</cdr:y>
    </cdr:from>
    <cdr:to>
      <cdr:x>0.7649</cdr:x>
      <cdr:y>0.97949</cdr:y>
    </cdr:to>
    <cdr:sp macro="" textlink="">
      <cdr:nvSpPr>
        <cdr:cNvPr id="5" name="Прямоугольник 4"/>
        <cdr:cNvSpPr/>
      </cdr:nvSpPr>
      <cdr:spPr>
        <a:xfrm xmlns:a="http://schemas.openxmlformats.org/drawingml/2006/main">
          <a:off x="5728230" y="132292"/>
          <a:ext cx="383646" cy="4921250"/>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0.1606</cdr:x>
      <cdr:y>0.04615</cdr:y>
    </cdr:from>
    <cdr:to>
      <cdr:x>0.27503</cdr:x>
      <cdr:y>0.1</cdr:y>
    </cdr:to>
    <cdr:sp macro="" textlink="">
      <cdr:nvSpPr>
        <cdr:cNvPr id="6" name="TextBox 5"/>
        <cdr:cNvSpPr txBox="1"/>
      </cdr:nvSpPr>
      <cdr:spPr>
        <a:xfrm xmlns:a="http://schemas.openxmlformats.org/drawingml/2006/main">
          <a:off x="1283230" y="238126"/>
          <a:ext cx="914400" cy="2778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200" b="1"/>
            <a:t>Рост ИОК</a:t>
          </a:r>
        </a:p>
      </cdr:txBody>
    </cdr:sp>
  </cdr:relSizeAnchor>
  <cdr:relSizeAnchor xmlns:cdr="http://schemas.openxmlformats.org/drawingml/2006/chartDrawing">
    <cdr:from>
      <cdr:x>0.44702</cdr:x>
      <cdr:y>0.04103</cdr:y>
    </cdr:from>
    <cdr:to>
      <cdr:x>0.56146</cdr:x>
      <cdr:y>0.09487</cdr:y>
    </cdr:to>
    <cdr:sp macro="" textlink="">
      <cdr:nvSpPr>
        <cdr:cNvPr id="7" name="TextBox 1"/>
        <cdr:cNvSpPr txBox="1"/>
      </cdr:nvSpPr>
      <cdr:spPr>
        <a:xfrm xmlns:a="http://schemas.openxmlformats.org/drawingml/2006/main">
          <a:off x="3571875" y="211666"/>
          <a:ext cx="914400" cy="2778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t>Рост ИОК</a:t>
          </a:r>
        </a:p>
      </cdr:txBody>
    </cdr:sp>
  </cdr:relSizeAnchor>
  <cdr:relSizeAnchor xmlns:cdr="http://schemas.openxmlformats.org/drawingml/2006/chartDrawing">
    <cdr:from>
      <cdr:x>0.7798</cdr:x>
      <cdr:y>0.03077</cdr:y>
    </cdr:from>
    <cdr:to>
      <cdr:x>0.89424</cdr:x>
      <cdr:y>0.08462</cdr:y>
    </cdr:to>
    <cdr:sp macro="" textlink="">
      <cdr:nvSpPr>
        <cdr:cNvPr id="8" name="TextBox 1"/>
        <cdr:cNvSpPr txBox="1"/>
      </cdr:nvSpPr>
      <cdr:spPr>
        <a:xfrm xmlns:a="http://schemas.openxmlformats.org/drawingml/2006/main">
          <a:off x="6230937" y="158750"/>
          <a:ext cx="914400" cy="27781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200" b="1"/>
            <a:t>Рост ИОК</a:t>
          </a:r>
        </a:p>
      </cdr:txBody>
    </cdr:sp>
  </cdr:relSizeAnchor>
</c:userShapes>
</file>

<file path=word/drawings/drawing35.xml><?xml version="1.0" encoding="utf-8"?>
<c:userShapes xmlns:c="http://schemas.openxmlformats.org/drawingml/2006/chart">
  <cdr:relSizeAnchor xmlns:cdr="http://schemas.openxmlformats.org/drawingml/2006/chartDrawing">
    <cdr:from>
      <cdr:x>0.31042</cdr:x>
      <cdr:y>0.18667</cdr:y>
    </cdr:from>
    <cdr:to>
      <cdr:x>0.35208</cdr:x>
      <cdr:y>0.89333</cdr:y>
    </cdr:to>
    <cdr:sp macro="" textlink="">
      <cdr:nvSpPr>
        <cdr:cNvPr id="2" name="Прямоугольник 1"/>
        <cdr:cNvSpPr/>
      </cdr:nvSpPr>
      <cdr:spPr>
        <a:xfrm xmlns:a="http://schemas.openxmlformats.org/drawingml/2006/main">
          <a:off x="1419225" y="666751"/>
          <a:ext cx="190499" cy="2524125"/>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0.7375</cdr:x>
      <cdr:y>0.19467</cdr:y>
    </cdr:from>
    <cdr:to>
      <cdr:x>0.79167</cdr:x>
      <cdr:y>0.90133</cdr:y>
    </cdr:to>
    <cdr:sp macro="" textlink="">
      <cdr:nvSpPr>
        <cdr:cNvPr id="3" name="Прямоугольник 2"/>
        <cdr:cNvSpPr/>
      </cdr:nvSpPr>
      <cdr:spPr>
        <a:xfrm xmlns:a="http://schemas.openxmlformats.org/drawingml/2006/main">
          <a:off x="3371850" y="695325"/>
          <a:ext cx="247649" cy="2524125"/>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0.78958</cdr:x>
      <cdr:y>0.19733</cdr:y>
    </cdr:from>
    <cdr:to>
      <cdr:x>0.85417</cdr:x>
      <cdr:y>0.904</cdr:y>
    </cdr:to>
    <cdr:sp macro="" textlink="">
      <cdr:nvSpPr>
        <cdr:cNvPr id="4" name="Прямоугольник 3"/>
        <cdr:cNvSpPr/>
      </cdr:nvSpPr>
      <cdr:spPr>
        <a:xfrm xmlns:a="http://schemas.openxmlformats.org/drawingml/2006/main">
          <a:off x="3609974" y="704850"/>
          <a:ext cx="295275" cy="2524125"/>
        </a:xfrm>
        <a:prstGeom xmlns:a="http://schemas.openxmlformats.org/drawingml/2006/main" prst="rect">
          <a:avLst/>
        </a:prstGeom>
        <a:blipFill xmlns:a="http://schemas.openxmlformats.org/drawingml/2006/main" dpi="0" rotWithShape="1">
          <a:blip xmlns:r="http://schemas.openxmlformats.org/officeDocument/2006/relationships" r:embed="rId1">
            <a:alphaModFix amt="50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0.07708</cdr:x>
      <cdr:y>0.248</cdr:y>
    </cdr:from>
    <cdr:to>
      <cdr:x>0.2375</cdr:x>
      <cdr:y>0.86933</cdr:y>
    </cdr:to>
    <cdr:sp macro="" textlink="">
      <cdr:nvSpPr>
        <cdr:cNvPr id="5" name="Овал 4"/>
        <cdr:cNvSpPr/>
      </cdr:nvSpPr>
      <cdr:spPr>
        <a:xfrm xmlns:a="http://schemas.openxmlformats.org/drawingml/2006/main">
          <a:off x="352425" y="885826"/>
          <a:ext cx="733425" cy="221932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0.64703</cdr:x>
      <cdr:y>0.18272</cdr:y>
    </cdr:from>
    <cdr:to>
      <cdr:x>0.72677</cdr:x>
      <cdr:y>0.73472</cdr:y>
    </cdr:to>
    <cdr:sp macro="" textlink="">
      <cdr:nvSpPr>
        <cdr:cNvPr id="6" name="Овал 5"/>
        <cdr:cNvSpPr/>
      </cdr:nvSpPr>
      <cdr:spPr>
        <a:xfrm xmlns:a="http://schemas.openxmlformats.org/drawingml/2006/main" rot="669205">
          <a:off x="2958233" y="652662"/>
          <a:ext cx="364577" cy="1971675"/>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0.87297</cdr:x>
      <cdr:y>0.16603</cdr:y>
    </cdr:from>
    <cdr:to>
      <cdr:x>0.96255</cdr:x>
      <cdr:y>0.76817</cdr:y>
    </cdr:to>
    <cdr:sp macro="" textlink="">
      <cdr:nvSpPr>
        <cdr:cNvPr id="7" name="Овал 6"/>
        <cdr:cNvSpPr/>
      </cdr:nvSpPr>
      <cdr:spPr>
        <a:xfrm xmlns:a="http://schemas.openxmlformats.org/drawingml/2006/main" rot="21117721">
          <a:off x="3991216" y="593050"/>
          <a:ext cx="409575" cy="2150771"/>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0.01042</cdr:x>
      <cdr:y>0.59733</cdr:y>
    </cdr:from>
    <cdr:to>
      <cdr:x>0.12708</cdr:x>
      <cdr:y>0.672</cdr:y>
    </cdr:to>
    <cdr:sp macro="" textlink="">
      <cdr:nvSpPr>
        <cdr:cNvPr id="8" name="TextBox 7"/>
        <cdr:cNvSpPr txBox="1"/>
      </cdr:nvSpPr>
      <cdr:spPr>
        <a:xfrm xmlns:a="http://schemas.openxmlformats.org/drawingml/2006/main">
          <a:off x="47626" y="2133601"/>
          <a:ext cx="5334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solidFill>
                <a:srgbClr val="FF0000"/>
              </a:solidFill>
            </a:rPr>
            <a:t>0,74</a:t>
          </a:r>
        </a:p>
      </cdr:txBody>
    </cdr:sp>
  </cdr:relSizeAnchor>
  <cdr:relSizeAnchor xmlns:cdr="http://schemas.openxmlformats.org/drawingml/2006/chartDrawing">
    <cdr:from>
      <cdr:x>0.08125</cdr:x>
      <cdr:y>0.624</cdr:y>
    </cdr:from>
    <cdr:to>
      <cdr:x>0.9375</cdr:x>
      <cdr:y>0.62667</cdr:y>
    </cdr:to>
    <cdr:sp macro="" textlink="">
      <cdr:nvSpPr>
        <cdr:cNvPr id="10" name="Прямая со стрелкой 9"/>
        <cdr:cNvSpPr/>
      </cdr:nvSpPr>
      <cdr:spPr>
        <a:xfrm xmlns:a="http://schemas.openxmlformats.org/drawingml/2006/main" flipH="1" flipV="1">
          <a:off x="371475" y="2228851"/>
          <a:ext cx="3914775" cy="9525"/>
        </a:xfrm>
        <a:prstGeom xmlns:a="http://schemas.openxmlformats.org/drawingml/2006/main" prst="straightConnector1">
          <a:avLst/>
        </a:prstGeom>
        <a:ln xmlns:a="http://schemas.openxmlformats.org/drawingml/2006/main" w="22225">
          <a:solidFill>
            <a:srgbClr val="FF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6.xml><?xml version="1.0" encoding="utf-8"?>
<c:userShapes xmlns:c="http://schemas.openxmlformats.org/drawingml/2006/chart">
  <cdr:relSizeAnchor xmlns:cdr="http://schemas.openxmlformats.org/drawingml/2006/chartDrawing">
    <cdr:from>
      <cdr:x>0.26658</cdr:x>
      <cdr:y>0.13709</cdr:y>
    </cdr:from>
    <cdr:to>
      <cdr:x>0.31314</cdr:x>
      <cdr:y>0.97177</cdr:y>
    </cdr:to>
    <cdr:sp macro="" textlink="">
      <cdr:nvSpPr>
        <cdr:cNvPr id="2" name="Прямоугольник 1"/>
        <cdr:cNvSpPr/>
      </cdr:nvSpPr>
      <cdr:spPr>
        <a:xfrm xmlns:a="http://schemas.openxmlformats.org/drawingml/2006/main">
          <a:off x="2089048" y="522859"/>
          <a:ext cx="364923" cy="3183550"/>
        </a:xfrm>
        <a:prstGeom xmlns:a="http://schemas.openxmlformats.org/drawingml/2006/main" prst="rect">
          <a:avLst/>
        </a:prstGeom>
        <a:blipFill xmlns:a="http://schemas.openxmlformats.org/drawingml/2006/main" dpi="0" rotWithShape="1">
          <a:blip xmlns:r="http://schemas.openxmlformats.org/officeDocument/2006/relationships" r:embed="rId1">
            <a:alphaModFix amt="67000"/>
          </a:blip>
          <a:srcRect/>
          <a:stretch>
            <a:fillRect/>
          </a:stretch>
        </a:blipFill>
        <a:ln xmlns:a="http://schemas.openxmlformats.org/drawingml/2006/main">
          <a:solidFill>
            <a:schemeClr val="tx2"/>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0.62925</cdr:x>
      <cdr:y>0.11694</cdr:y>
    </cdr:from>
    <cdr:to>
      <cdr:x>0.6665</cdr:x>
      <cdr:y>0.96371</cdr:y>
    </cdr:to>
    <cdr:sp macro="" textlink="">
      <cdr:nvSpPr>
        <cdr:cNvPr id="3" name="Прямоугольник 2"/>
        <cdr:cNvSpPr/>
      </cdr:nvSpPr>
      <cdr:spPr>
        <a:xfrm xmlns:a="http://schemas.openxmlformats.org/drawingml/2006/main">
          <a:off x="4931185" y="446029"/>
          <a:ext cx="291895" cy="3229663"/>
        </a:xfrm>
        <a:prstGeom xmlns:a="http://schemas.openxmlformats.org/drawingml/2006/main" prst="rect">
          <a:avLst/>
        </a:prstGeom>
        <a:blipFill xmlns:a="http://schemas.openxmlformats.org/drawingml/2006/main" dpi="0" rotWithShape="1">
          <a:blip xmlns:r="http://schemas.openxmlformats.org/officeDocument/2006/relationships" r:embed="rId1">
            <a:alphaModFix amt="66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0.67042</cdr:x>
      <cdr:y>0.125</cdr:y>
    </cdr:from>
    <cdr:to>
      <cdr:x>0.71101</cdr:x>
      <cdr:y>0.95968</cdr:y>
    </cdr:to>
    <cdr:sp macro="" textlink="">
      <cdr:nvSpPr>
        <cdr:cNvPr id="4" name="Прямоугольник 3"/>
        <cdr:cNvSpPr/>
      </cdr:nvSpPr>
      <cdr:spPr>
        <a:xfrm xmlns:a="http://schemas.openxmlformats.org/drawingml/2006/main">
          <a:off x="5253806" y="476778"/>
          <a:ext cx="318129" cy="3183550"/>
        </a:xfrm>
        <a:prstGeom xmlns:a="http://schemas.openxmlformats.org/drawingml/2006/main" prst="rect">
          <a:avLst/>
        </a:prstGeom>
        <a:blipFill xmlns:a="http://schemas.openxmlformats.org/drawingml/2006/main" dpi="0" rotWithShape="1">
          <a:blip xmlns:r="http://schemas.openxmlformats.org/officeDocument/2006/relationships" r:embed="rId1">
            <a:alphaModFix amt="63000"/>
          </a:blip>
          <a:srcRect/>
          <a:stretch>
            <a:fillRect/>
          </a:stretch>
        </a:blip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0.00203</cdr:x>
      <cdr:y>0.35848</cdr:y>
    </cdr:from>
    <cdr:to>
      <cdr:x>0.10142</cdr:x>
      <cdr:y>0.43106</cdr:y>
    </cdr:to>
    <cdr:sp macro="" textlink="">
      <cdr:nvSpPr>
        <cdr:cNvPr id="5" name="TextBox 4"/>
        <cdr:cNvSpPr txBox="1"/>
      </cdr:nvSpPr>
      <cdr:spPr>
        <a:xfrm xmlns:a="http://schemas.openxmlformats.org/drawingml/2006/main">
          <a:off x="15911" y="1386956"/>
          <a:ext cx="778990" cy="2808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a:solidFill>
                <a:srgbClr val="FF0000"/>
              </a:solidFill>
            </a:rPr>
            <a:t>0,7</a:t>
          </a:r>
          <a:r>
            <a:rPr lang="en-US" sz="1400">
              <a:solidFill>
                <a:srgbClr val="FF0000"/>
              </a:solidFill>
            </a:rPr>
            <a:t>0</a:t>
          </a:r>
          <a:endParaRPr lang="ru-RU" sz="1400">
            <a:solidFill>
              <a:srgbClr val="FF0000"/>
            </a:solidFill>
          </a:endParaRPr>
        </a:p>
      </cdr:txBody>
    </cdr:sp>
  </cdr:relSizeAnchor>
  <cdr:relSizeAnchor xmlns:cdr="http://schemas.openxmlformats.org/drawingml/2006/chartDrawing">
    <cdr:from>
      <cdr:x>0.05681</cdr:x>
      <cdr:y>0.39063</cdr:y>
    </cdr:from>
    <cdr:to>
      <cdr:x>0.59396</cdr:x>
      <cdr:y>0.39063</cdr:y>
    </cdr:to>
    <cdr:sp macro="" textlink="">
      <cdr:nvSpPr>
        <cdr:cNvPr id="9" name="Прямая со стрелкой 8"/>
        <cdr:cNvSpPr/>
      </cdr:nvSpPr>
      <cdr:spPr>
        <a:xfrm xmlns:a="http://schemas.openxmlformats.org/drawingml/2006/main" flipH="1">
          <a:off x="445219" y="1489894"/>
          <a:ext cx="4209435" cy="0"/>
        </a:xfrm>
        <a:prstGeom xmlns:a="http://schemas.openxmlformats.org/drawingml/2006/main" prst="straightConnector1">
          <a:avLst/>
        </a:prstGeom>
        <a:ln xmlns:a="http://schemas.openxmlformats.org/drawingml/2006/main" w="19050">
          <a:solidFill>
            <a:srgbClr val="FF0000"/>
          </a:solidFill>
          <a:prstDash val="dash"/>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7.xml><?xml version="1.0" encoding="utf-8"?>
<c:userShapes xmlns:c="http://schemas.openxmlformats.org/drawingml/2006/chart">
  <cdr:relSizeAnchor xmlns:cdr="http://schemas.openxmlformats.org/drawingml/2006/chartDrawing">
    <cdr:from>
      <cdr:x>0.72363</cdr:x>
      <cdr:y>0.26302</cdr:y>
    </cdr:from>
    <cdr:to>
      <cdr:x>0.84357</cdr:x>
      <cdr:y>0.4315</cdr:y>
    </cdr:to>
    <cdr:sp macro="" textlink="">
      <cdr:nvSpPr>
        <cdr:cNvPr id="2" name="Овал 1"/>
        <cdr:cNvSpPr/>
      </cdr:nvSpPr>
      <cdr:spPr>
        <a:xfrm xmlns:a="http://schemas.openxmlformats.org/drawingml/2006/main">
          <a:off x="3448050" y="1457326"/>
          <a:ext cx="571499" cy="933450"/>
        </a:xfrm>
        <a:prstGeom xmlns:a="http://schemas.openxmlformats.org/drawingml/2006/main" prst="ellipse">
          <a:avLst/>
        </a:prstGeom>
        <a:noFill xmlns:a="http://schemas.openxmlformats.org/drawingml/2006/main"/>
        <a:ln xmlns:a="http://schemas.openxmlformats.org/drawingml/2006/main" w="15875">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8.xml><?xml version="1.0" encoding="utf-8"?>
<c:userShapes xmlns:c="http://schemas.openxmlformats.org/drawingml/2006/chart">
  <cdr:relSizeAnchor xmlns:cdr="http://schemas.openxmlformats.org/drawingml/2006/chartDrawing">
    <cdr:from>
      <cdr:x>0.46264</cdr:x>
      <cdr:y>0.0269</cdr:y>
    </cdr:from>
    <cdr:to>
      <cdr:x>0.46264</cdr:x>
      <cdr:y>0.93856</cdr:y>
    </cdr:to>
    <cdr:sp macro="" textlink="">
      <cdr:nvSpPr>
        <cdr:cNvPr id="3" name="Прямая соединительная линия 2"/>
        <cdr:cNvSpPr/>
      </cdr:nvSpPr>
      <cdr:spPr>
        <a:xfrm xmlns:a="http://schemas.openxmlformats.org/drawingml/2006/main" flipV="1">
          <a:off x="2460172" y="220436"/>
          <a:ext cx="0" cy="7470321"/>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0.81781</cdr:x>
      <cdr:y>0.59781</cdr:y>
    </cdr:from>
    <cdr:to>
      <cdr:x>0.90993</cdr:x>
      <cdr:y>0.70076</cdr:y>
    </cdr:to>
    <cdr:sp macro="" textlink="">
      <cdr:nvSpPr>
        <cdr:cNvPr id="4" name="Овал 3"/>
        <cdr:cNvSpPr/>
      </cdr:nvSpPr>
      <cdr:spPr>
        <a:xfrm xmlns:a="http://schemas.openxmlformats.org/drawingml/2006/main">
          <a:off x="4348843" y="4898571"/>
          <a:ext cx="489857" cy="843643"/>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9.xml><?xml version="1.0" encoding="utf-8"?>
<c:userShapes xmlns:c="http://schemas.openxmlformats.org/drawingml/2006/chart">
  <cdr:relSizeAnchor xmlns:cdr="http://schemas.openxmlformats.org/drawingml/2006/chartDrawing">
    <cdr:from>
      <cdr:x>0.45113</cdr:x>
      <cdr:y>0.49653</cdr:y>
    </cdr:from>
    <cdr:to>
      <cdr:x>0.59649</cdr:x>
      <cdr:y>0.49653</cdr:y>
    </cdr:to>
    <cdr:sp macro="" textlink="">
      <cdr:nvSpPr>
        <cdr:cNvPr id="5" name="Прямая со стрелкой 4"/>
        <cdr:cNvSpPr/>
      </cdr:nvSpPr>
      <cdr:spPr>
        <a:xfrm xmlns:a="http://schemas.openxmlformats.org/drawingml/2006/main">
          <a:off x="1714500" y="1362075"/>
          <a:ext cx="552450" cy="0"/>
        </a:xfrm>
        <a:prstGeom xmlns:a="http://schemas.openxmlformats.org/drawingml/2006/main" prst="straightConnector1">
          <a:avLst/>
        </a:prstGeom>
        <a:ln xmlns:a="http://schemas.openxmlformats.org/drawingml/2006/main" w="15875">
          <a:solidFill>
            <a:srgbClr val="0070C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0.1604</cdr:x>
      <cdr:y>0.23611</cdr:y>
    </cdr:from>
    <cdr:to>
      <cdr:x>0.52882</cdr:x>
      <cdr:y>0.23611</cdr:y>
    </cdr:to>
    <cdr:sp macro="" textlink="">
      <cdr:nvSpPr>
        <cdr:cNvPr id="9" name="Прямая со стрелкой 8"/>
        <cdr:cNvSpPr/>
      </cdr:nvSpPr>
      <cdr:spPr>
        <a:xfrm xmlns:a="http://schemas.openxmlformats.org/drawingml/2006/main" flipH="1">
          <a:off x="609600" y="647700"/>
          <a:ext cx="1400175" cy="0"/>
        </a:xfrm>
        <a:prstGeom xmlns:a="http://schemas.openxmlformats.org/drawingml/2006/main" prst="straightConnector1">
          <a:avLst/>
        </a:prstGeom>
        <a:ln xmlns:a="http://schemas.openxmlformats.org/drawingml/2006/main" w="15875">
          <a:solidFill>
            <a:srgbClr val="FF0000"/>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0.69127</cdr:x>
      <cdr:y>0.06896</cdr:y>
    </cdr:from>
    <cdr:to>
      <cdr:x>0.85906</cdr:x>
      <cdr:y>0.11111</cdr:y>
    </cdr:to>
    <cdr:sp macro="" textlink="">
      <cdr:nvSpPr>
        <cdr:cNvPr id="4" name="TextBox 3"/>
        <cdr:cNvSpPr txBox="1"/>
      </cdr:nvSpPr>
      <cdr:spPr>
        <a:xfrm xmlns:a="http://schemas.openxmlformats.org/drawingml/2006/main">
          <a:off x="2943219" y="342887"/>
          <a:ext cx="714395" cy="209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ГВт.ч.</a:t>
          </a:r>
        </a:p>
      </cdr:txBody>
    </cdr:sp>
  </cdr:relSizeAnchor>
  <cdr:relSizeAnchor xmlns:cdr="http://schemas.openxmlformats.org/drawingml/2006/chartDrawing">
    <cdr:from>
      <cdr:x>0</cdr:x>
      <cdr:y>0.06705</cdr:y>
    </cdr:from>
    <cdr:to>
      <cdr:x>0.20805</cdr:x>
      <cdr:y>0.1456</cdr:y>
    </cdr:to>
    <cdr:sp macro="" textlink="">
      <cdr:nvSpPr>
        <cdr:cNvPr id="6" name="TextBox 5"/>
        <cdr:cNvSpPr txBox="1"/>
      </cdr:nvSpPr>
      <cdr:spPr>
        <a:xfrm xmlns:a="http://schemas.openxmlformats.org/drawingml/2006/main">
          <a:off x="0" y="333362"/>
          <a:ext cx="885809" cy="3905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млрд.кВт.ч.</a:t>
          </a:r>
        </a:p>
      </cdr:txBody>
    </cdr:sp>
  </cdr:relSizeAnchor>
  <cdr:relSizeAnchor xmlns:cdr="http://schemas.openxmlformats.org/drawingml/2006/chartDrawing">
    <cdr:from>
      <cdr:x>0.25056</cdr:x>
      <cdr:y>0.05556</cdr:y>
    </cdr:from>
    <cdr:to>
      <cdr:x>0.25056</cdr:x>
      <cdr:y>0.77586</cdr:y>
    </cdr:to>
    <cdr:sp macro="" textlink="">
      <cdr:nvSpPr>
        <cdr:cNvPr id="8" name="Прямая соединительная линия 7"/>
        <cdr:cNvSpPr/>
      </cdr:nvSpPr>
      <cdr:spPr>
        <a:xfrm xmlns:a="http://schemas.openxmlformats.org/drawingml/2006/main">
          <a:off x="1066800" y="276225"/>
          <a:ext cx="0" cy="35814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0.2528</cdr:x>
      <cdr:y>0.29502</cdr:y>
    </cdr:from>
    <cdr:to>
      <cdr:x>0.70693</cdr:x>
      <cdr:y>0.60728</cdr:y>
    </cdr:to>
    <cdr:sp macro="" textlink="">
      <cdr:nvSpPr>
        <cdr:cNvPr id="11" name="Прямая соединительная линия 10"/>
        <cdr:cNvSpPr/>
      </cdr:nvSpPr>
      <cdr:spPr>
        <a:xfrm xmlns:a="http://schemas.openxmlformats.org/drawingml/2006/main" flipV="1">
          <a:off x="1076324" y="1466850"/>
          <a:ext cx="1933575" cy="155257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0.12304</cdr:x>
      <cdr:y>0.53065</cdr:y>
    </cdr:from>
    <cdr:to>
      <cdr:x>0.22148</cdr:x>
      <cdr:y>0.60345</cdr:y>
    </cdr:to>
    <cdr:sp macro="" textlink="">
      <cdr:nvSpPr>
        <cdr:cNvPr id="13" name="Прямая соединительная линия 12"/>
        <cdr:cNvSpPr/>
      </cdr:nvSpPr>
      <cdr:spPr>
        <a:xfrm xmlns:a="http://schemas.openxmlformats.org/drawingml/2006/main" flipH="1" flipV="1">
          <a:off x="523875" y="2638425"/>
          <a:ext cx="419100" cy="361950"/>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0.20134</cdr:x>
      <cdr:y>0.60536</cdr:y>
    </cdr:from>
    <cdr:to>
      <cdr:x>0.25727</cdr:x>
      <cdr:y>0.60728</cdr:y>
    </cdr:to>
    <cdr:sp macro="" textlink="">
      <cdr:nvSpPr>
        <cdr:cNvPr id="15" name="Прямая соединительная линия 14"/>
        <cdr:cNvSpPr/>
      </cdr:nvSpPr>
      <cdr:spPr>
        <a:xfrm xmlns:a="http://schemas.openxmlformats.org/drawingml/2006/main" flipV="1">
          <a:off x="857250" y="3009899"/>
          <a:ext cx="238125" cy="9525"/>
        </a:xfrm>
        <a:prstGeom xmlns:a="http://schemas.openxmlformats.org/drawingml/2006/main" prst="line">
          <a:avLst/>
        </a:prstGeom>
        <a:ln xmlns:a="http://schemas.openxmlformats.org/drawingml/2006/main">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0.92988</cdr:x>
      <cdr:y>0.01824</cdr:y>
    </cdr:from>
    <cdr:to>
      <cdr:x>0.92988</cdr:x>
      <cdr:y>0.92713</cdr:y>
    </cdr:to>
    <cdr:cxnSp macro="">
      <cdr:nvCxnSpPr>
        <cdr:cNvPr id="4" name="Прямая соединительная линия 3"/>
        <cdr:cNvCxnSpPr/>
      </cdr:nvCxnSpPr>
      <cdr:spPr>
        <a:xfrm xmlns:a="http://schemas.openxmlformats.org/drawingml/2006/main">
          <a:off x="6669916" y="93837"/>
          <a:ext cx="0" cy="4675909"/>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0.74573</cdr:x>
      <cdr:y>0.01681</cdr:y>
    </cdr:from>
    <cdr:to>
      <cdr:x>0.74573</cdr:x>
      <cdr:y>0.92569</cdr:y>
    </cdr:to>
    <cdr:cxnSp macro="">
      <cdr:nvCxnSpPr>
        <cdr:cNvPr id="6" name="Прямая соединительная линия 5"/>
        <cdr:cNvCxnSpPr/>
      </cdr:nvCxnSpPr>
      <cdr:spPr>
        <a:xfrm xmlns:a="http://schemas.openxmlformats.org/drawingml/2006/main">
          <a:off x="5337030" y="85899"/>
          <a:ext cx="0" cy="46455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0.7135</cdr:x>
      <cdr:y>0.01755</cdr:y>
    </cdr:from>
    <cdr:to>
      <cdr:x>0.7135</cdr:x>
      <cdr:y>0.92644</cdr:y>
    </cdr:to>
    <cdr:cxnSp macro="">
      <cdr:nvCxnSpPr>
        <cdr:cNvPr id="7" name="Прямая соединительная линия 6"/>
        <cdr:cNvCxnSpPr/>
      </cdr:nvCxnSpPr>
      <cdr:spPr>
        <a:xfrm xmlns:a="http://schemas.openxmlformats.org/drawingml/2006/main">
          <a:off x="5106365" y="89702"/>
          <a:ext cx="0" cy="464556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0.54635</cdr:x>
      <cdr:y>0.1004</cdr:y>
    </cdr:from>
    <cdr:to>
      <cdr:x>0.7242</cdr:x>
      <cdr:y>0.14275</cdr:y>
    </cdr:to>
    <cdr:sp macro="" textlink="">
      <cdr:nvSpPr>
        <cdr:cNvPr id="8" name="TextBox 7"/>
        <cdr:cNvSpPr txBox="1"/>
      </cdr:nvSpPr>
      <cdr:spPr>
        <a:xfrm xmlns:a="http://schemas.openxmlformats.org/drawingml/2006/main">
          <a:off x="3910127" y="513168"/>
          <a:ext cx="1272842" cy="2164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t>Австралия</a:t>
          </a:r>
          <a:r>
            <a:rPr lang="ru-RU" sz="1100" b="1" baseline="0"/>
            <a:t> (0,279)</a:t>
          </a:r>
          <a:endParaRPr lang="ru-RU" sz="1100" b="1"/>
        </a:p>
      </cdr:txBody>
    </cdr:sp>
  </cdr:relSizeAnchor>
  <cdr:relSizeAnchor xmlns:cdr="http://schemas.openxmlformats.org/drawingml/2006/chartDrawing">
    <cdr:from>
      <cdr:x>0.54309</cdr:x>
      <cdr:y>0.2793</cdr:y>
    </cdr:from>
    <cdr:to>
      <cdr:x>0.70242</cdr:x>
      <cdr:y>0.32166</cdr:y>
    </cdr:to>
    <cdr:sp macro="" textlink="">
      <cdr:nvSpPr>
        <cdr:cNvPr id="9" name="TextBox 1"/>
        <cdr:cNvSpPr txBox="1"/>
      </cdr:nvSpPr>
      <cdr:spPr>
        <a:xfrm xmlns:a="http://schemas.openxmlformats.org/drawingml/2006/main">
          <a:off x="3886769" y="1427572"/>
          <a:ext cx="1140369" cy="21651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baseline="0"/>
            <a:t>Канада (0,239)</a:t>
          </a:r>
          <a:endParaRPr lang="ru-RU" sz="1100" b="1"/>
        </a:p>
      </cdr:txBody>
    </cdr:sp>
  </cdr:relSizeAnchor>
  <cdr:relSizeAnchor xmlns:cdr="http://schemas.openxmlformats.org/drawingml/2006/chartDrawing">
    <cdr:from>
      <cdr:x>0.76207</cdr:x>
      <cdr:y>0.29116</cdr:y>
    </cdr:from>
    <cdr:to>
      <cdr:x>0.93993</cdr:x>
      <cdr:y>0.33351</cdr:y>
    </cdr:to>
    <cdr:sp macro="" textlink="">
      <cdr:nvSpPr>
        <cdr:cNvPr id="10" name="TextBox 1"/>
        <cdr:cNvSpPr txBox="1"/>
      </cdr:nvSpPr>
      <cdr:spPr>
        <a:xfrm xmlns:a="http://schemas.openxmlformats.org/drawingml/2006/main">
          <a:off x="5454034" y="1488213"/>
          <a:ext cx="1272914" cy="2164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t>Чехия</a:t>
          </a:r>
          <a:r>
            <a:rPr lang="ru-RU" sz="1100" b="1" baseline="0"/>
            <a:t> (0,236)</a:t>
          </a:r>
          <a:endParaRPr lang="ru-RU" sz="1100" b="1"/>
        </a:p>
      </cdr:txBody>
    </cdr:sp>
  </cdr:relSizeAnchor>
  <cdr:relSizeAnchor xmlns:cdr="http://schemas.openxmlformats.org/drawingml/2006/chartDrawing">
    <cdr:from>
      <cdr:x>0.20155</cdr:x>
      <cdr:y>0.01732</cdr:y>
    </cdr:from>
    <cdr:to>
      <cdr:x>0.20155</cdr:x>
      <cdr:y>0.92621</cdr:y>
    </cdr:to>
    <cdr:cxnSp macro="">
      <cdr:nvCxnSpPr>
        <cdr:cNvPr id="11" name="Прямая соединительная линия 10"/>
        <cdr:cNvCxnSpPr/>
      </cdr:nvCxnSpPr>
      <cdr:spPr>
        <a:xfrm xmlns:a="http://schemas.openxmlformats.org/drawingml/2006/main">
          <a:off x="1442437" y="88527"/>
          <a:ext cx="0" cy="4645562"/>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0.13378</cdr:x>
      <cdr:y>0.29523</cdr:y>
    </cdr:from>
    <cdr:to>
      <cdr:x>0.23178</cdr:x>
      <cdr:y>0.34944</cdr:y>
    </cdr:to>
    <cdr:sp macro="" textlink="">
      <cdr:nvSpPr>
        <cdr:cNvPr id="13" name="TextBox 12"/>
        <cdr:cNvSpPr txBox="1"/>
      </cdr:nvSpPr>
      <cdr:spPr>
        <a:xfrm xmlns:a="http://schemas.openxmlformats.org/drawingml/2006/main">
          <a:off x="957415" y="1508995"/>
          <a:ext cx="701369" cy="2770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solidFill>
                <a:srgbClr val="FF0000"/>
              </a:solidFill>
            </a:rPr>
            <a:t>0,247</a:t>
          </a:r>
        </a:p>
      </cdr:txBody>
    </cdr:sp>
  </cdr:relSizeAnchor>
  <cdr:relSizeAnchor xmlns:cdr="http://schemas.openxmlformats.org/drawingml/2006/chartDrawing">
    <cdr:from>
      <cdr:x>0.29106</cdr:x>
      <cdr:y>0.34944</cdr:y>
    </cdr:from>
    <cdr:to>
      <cdr:x>0.9311</cdr:x>
      <cdr:y>0.34944</cdr:y>
    </cdr:to>
    <cdr:cxnSp macro="">
      <cdr:nvCxnSpPr>
        <cdr:cNvPr id="15" name="Прямая соединительная линия 14"/>
        <cdr:cNvCxnSpPr/>
      </cdr:nvCxnSpPr>
      <cdr:spPr>
        <a:xfrm xmlns:a="http://schemas.openxmlformats.org/drawingml/2006/main" flipV="1">
          <a:off x="2083073" y="1786065"/>
          <a:ext cx="4580654" cy="6"/>
        </a:xfrm>
        <a:prstGeom xmlns:a="http://schemas.openxmlformats.org/drawingml/2006/main" prst="line">
          <a:avLst/>
        </a:prstGeom>
        <a:ln xmlns:a="http://schemas.openxmlformats.org/drawingml/2006/main" w="15875">
          <a:solidFill>
            <a:srgbClr val="FF0000"/>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0.1616</cdr:x>
      <cdr:y>0.91697</cdr:y>
    </cdr:from>
    <cdr:to>
      <cdr:x>0.25355</cdr:x>
      <cdr:y>0.96949</cdr:y>
    </cdr:to>
    <cdr:sp macro="" textlink="">
      <cdr:nvSpPr>
        <cdr:cNvPr id="3" name="TextBox 2"/>
        <cdr:cNvSpPr txBox="1"/>
      </cdr:nvSpPr>
      <cdr:spPr>
        <a:xfrm xmlns:a="http://schemas.openxmlformats.org/drawingml/2006/main">
          <a:off x="1156549" y="4686866"/>
          <a:ext cx="658091" cy="2684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1978</a:t>
          </a:r>
        </a:p>
      </cdr:txBody>
    </cdr:sp>
  </cdr:relSizeAnchor>
  <cdr:relSizeAnchor xmlns:cdr="http://schemas.openxmlformats.org/drawingml/2006/chartDrawing">
    <cdr:from>
      <cdr:x>0.73183</cdr:x>
      <cdr:y>0.32742</cdr:y>
    </cdr:from>
    <cdr:to>
      <cdr:x>0.76171</cdr:x>
      <cdr:y>0.39925</cdr:y>
    </cdr:to>
    <cdr:cxnSp macro="">
      <cdr:nvCxnSpPr>
        <cdr:cNvPr id="14" name="Прямая соединительная линия 13"/>
        <cdr:cNvCxnSpPr/>
      </cdr:nvCxnSpPr>
      <cdr:spPr>
        <a:xfrm xmlns:a="http://schemas.openxmlformats.org/drawingml/2006/main" flipV="1">
          <a:off x="5237575" y="1673503"/>
          <a:ext cx="213884" cy="367166"/>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0.76103</cdr:x>
      <cdr:y>0.32979</cdr:y>
    </cdr:from>
    <cdr:to>
      <cdr:x>0.90743</cdr:x>
      <cdr:y>0.32979</cdr:y>
    </cdr:to>
    <cdr:cxnSp macro="">
      <cdr:nvCxnSpPr>
        <cdr:cNvPr id="16" name="Прямая соединительная линия 15"/>
        <cdr:cNvCxnSpPr/>
      </cdr:nvCxnSpPr>
      <cdr:spPr>
        <a:xfrm xmlns:a="http://schemas.openxmlformats.org/drawingml/2006/main" flipH="1">
          <a:off x="5446585" y="1685618"/>
          <a:ext cx="104776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0.69021</cdr:x>
      <cdr:y>0.32064</cdr:y>
    </cdr:from>
    <cdr:to>
      <cdr:x>0.71562</cdr:x>
      <cdr:y>0.3901</cdr:y>
    </cdr:to>
    <cdr:cxnSp macro="">
      <cdr:nvCxnSpPr>
        <cdr:cNvPr id="17" name="Прямая соединительная линия 16"/>
        <cdr:cNvCxnSpPr/>
      </cdr:nvCxnSpPr>
      <cdr:spPr>
        <a:xfrm xmlns:a="http://schemas.openxmlformats.org/drawingml/2006/main" flipH="1" flipV="1">
          <a:off x="4939723" y="1638877"/>
          <a:ext cx="181841" cy="355023"/>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0.54446</cdr:x>
      <cdr:y>0.32234</cdr:y>
    </cdr:from>
    <cdr:to>
      <cdr:x>0.69086</cdr:x>
      <cdr:y>0.32234</cdr:y>
    </cdr:to>
    <cdr:cxnSp macro="">
      <cdr:nvCxnSpPr>
        <cdr:cNvPr id="18" name="Прямая соединительная линия 17"/>
        <cdr:cNvCxnSpPr/>
      </cdr:nvCxnSpPr>
      <cdr:spPr>
        <a:xfrm xmlns:a="http://schemas.openxmlformats.org/drawingml/2006/main" flipH="1">
          <a:off x="3896591" y="1647536"/>
          <a:ext cx="1047750"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0.70425</cdr:x>
      <cdr:y>0.1387</cdr:y>
    </cdr:from>
    <cdr:to>
      <cdr:x>0.72965</cdr:x>
      <cdr:y>0.20816</cdr:y>
    </cdr:to>
    <cdr:cxnSp macro="">
      <cdr:nvCxnSpPr>
        <cdr:cNvPr id="19" name="Прямая соединительная линия 18"/>
        <cdr:cNvCxnSpPr/>
      </cdr:nvCxnSpPr>
      <cdr:spPr>
        <a:xfrm xmlns:a="http://schemas.openxmlformats.org/drawingml/2006/main" flipH="1" flipV="1">
          <a:off x="5040191" y="708908"/>
          <a:ext cx="181783" cy="355027"/>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0.56019</cdr:x>
      <cdr:y>0.14039</cdr:y>
    </cdr:from>
    <cdr:to>
      <cdr:x>0.70659</cdr:x>
      <cdr:y>0.14039</cdr:y>
    </cdr:to>
    <cdr:cxnSp macro="">
      <cdr:nvCxnSpPr>
        <cdr:cNvPr id="20" name="Прямая соединительная линия 19"/>
        <cdr:cNvCxnSpPr/>
      </cdr:nvCxnSpPr>
      <cdr:spPr>
        <a:xfrm xmlns:a="http://schemas.openxmlformats.org/drawingml/2006/main" flipH="1">
          <a:off x="4009177" y="717546"/>
          <a:ext cx="1047761" cy="0"/>
        </a:xfrm>
        <a:prstGeom xmlns:a="http://schemas.openxmlformats.org/drawingml/2006/main" prst="line">
          <a:avLst/>
        </a:prstGeom>
        <a:ln xmlns:a="http://schemas.openxmlformats.org/drawingml/2006/main" w="15875">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0.72863</cdr:x>
      <cdr:y>0.01658</cdr:y>
    </cdr:from>
    <cdr:to>
      <cdr:x>0.72863</cdr:x>
      <cdr:y>0.92546</cdr:y>
    </cdr:to>
    <cdr:cxnSp macro="">
      <cdr:nvCxnSpPr>
        <cdr:cNvPr id="21" name="Прямая соединительная линия 20"/>
        <cdr:cNvCxnSpPr/>
      </cdr:nvCxnSpPr>
      <cdr:spPr>
        <a:xfrm xmlns:a="http://schemas.openxmlformats.org/drawingml/2006/main">
          <a:off x="5214684" y="84766"/>
          <a:ext cx="0" cy="4645511"/>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0.xml><?xml version="1.0" encoding="utf-8"?>
<c:userShapes xmlns:c="http://schemas.openxmlformats.org/drawingml/2006/chart">
  <cdr:relSizeAnchor xmlns:cdr="http://schemas.openxmlformats.org/drawingml/2006/chartDrawing">
    <cdr:from>
      <cdr:x>0.45781</cdr:x>
      <cdr:y>0</cdr:y>
    </cdr:from>
    <cdr:to>
      <cdr:x>0.4599</cdr:x>
      <cdr:y>0.83334</cdr:y>
    </cdr:to>
    <cdr:sp macro="" textlink="">
      <cdr:nvSpPr>
        <cdr:cNvPr id="3" name="Прямая соединительная линия 2"/>
        <cdr:cNvSpPr/>
      </cdr:nvSpPr>
      <cdr:spPr>
        <a:xfrm xmlns:a="http://schemas.openxmlformats.org/drawingml/2006/main" flipV="1">
          <a:off x="2184671" y="0"/>
          <a:ext cx="9973" cy="209551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0.425</cdr:x>
      <cdr:y>0.72917</cdr:y>
    </cdr:from>
    <cdr:to>
      <cdr:x>0.52708</cdr:x>
      <cdr:y>0.83681</cdr:y>
    </cdr:to>
    <cdr:sp macro="" textlink="">
      <cdr:nvSpPr>
        <cdr:cNvPr id="7" name="TextBox 6"/>
        <cdr:cNvSpPr txBox="1"/>
      </cdr:nvSpPr>
      <cdr:spPr>
        <a:xfrm xmlns:a="http://schemas.openxmlformats.org/drawingml/2006/main">
          <a:off x="1943115" y="2000253"/>
          <a:ext cx="466710" cy="29527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t>2003</a:t>
          </a:r>
        </a:p>
      </cdr:txBody>
    </cdr:sp>
  </cdr:relSizeAnchor>
  <cdr:relSizeAnchor xmlns:cdr="http://schemas.openxmlformats.org/drawingml/2006/chartDrawing">
    <cdr:from>
      <cdr:x>0.16458</cdr:x>
      <cdr:y>0</cdr:y>
    </cdr:from>
    <cdr:to>
      <cdr:x>0.16875</cdr:x>
      <cdr:y>0.82639</cdr:y>
    </cdr:to>
    <cdr:sp macro="" textlink="">
      <cdr:nvSpPr>
        <cdr:cNvPr id="5" name="Прямая соединительная линия 4"/>
        <cdr:cNvSpPr/>
      </cdr:nvSpPr>
      <cdr:spPr>
        <a:xfrm xmlns:a="http://schemas.openxmlformats.org/drawingml/2006/main" flipH="1" flipV="1">
          <a:off x="752475" y="0"/>
          <a:ext cx="19050" cy="2078037"/>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0.18333</cdr:x>
      <cdr:y>0.70833</cdr:y>
    </cdr:from>
    <cdr:to>
      <cdr:x>0.28541</cdr:x>
      <cdr:y>0.81597</cdr:y>
    </cdr:to>
    <cdr:sp macro="" textlink="">
      <cdr:nvSpPr>
        <cdr:cNvPr id="6" name="TextBox 1"/>
        <cdr:cNvSpPr txBox="1"/>
      </cdr:nvSpPr>
      <cdr:spPr>
        <a:xfrm xmlns:a="http://schemas.openxmlformats.org/drawingml/2006/main">
          <a:off x="838200" y="1943100"/>
          <a:ext cx="466710" cy="29527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t>1993</a:t>
          </a:r>
        </a:p>
      </cdr:txBody>
    </cdr:sp>
  </cdr:relSizeAnchor>
  <cdr:relSizeAnchor xmlns:cdr="http://schemas.openxmlformats.org/drawingml/2006/chartDrawing">
    <cdr:from>
      <cdr:x>0.00208</cdr:x>
      <cdr:y>0.30777</cdr:y>
    </cdr:from>
    <cdr:to>
      <cdr:x>0.10417</cdr:x>
      <cdr:y>0.4154</cdr:y>
    </cdr:to>
    <cdr:sp macro="" textlink="">
      <cdr:nvSpPr>
        <cdr:cNvPr id="12" name="Овал 11"/>
        <cdr:cNvSpPr/>
      </cdr:nvSpPr>
      <cdr:spPr>
        <a:xfrm xmlns:a="http://schemas.openxmlformats.org/drawingml/2006/main">
          <a:off x="9942" y="773906"/>
          <a:ext cx="487144" cy="270669"/>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0.77274</cdr:x>
      <cdr:y>0.37563</cdr:y>
    </cdr:from>
    <cdr:to>
      <cdr:x>0.87483</cdr:x>
      <cdr:y>0.48327</cdr:y>
    </cdr:to>
    <cdr:sp macro="" textlink="">
      <cdr:nvSpPr>
        <cdr:cNvPr id="16" name="Овал 15"/>
        <cdr:cNvSpPr/>
      </cdr:nvSpPr>
      <cdr:spPr>
        <a:xfrm xmlns:a="http://schemas.openxmlformats.org/drawingml/2006/main">
          <a:off x="3687531" y="944570"/>
          <a:ext cx="487176" cy="270671"/>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0.74234</cdr:x>
      <cdr:y>0.19508</cdr:y>
    </cdr:from>
    <cdr:to>
      <cdr:x>0.84442</cdr:x>
      <cdr:y>0.30271</cdr:y>
    </cdr:to>
    <cdr:sp macro="" textlink="">
      <cdr:nvSpPr>
        <cdr:cNvPr id="17" name="Овал 16"/>
        <cdr:cNvSpPr/>
      </cdr:nvSpPr>
      <cdr:spPr>
        <a:xfrm xmlns:a="http://schemas.openxmlformats.org/drawingml/2006/main">
          <a:off x="3542467" y="490537"/>
          <a:ext cx="487144" cy="270669"/>
        </a:xfrm>
        <a:prstGeom xmlns:a="http://schemas.openxmlformats.org/drawingml/2006/main" prst="ellipse">
          <a:avLst/>
        </a:prstGeom>
        <a:noFill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19" name="Прямая соединительная линия 18"/>
        <cdr:cNvSpPr/>
      </cdr:nvSpPr>
      <cdr:spPr>
        <a:xfrm xmlns:a="http://schemas.openxmlformats.org/drawingml/2006/main">
          <a:off x="-5686425" y="-638175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cdr:x>
      <cdr:y>0</cdr:y>
    </cdr:from>
    <cdr:to>
      <cdr:x>0</cdr:x>
      <cdr:y>0</cdr:y>
    </cdr:to>
    <cdr:sp macro="" textlink="">
      <cdr:nvSpPr>
        <cdr:cNvPr id="21" name="Прямая соединительная линия 20"/>
        <cdr:cNvSpPr/>
      </cdr:nvSpPr>
      <cdr:spPr>
        <a:xfrm xmlns:a="http://schemas.openxmlformats.org/drawingml/2006/main">
          <a:off x="-5686425" y="-6381750"/>
          <a:ext cx="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0.08782</cdr:x>
      <cdr:y>0.00758</cdr:y>
    </cdr:from>
    <cdr:to>
      <cdr:x>0.1517</cdr:x>
      <cdr:y>0.15909</cdr:y>
    </cdr:to>
    <cdr:sp macro="" textlink="">
      <cdr:nvSpPr>
        <cdr:cNvPr id="22" name="TextBox 21"/>
        <cdr:cNvSpPr txBox="1"/>
      </cdr:nvSpPr>
      <cdr:spPr>
        <a:xfrm xmlns:a="http://schemas.openxmlformats.org/drawingml/2006/main">
          <a:off x="419101" y="19050"/>
          <a:ext cx="304800" cy="3810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400" b="1"/>
            <a:t>I</a:t>
          </a:r>
          <a:endParaRPr lang="ru-RU" sz="1400" b="1"/>
        </a:p>
      </cdr:txBody>
    </cdr:sp>
  </cdr:relSizeAnchor>
  <cdr:relSizeAnchor xmlns:cdr="http://schemas.openxmlformats.org/drawingml/2006/chartDrawing">
    <cdr:from>
      <cdr:x>0.28743</cdr:x>
      <cdr:y>0</cdr:y>
    </cdr:from>
    <cdr:to>
      <cdr:x>0.3513</cdr:x>
      <cdr:y>0.15152</cdr:y>
    </cdr:to>
    <cdr:sp macro="" textlink="">
      <cdr:nvSpPr>
        <cdr:cNvPr id="23" name="TextBox 1"/>
        <cdr:cNvSpPr txBox="1"/>
      </cdr:nvSpPr>
      <cdr:spPr>
        <a:xfrm xmlns:a="http://schemas.openxmlformats.org/drawingml/2006/main">
          <a:off x="1371600" y="0"/>
          <a:ext cx="304800" cy="381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t>II</a:t>
          </a:r>
          <a:endParaRPr lang="ru-RU" sz="1400" b="1"/>
        </a:p>
      </cdr:txBody>
    </cdr:sp>
  </cdr:relSizeAnchor>
  <cdr:relSizeAnchor xmlns:cdr="http://schemas.openxmlformats.org/drawingml/2006/chartDrawing">
    <cdr:from>
      <cdr:x>0.56287</cdr:x>
      <cdr:y>0</cdr:y>
    </cdr:from>
    <cdr:to>
      <cdr:x>0.62675</cdr:x>
      <cdr:y>0.15152</cdr:y>
    </cdr:to>
    <cdr:sp macro="" textlink="">
      <cdr:nvSpPr>
        <cdr:cNvPr id="24" name="TextBox 1"/>
        <cdr:cNvSpPr txBox="1"/>
      </cdr:nvSpPr>
      <cdr:spPr>
        <a:xfrm xmlns:a="http://schemas.openxmlformats.org/drawingml/2006/main">
          <a:off x="2686050" y="0"/>
          <a:ext cx="304800" cy="38100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400" b="1"/>
            <a:t>III</a:t>
          </a:r>
          <a:endParaRPr lang="ru-RU" sz="1400" b="1"/>
        </a:p>
      </cdr:txBody>
    </cdr:sp>
  </cdr:relSizeAnchor>
  <cdr:relSizeAnchor xmlns:cdr="http://schemas.openxmlformats.org/drawingml/2006/chartDrawing">
    <cdr:from>
      <cdr:x>0.45908</cdr:x>
      <cdr:y>0.13636</cdr:y>
    </cdr:from>
    <cdr:to>
      <cdr:x>0.73453</cdr:x>
      <cdr:y>0.13636</cdr:y>
    </cdr:to>
    <cdr:sp macro="" textlink="">
      <cdr:nvSpPr>
        <cdr:cNvPr id="15" name="Прямая соединительная линия 14"/>
        <cdr:cNvSpPr/>
      </cdr:nvSpPr>
      <cdr:spPr>
        <a:xfrm xmlns:a="http://schemas.openxmlformats.org/drawingml/2006/main">
          <a:off x="2190750" y="342900"/>
          <a:ext cx="13144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0.45908</cdr:x>
      <cdr:y>0.38258</cdr:y>
    </cdr:from>
    <cdr:to>
      <cdr:x>0.77445</cdr:x>
      <cdr:y>0.38258</cdr:y>
    </cdr:to>
    <cdr:sp macro="" textlink="">
      <cdr:nvSpPr>
        <cdr:cNvPr id="20" name="Прямая соединительная линия 19"/>
        <cdr:cNvSpPr/>
      </cdr:nvSpPr>
      <cdr:spPr>
        <a:xfrm xmlns:a="http://schemas.openxmlformats.org/drawingml/2006/main">
          <a:off x="2190750" y="962025"/>
          <a:ext cx="1504950" cy="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1.xml><?xml version="1.0" encoding="utf-8"?>
<c:userShapes xmlns:c="http://schemas.openxmlformats.org/drawingml/2006/chart">
  <cdr:relSizeAnchor xmlns:cdr="http://schemas.openxmlformats.org/drawingml/2006/chartDrawing">
    <cdr:from>
      <cdr:x>0.79939</cdr:x>
      <cdr:y>0.48307</cdr:y>
    </cdr:from>
    <cdr:to>
      <cdr:x>0.89132</cdr:x>
      <cdr:y>0.64288</cdr:y>
    </cdr:to>
    <cdr:sp macro="" textlink="">
      <cdr:nvSpPr>
        <cdr:cNvPr id="2" name="Овал 1"/>
        <cdr:cNvSpPr/>
      </cdr:nvSpPr>
      <cdr:spPr>
        <a:xfrm xmlns:a="http://schemas.openxmlformats.org/drawingml/2006/main">
          <a:off x="4614182" y="3454853"/>
          <a:ext cx="530678" cy="11430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2.xml><?xml version="1.0" encoding="utf-8"?>
<c:userShapes xmlns:c="http://schemas.openxmlformats.org/drawingml/2006/chart">
  <cdr:relSizeAnchor xmlns:cdr="http://schemas.openxmlformats.org/drawingml/2006/chartDrawing">
    <cdr:from>
      <cdr:x>0.87493</cdr:x>
      <cdr:y>0.46316</cdr:y>
    </cdr:from>
    <cdr:to>
      <cdr:x>0.96541</cdr:x>
      <cdr:y>0.62344</cdr:y>
    </cdr:to>
    <cdr:sp macro="" textlink="">
      <cdr:nvSpPr>
        <cdr:cNvPr id="2" name="Овал 1"/>
        <cdr:cNvSpPr/>
      </cdr:nvSpPr>
      <cdr:spPr>
        <a:xfrm xmlns:a="http://schemas.openxmlformats.org/drawingml/2006/main">
          <a:off x="4474030" y="2634342"/>
          <a:ext cx="462642" cy="91167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3.xml><?xml version="1.0" encoding="utf-8"?>
<c:userShapes xmlns:c="http://schemas.openxmlformats.org/drawingml/2006/chart">
  <cdr:relSizeAnchor xmlns:cdr="http://schemas.openxmlformats.org/drawingml/2006/chartDrawing">
    <cdr:from>
      <cdr:x>0.06486</cdr:x>
      <cdr:y>0.01667</cdr:y>
    </cdr:from>
    <cdr:to>
      <cdr:x>0.21418</cdr:x>
      <cdr:y>0.07857</cdr:y>
    </cdr:to>
    <cdr:sp macro="" textlink="">
      <cdr:nvSpPr>
        <cdr:cNvPr id="2" name="TextBox 1"/>
        <cdr:cNvSpPr txBox="1"/>
      </cdr:nvSpPr>
      <cdr:spPr>
        <a:xfrm xmlns:a="http://schemas.openxmlformats.org/drawingml/2006/main">
          <a:off x="409576" y="66676"/>
          <a:ext cx="9429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млрд.</a:t>
          </a:r>
          <a:r>
            <a:rPr lang="ru-RU" sz="1100" baseline="0"/>
            <a:t> руб</a:t>
          </a:r>
          <a:endParaRPr lang="ru-RU" sz="1100"/>
        </a:p>
      </cdr:txBody>
    </cdr:sp>
  </cdr:relSizeAnchor>
</c:userShapes>
</file>

<file path=word/drawings/drawing44.xml><?xml version="1.0" encoding="utf-8"?>
<c:userShapes xmlns:c="http://schemas.openxmlformats.org/drawingml/2006/chart">
  <cdr:relSizeAnchor xmlns:cdr="http://schemas.openxmlformats.org/drawingml/2006/chartDrawing">
    <cdr:from>
      <cdr:x>0.06211</cdr:x>
      <cdr:y>0.03073</cdr:y>
    </cdr:from>
    <cdr:to>
      <cdr:x>0.23787</cdr:x>
      <cdr:y>0.10335</cdr:y>
    </cdr:to>
    <cdr:sp macro="" textlink="">
      <cdr:nvSpPr>
        <cdr:cNvPr id="2" name="TextBox 1"/>
        <cdr:cNvSpPr txBox="1"/>
      </cdr:nvSpPr>
      <cdr:spPr>
        <a:xfrm xmlns:a="http://schemas.openxmlformats.org/drawingml/2006/main">
          <a:off x="381000" y="104775"/>
          <a:ext cx="107809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млрд.</a:t>
          </a:r>
          <a:r>
            <a:rPr lang="ru-RU" sz="1100" baseline="0"/>
            <a:t> руб</a:t>
          </a:r>
          <a:endParaRPr lang="ru-RU" sz="1100"/>
        </a:p>
      </cdr:txBody>
    </cdr:sp>
  </cdr:relSizeAnchor>
</c:userShapes>
</file>

<file path=word/drawings/drawing45.xml><?xml version="1.0" encoding="utf-8"?>
<c:userShapes xmlns:c="http://schemas.openxmlformats.org/drawingml/2006/chart">
  <cdr:relSizeAnchor xmlns:cdr="http://schemas.openxmlformats.org/drawingml/2006/chartDrawing">
    <cdr:from>
      <cdr:x>0.07981</cdr:x>
      <cdr:y>0.04482</cdr:y>
    </cdr:from>
    <cdr:to>
      <cdr:x>0.25694</cdr:x>
      <cdr:y>0.11765</cdr:y>
    </cdr:to>
    <cdr:sp macro="" textlink="">
      <cdr:nvSpPr>
        <cdr:cNvPr id="2" name="TextBox 1"/>
        <cdr:cNvSpPr txBox="1"/>
      </cdr:nvSpPr>
      <cdr:spPr>
        <a:xfrm xmlns:a="http://schemas.openxmlformats.org/drawingml/2006/main">
          <a:off x="485775" y="152400"/>
          <a:ext cx="107809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млрд.</a:t>
          </a:r>
          <a:r>
            <a:rPr lang="ru-RU" sz="1100" baseline="0"/>
            <a:t> руб</a:t>
          </a:r>
          <a:endParaRPr lang="ru-RU" sz="1100"/>
        </a:p>
      </cdr:txBody>
    </cdr:sp>
  </cdr:relSizeAnchor>
</c:userShapes>
</file>

<file path=word/drawings/drawing46.xml><?xml version="1.0" encoding="utf-8"?>
<c:userShapes xmlns:c="http://schemas.openxmlformats.org/drawingml/2006/chart">
  <cdr:relSizeAnchor xmlns:cdr="http://schemas.openxmlformats.org/drawingml/2006/chartDrawing">
    <cdr:from>
      <cdr:x>0.04489</cdr:x>
      <cdr:y>0.45185</cdr:y>
    </cdr:from>
    <cdr:to>
      <cdr:x>1</cdr:x>
      <cdr:y>0.45659</cdr:y>
    </cdr:to>
    <cdr:sp macro="" textlink="">
      <cdr:nvSpPr>
        <cdr:cNvPr id="3" name="Прямая соединительная линия 2"/>
        <cdr:cNvSpPr/>
      </cdr:nvSpPr>
      <cdr:spPr>
        <a:xfrm xmlns:a="http://schemas.openxmlformats.org/drawingml/2006/main">
          <a:off x="286055" y="1358088"/>
          <a:ext cx="6076645" cy="14247"/>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0.82635</cdr:x>
      <cdr:y>0.13981</cdr:y>
    </cdr:from>
    <cdr:to>
      <cdr:x>0.91976</cdr:x>
      <cdr:y>0.32464</cdr:y>
    </cdr:to>
    <cdr:sp macro="" textlink="">
      <cdr:nvSpPr>
        <cdr:cNvPr id="4" name="TextBox 3"/>
        <cdr:cNvSpPr txBox="1"/>
      </cdr:nvSpPr>
      <cdr:spPr>
        <a:xfrm xmlns:a="http://schemas.openxmlformats.org/drawingml/2006/main">
          <a:off x="6572250" y="561975"/>
          <a:ext cx="742950" cy="742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t>14</a:t>
          </a:r>
        </a:p>
      </cdr:txBody>
    </cdr:sp>
  </cdr:relSizeAnchor>
  <cdr:relSizeAnchor xmlns:cdr="http://schemas.openxmlformats.org/drawingml/2006/chartDrawing">
    <cdr:from>
      <cdr:x>0.31328</cdr:x>
      <cdr:y>0.32881</cdr:y>
    </cdr:from>
    <cdr:to>
      <cdr:x>0.3582</cdr:x>
      <cdr:y>0.97054</cdr:y>
    </cdr:to>
    <cdr:sp macro="" textlink="">
      <cdr:nvSpPr>
        <cdr:cNvPr id="5" name="Овал 4"/>
        <cdr:cNvSpPr/>
      </cdr:nvSpPr>
      <cdr:spPr>
        <a:xfrm xmlns:a="http://schemas.openxmlformats.org/drawingml/2006/main">
          <a:off x="1993136" y="988283"/>
          <a:ext cx="285792" cy="1928807"/>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0.694</cdr:x>
      <cdr:y>0.30666</cdr:y>
    </cdr:from>
    <cdr:to>
      <cdr:x>0.73892</cdr:x>
      <cdr:y>0.94839</cdr:y>
    </cdr:to>
    <cdr:sp macro="" textlink="">
      <cdr:nvSpPr>
        <cdr:cNvPr id="6" name="Овал 5"/>
        <cdr:cNvSpPr/>
      </cdr:nvSpPr>
      <cdr:spPr>
        <a:xfrm xmlns:a="http://schemas.openxmlformats.org/drawingml/2006/main">
          <a:off x="4415428" y="921708"/>
          <a:ext cx="285792" cy="1928807"/>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47.xml><?xml version="1.0" encoding="utf-8"?>
<c:userShapes xmlns:c="http://schemas.openxmlformats.org/drawingml/2006/chart">
  <cdr:relSizeAnchor xmlns:cdr="http://schemas.openxmlformats.org/drawingml/2006/chartDrawing">
    <cdr:from>
      <cdr:x>0.0385</cdr:x>
      <cdr:y>0.40296</cdr:y>
    </cdr:from>
    <cdr:to>
      <cdr:x>0.99361</cdr:x>
      <cdr:y>0.4077</cdr:y>
    </cdr:to>
    <cdr:sp macro="" textlink="">
      <cdr:nvSpPr>
        <cdr:cNvPr id="3" name="Прямая соединительная линия 2"/>
        <cdr:cNvSpPr/>
      </cdr:nvSpPr>
      <cdr:spPr>
        <a:xfrm xmlns:a="http://schemas.openxmlformats.org/drawingml/2006/main">
          <a:off x="243034" y="1211150"/>
          <a:ext cx="6029859" cy="14247"/>
        </a:xfrm>
        <a:prstGeom xmlns:a="http://schemas.openxmlformats.org/drawingml/2006/main" prst="line">
          <a:avLst/>
        </a:prstGeom>
        <a:ln xmlns:a="http://schemas.openxmlformats.org/drawingml/2006/main" w="25400">
          <a:solidFill>
            <a:srgbClr val="FF0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0.91679</cdr:x>
      <cdr:y>0.23699</cdr:y>
    </cdr:from>
    <cdr:to>
      <cdr:x>0.95751</cdr:x>
      <cdr:y>0.88801</cdr:y>
    </cdr:to>
    <cdr:sp macro="" textlink="">
      <cdr:nvSpPr>
        <cdr:cNvPr id="8" name="Овал 7"/>
        <cdr:cNvSpPr/>
      </cdr:nvSpPr>
      <cdr:spPr>
        <a:xfrm xmlns:a="http://schemas.openxmlformats.org/drawingml/2006/main">
          <a:off x="5954462" y="711768"/>
          <a:ext cx="264471" cy="1955232"/>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0.27475</cdr:x>
      <cdr:y>0.29812</cdr:y>
    </cdr:from>
    <cdr:to>
      <cdr:x>0.32001</cdr:x>
      <cdr:y>0.99915</cdr:y>
    </cdr:to>
    <cdr:sp macro="" textlink="">
      <cdr:nvSpPr>
        <cdr:cNvPr id="9" name="Овал 8"/>
        <cdr:cNvSpPr/>
      </cdr:nvSpPr>
      <cdr:spPr>
        <a:xfrm xmlns:a="http://schemas.openxmlformats.org/drawingml/2006/main">
          <a:off x="1784466" y="895350"/>
          <a:ext cx="293958" cy="2105438"/>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0.84072</cdr:x>
      <cdr:y>0.06635</cdr:y>
    </cdr:from>
    <cdr:to>
      <cdr:x>0.93413</cdr:x>
      <cdr:y>0.25118</cdr:y>
    </cdr:to>
    <cdr:sp macro="" textlink="">
      <cdr:nvSpPr>
        <cdr:cNvPr id="10" name="TextBox 1"/>
        <cdr:cNvSpPr txBox="1"/>
      </cdr:nvSpPr>
      <cdr:spPr>
        <a:xfrm xmlns:a="http://schemas.openxmlformats.org/drawingml/2006/main">
          <a:off x="6686550" y="266700"/>
          <a:ext cx="742950" cy="742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600" b="1"/>
            <a:t>15</a:t>
          </a:r>
        </a:p>
      </cdr:txBody>
    </cdr:sp>
  </cdr:relSizeAnchor>
  <cdr:relSizeAnchor xmlns:cdr="http://schemas.openxmlformats.org/drawingml/2006/chartDrawing">
    <cdr:from>
      <cdr:x>0.63648</cdr:x>
      <cdr:y>0.13003</cdr:y>
    </cdr:from>
    <cdr:to>
      <cdr:x>0.68174</cdr:x>
      <cdr:y>0.89545</cdr:y>
    </cdr:to>
    <cdr:sp macro="" textlink="">
      <cdr:nvSpPr>
        <cdr:cNvPr id="6" name="Овал 5"/>
        <cdr:cNvSpPr/>
      </cdr:nvSpPr>
      <cdr:spPr>
        <a:xfrm xmlns:a="http://schemas.openxmlformats.org/drawingml/2006/main">
          <a:off x="4133850" y="390525"/>
          <a:ext cx="293958" cy="2298809"/>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0.74794</cdr:x>
      <cdr:y>0.1776</cdr:y>
    </cdr:from>
    <cdr:to>
      <cdr:x>0.7932</cdr:x>
      <cdr:y>0.81933</cdr:y>
    </cdr:to>
    <cdr:sp macro="" textlink="">
      <cdr:nvSpPr>
        <cdr:cNvPr id="7" name="Овал 6"/>
        <cdr:cNvSpPr/>
      </cdr:nvSpPr>
      <cdr:spPr>
        <a:xfrm xmlns:a="http://schemas.openxmlformats.org/drawingml/2006/main">
          <a:off x="4857750" y="533400"/>
          <a:ext cx="293958" cy="1927334"/>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0.3857</cdr:x>
      <cdr:y>0.14589</cdr:y>
    </cdr:from>
    <cdr:to>
      <cdr:x>0.43096</cdr:x>
      <cdr:y>0.84692</cdr:y>
    </cdr:to>
    <cdr:sp macro="" textlink="">
      <cdr:nvSpPr>
        <cdr:cNvPr id="12" name="Овал 11"/>
        <cdr:cNvSpPr/>
      </cdr:nvSpPr>
      <cdr:spPr>
        <a:xfrm xmlns:a="http://schemas.openxmlformats.org/drawingml/2006/main">
          <a:off x="2505075" y="438150"/>
          <a:ext cx="293958" cy="2105438"/>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0.47369</cdr:x>
      <cdr:y>0.08246</cdr:y>
    </cdr:from>
    <cdr:to>
      <cdr:x>0.50889</cdr:x>
      <cdr:y>0.84692</cdr:y>
    </cdr:to>
    <cdr:sp macro="" textlink="">
      <cdr:nvSpPr>
        <cdr:cNvPr id="13" name="Овал 12"/>
        <cdr:cNvSpPr/>
      </cdr:nvSpPr>
      <cdr:spPr>
        <a:xfrm xmlns:a="http://schemas.openxmlformats.org/drawingml/2006/main">
          <a:off x="3076575" y="247650"/>
          <a:ext cx="228600" cy="2295938"/>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0.8022</cdr:x>
      <cdr:y>0.18077</cdr:y>
    </cdr:from>
    <cdr:to>
      <cdr:x>0.84746</cdr:x>
      <cdr:y>0.93572</cdr:y>
    </cdr:to>
    <cdr:sp macro="" textlink="">
      <cdr:nvSpPr>
        <cdr:cNvPr id="14" name="Овал 13"/>
        <cdr:cNvSpPr/>
      </cdr:nvSpPr>
      <cdr:spPr>
        <a:xfrm xmlns:a="http://schemas.openxmlformats.org/drawingml/2006/main">
          <a:off x="5210175" y="542925"/>
          <a:ext cx="293958" cy="2267363"/>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48.xml><?xml version="1.0" encoding="utf-8"?>
<c:userShapes xmlns:c="http://schemas.openxmlformats.org/drawingml/2006/chart">
  <cdr:relSizeAnchor xmlns:cdr="http://schemas.openxmlformats.org/drawingml/2006/chartDrawing">
    <cdr:from>
      <cdr:x>0.0027</cdr:x>
      <cdr:y>0.18069</cdr:y>
    </cdr:from>
    <cdr:to>
      <cdr:x>0.04054</cdr:x>
      <cdr:y>0.25495</cdr:y>
    </cdr:to>
    <cdr:sp macro="" textlink="">
      <cdr:nvSpPr>
        <cdr:cNvPr id="5" name="TextBox 4"/>
        <cdr:cNvSpPr txBox="1"/>
      </cdr:nvSpPr>
      <cdr:spPr>
        <a:xfrm xmlns:a="http://schemas.openxmlformats.org/drawingml/2006/main">
          <a:off x="19052" y="695326"/>
          <a:ext cx="266699" cy="285750"/>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non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0.60299</cdr:x>
      <cdr:y>0.27066</cdr:y>
    </cdr:from>
    <cdr:to>
      <cdr:x>0.64759</cdr:x>
      <cdr:y>0.86967</cdr:y>
    </cdr:to>
    <cdr:sp macro="" textlink="">
      <cdr:nvSpPr>
        <cdr:cNvPr id="7" name="Овал 6"/>
        <cdr:cNvSpPr/>
      </cdr:nvSpPr>
      <cdr:spPr>
        <a:xfrm xmlns:a="http://schemas.openxmlformats.org/drawingml/2006/main">
          <a:off x="4186991" y="969163"/>
          <a:ext cx="309690" cy="214491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0.54103</cdr:x>
      <cdr:y>0.23217</cdr:y>
    </cdr:from>
    <cdr:to>
      <cdr:x>0.58563</cdr:x>
      <cdr:y>0.83118</cdr:y>
    </cdr:to>
    <cdr:sp macro="" textlink="">
      <cdr:nvSpPr>
        <cdr:cNvPr id="8" name="Овал 7"/>
        <cdr:cNvSpPr/>
      </cdr:nvSpPr>
      <cdr:spPr>
        <a:xfrm xmlns:a="http://schemas.openxmlformats.org/drawingml/2006/main">
          <a:off x="3756758" y="831339"/>
          <a:ext cx="309690" cy="214491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0.75251</cdr:x>
      <cdr:y>0.2414</cdr:y>
    </cdr:from>
    <cdr:to>
      <cdr:x>0.79711</cdr:x>
      <cdr:y>0.84041</cdr:y>
    </cdr:to>
    <cdr:sp macro="" textlink="">
      <cdr:nvSpPr>
        <cdr:cNvPr id="9" name="Овал 8"/>
        <cdr:cNvSpPr/>
      </cdr:nvSpPr>
      <cdr:spPr>
        <a:xfrm xmlns:a="http://schemas.openxmlformats.org/drawingml/2006/main">
          <a:off x="5225216" y="864388"/>
          <a:ext cx="309690" cy="214491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0.16161</cdr:x>
      <cdr:y>0.09576</cdr:y>
    </cdr:from>
    <cdr:to>
      <cdr:x>0.21399</cdr:x>
      <cdr:y>0.96826</cdr:y>
    </cdr:to>
    <cdr:sp macro="" textlink="">
      <cdr:nvSpPr>
        <cdr:cNvPr id="10" name="Овал 9"/>
        <cdr:cNvSpPr/>
      </cdr:nvSpPr>
      <cdr:spPr>
        <a:xfrm xmlns:a="http://schemas.openxmlformats.org/drawingml/2006/main">
          <a:off x="1122185" y="342900"/>
          <a:ext cx="363715" cy="312419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9.xml><?xml version="1.0" encoding="utf-8"?>
<c:userShapes xmlns:c="http://schemas.openxmlformats.org/drawingml/2006/chart">
  <cdr:relSizeAnchor xmlns:cdr="http://schemas.openxmlformats.org/drawingml/2006/chartDrawing">
    <cdr:from>
      <cdr:x>0.15606</cdr:x>
      <cdr:y>0.02552</cdr:y>
    </cdr:from>
    <cdr:to>
      <cdr:x>0.20758</cdr:x>
      <cdr:y>0.04408</cdr:y>
    </cdr:to>
    <cdr:sp macro="" textlink="">
      <cdr:nvSpPr>
        <cdr:cNvPr id="2" name="TextBox 1"/>
        <cdr:cNvSpPr txBox="1"/>
      </cdr:nvSpPr>
      <cdr:spPr>
        <a:xfrm xmlns:a="http://schemas.openxmlformats.org/drawingml/2006/main">
          <a:off x="981075" y="104775"/>
          <a:ext cx="323850" cy="76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0.0697</cdr:x>
      <cdr:y>0</cdr:y>
    </cdr:from>
    <cdr:to>
      <cdr:x>0.14545</cdr:x>
      <cdr:y>0.07889</cdr:y>
    </cdr:to>
    <cdr:sp macro="" textlink="">
      <cdr:nvSpPr>
        <cdr:cNvPr id="3" name="TextBox 2"/>
        <cdr:cNvSpPr txBox="1"/>
      </cdr:nvSpPr>
      <cdr:spPr>
        <a:xfrm xmlns:a="http://schemas.openxmlformats.org/drawingml/2006/main">
          <a:off x="438150" y="0"/>
          <a:ext cx="476250"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a:t>
          </a:r>
        </a:p>
      </cdr:txBody>
    </cdr:sp>
  </cdr:relSizeAnchor>
  <cdr:relSizeAnchor xmlns:cdr="http://schemas.openxmlformats.org/drawingml/2006/chartDrawing">
    <cdr:from>
      <cdr:x>0.07133</cdr:x>
      <cdr:y>0.0117</cdr:y>
    </cdr:from>
    <cdr:to>
      <cdr:x>0.10629</cdr:x>
      <cdr:y>0.82384</cdr:y>
    </cdr:to>
    <cdr:sp macro="" textlink="">
      <cdr:nvSpPr>
        <cdr:cNvPr id="9" name="Овал 8"/>
        <cdr:cNvSpPr/>
      </cdr:nvSpPr>
      <cdr:spPr>
        <a:xfrm xmlns:a="http://schemas.openxmlformats.org/drawingml/2006/main">
          <a:off x="485751" y="47626"/>
          <a:ext cx="238149" cy="3305158"/>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0.94266</cdr:x>
      <cdr:y>0.17787</cdr:y>
    </cdr:from>
    <cdr:to>
      <cdr:x>0.98042</cdr:x>
      <cdr:y>0.88001</cdr:y>
    </cdr:to>
    <cdr:sp macro="" textlink="">
      <cdr:nvSpPr>
        <cdr:cNvPr id="10" name="Овал 9"/>
        <cdr:cNvSpPr/>
      </cdr:nvSpPr>
      <cdr:spPr>
        <a:xfrm xmlns:a="http://schemas.openxmlformats.org/drawingml/2006/main">
          <a:off x="6419856" y="723884"/>
          <a:ext cx="257160" cy="285751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xml><?xml version="1.0" encoding="utf-8"?>
<c:userShapes xmlns:c="http://schemas.openxmlformats.org/drawingml/2006/chart">
  <cdr:relSizeAnchor xmlns:cdr="http://schemas.openxmlformats.org/drawingml/2006/chartDrawing">
    <cdr:from>
      <cdr:x>0.45189</cdr:x>
      <cdr:y>0.01366</cdr:y>
    </cdr:from>
    <cdr:to>
      <cdr:x>0.45189</cdr:x>
      <cdr:y>0.93989</cdr:y>
    </cdr:to>
    <cdr:sp macro="" textlink="">
      <cdr:nvSpPr>
        <cdr:cNvPr id="3" name="Прямая соединительная линия 2"/>
        <cdr:cNvSpPr/>
      </cdr:nvSpPr>
      <cdr:spPr>
        <a:xfrm xmlns:a="http://schemas.openxmlformats.org/drawingml/2006/main">
          <a:off x="1476375" y="47625"/>
          <a:ext cx="0" cy="3228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0.51603</cdr:x>
      <cdr:y>0</cdr:y>
    </cdr:from>
    <cdr:to>
      <cdr:x>0.51603</cdr:x>
      <cdr:y>0.92623</cdr:y>
    </cdr:to>
    <cdr:sp macro="" textlink="">
      <cdr:nvSpPr>
        <cdr:cNvPr id="4" name="Прямая соединительная линия 3"/>
        <cdr:cNvSpPr/>
      </cdr:nvSpPr>
      <cdr:spPr>
        <a:xfrm xmlns:a="http://schemas.openxmlformats.org/drawingml/2006/main">
          <a:off x="1685925" y="0"/>
          <a:ext cx="0" cy="322897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0.57143</cdr:x>
      <cdr:y>0</cdr:y>
    </cdr:from>
    <cdr:to>
      <cdr:x>0.57143</cdr:x>
      <cdr:y>0.91803</cdr:y>
    </cdr:to>
    <cdr:sp macro="" textlink="">
      <cdr:nvSpPr>
        <cdr:cNvPr id="5" name="Прямая соединительная линия 4"/>
        <cdr:cNvSpPr/>
      </cdr:nvSpPr>
      <cdr:spPr>
        <a:xfrm xmlns:a="http://schemas.openxmlformats.org/drawingml/2006/main">
          <a:off x="1866900" y="0"/>
          <a:ext cx="0" cy="3200400"/>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0.xml><?xml version="1.0" encoding="utf-8"?>
<c:userShapes xmlns:c="http://schemas.openxmlformats.org/drawingml/2006/chart">
  <cdr:relSizeAnchor xmlns:cdr="http://schemas.openxmlformats.org/drawingml/2006/chartDrawing">
    <cdr:from>
      <cdr:x>0.1467</cdr:x>
      <cdr:y>0.27804</cdr:y>
    </cdr:from>
    <cdr:to>
      <cdr:x>0.18304</cdr:x>
      <cdr:y>0.97897</cdr:y>
    </cdr:to>
    <cdr:sp macro="" textlink="">
      <cdr:nvSpPr>
        <cdr:cNvPr id="2" name="Овал 1"/>
        <cdr:cNvSpPr/>
      </cdr:nvSpPr>
      <cdr:spPr>
        <a:xfrm xmlns:a="http://schemas.openxmlformats.org/drawingml/2006/main">
          <a:off x="1038225" y="1133475"/>
          <a:ext cx="257174" cy="2857500"/>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0.08613</cdr:x>
      <cdr:y>0.29907</cdr:y>
    </cdr:from>
    <cdr:to>
      <cdr:x>0.12247</cdr:x>
      <cdr:y>1</cdr:y>
    </cdr:to>
    <cdr:sp macro="" textlink="">
      <cdr:nvSpPr>
        <cdr:cNvPr id="6" name="Овал 5"/>
        <cdr:cNvSpPr/>
      </cdr:nvSpPr>
      <cdr:spPr>
        <a:xfrm xmlns:a="http://schemas.openxmlformats.org/drawingml/2006/main">
          <a:off x="609582" y="1219219"/>
          <a:ext cx="257181" cy="2857481"/>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0.80753</cdr:x>
      <cdr:y>0.41355</cdr:y>
    </cdr:from>
    <cdr:to>
      <cdr:x>0.84522</cdr:x>
      <cdr:y>0.96495</cdr:y>
    </cdr:to>
    <cdr:sp macro="" textlink="">
      <cdr:nvSpPr>
        <cdr:cNvPr id="7" name="Овал 6"/>
        <cdr:cNvSpPr/>
      </cdr:nvSpPr>
      <cdr:spPr>
        <a:xfrm xmlns:a="http://schemas.openxmlformats.org/drawingml/2006/main">
          <a:off x="5714976" y="1685933"/>
          <a:ext cx="266735" cy="2247892"/>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0.68368</cdr:x>
      <cdr:y>0.52624</cdr:y>
    </cdr:from>
    <cdr:to>
      <cdr:x>0.72137</cdr:x>
      <cdr:y>0.95602</cdr:y>
    </cdr:to>
    <cdr:sp macro="" textlink="">
      <cdr:nvSpPr>
        <cdr:cNvPr id="5" name="Овал 4"/>
        <cdr:cNvSpPr/>
      </cdr:nvSpPr>
      <cdr:spPr>
        <a:xfrm xmlns:a="http://schemas.openxmlformats.org/drawingml/2006/main">
          <a:off x="4838700" y="2143125"/>
          <a:ext cx="266749" cy="1750282"/>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0.11709</cdr:x>
      <cdr:y>0.27598</cdr:y>
    </cdr:from>
    <cdr:to>
      <cdr:x>0.15343</cdr:x>
      <cdr:y>0.97691</cdr:y>
    </cdr:to>
    <cdr:sp macro="" textlink="">
      <cdr:nvSpPr>
        <cdr:cNvPr id="8" name="Овал 7"/>
        <cdr:cNvSpPr/>
      </cdr:nvSpPr>
      <cdr:spPr>
        <a:xfrm xmlns:a="http://schemas.openxmlformats.org/drawingml/2006/main">
          <a:off x="828675" y="1123950"/>
          <a:ext cx="257195" cy="2854544"/>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51.xml><?xml version="1.0" encoding="utf-8"?>
<c:userShapes xmlns:c="http://schemas.openxmlformats.org/drawingml/2006/chart">
  <cdr:relSizeAnchor xmlns:cdr="http://schemas.openxmlformats.org/drawingml/2006/chartDrawing">
    <cdr:from>
      <cdr:x>0.07237</cdr:x>
      <cdr:y>0.06508</cdr:y>
    </cdr:from>
    <cdr:to>
      <cdr:x>0.11275</cdr:x>
      <cdr:y>0.83333</cdr:y>
    </cdr:to>
    <cdr:sp macro="" textlink="">
      <cdr:nvSpPr>
        <cdr:cNvPr id="2" name="Овал 1"/>
        <cdr:cNvSpPr/>
      </cdr:nvSpPr>
      <cdr:spPr>
        <a:xfrm xmlns:a="http://schemas.openxmlformats.org/drawingml/2006/main">
          <a:off x="696905" y="390525"/>
          <a:ext cx="388874" cy="46101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0.50617</cdr:x>
      <cdr:y>0.19524</cdr:y>
    </cdr:from>
    <cdr:to>
      <cdr:x>0.54655</cdr:x>
      <cdr:y>0.96349</cdr:y>
    </cdr:to>
    <cdr:sp macro="" textlink="">
      <cdr:nvSpPr>
        <cdr:cNvPr id="3" name="Овал 2"/>
        <cdr:cNvSpPr/>
      </cdr:nvSpPr>
      <cdr:spPr>
        <a:xfrm xmlns:a="http://schemas.openxmlformats.org/drawingml/2006/main">
          <a:off x="4874321" y="1171575"/>
          <a:ext cx="388874" cy="4610100"/>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0.65063</cdr:x>
      <cdr:y>0.2254</cdr:y>
    </cdr:from>
    <cdr:to>
      <cdr:x>0.69101</cdr:x>
      <cdr:y>0.89206</cdr:y>
    </cdr:to>
    <cdr:sp macro="" textlink="">
      <cdr:nvSpPr>
        <cdr:cNvPr id="4" name="Овал 3"/>
        <cdr:cNvSpPr/>
      </cdr:nvSpPr>
      <cdr:spPr>
        <a:xfrm xmlns:a="http://schemas.openxmlformats.org/drawingml/2006/main">
          <a:off x="6265376" y="1352550"/>
          <a:ext cx="388874" cy="4000500"/>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0.91333</cdr:x>
      <cdr:y>0.43175</cdr:y>
    </cdr:from>
    <cdr:to>
      <cdr:x>0.95159</cdr:x>
      <cdr:y>0.8619</cdr:y>
    </cdr:to>
    <cdr:sp macro="" textlink="">
      <cdr:nvSpPr>
        <cdr:cNvPr id="6" name="Овал 5"/>
        <cdr:cNvSpPr/>
      </cdr:nvSpPr>
      <cdr:spPr>
        <a:xfrm xmlns:a="http://schemas.openxmlformats.org/drawingml/2006/main">
          <a:off x="8760384" y="2590801"/>
          <a:ext cx="366949" cy="2581274"/>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userShapes>
</file>

<file path=word/drawings/drawing52.xml><?xml version="1.0" encoding="utf-8"?>
<c:userShapes xmlns:c="http://schemas.openxmlformats.org/drawingml/2006/chart">
  <cdr:relSizeAnchor xmlns:cdr="http://schemas.openxmlformats.org/drawingml/2006/chartDrawing">
    <cdr:from>
      <cdr:x>0.00682</cdr:x>
      <cdr:y>0</cdr:y>
    </cdr:from>
    <cdr:to>
      <cdr:x>0.07916</cdr:x>
      <cdr:y>0.05841</cdr:y>
    </cdr:to>
    <cdr:sp macro="" textlink="">
      <cdr:nvSpPr>
        <cdr:cNvPr id="6" name="TextBox 5"/>
        <cdr:cNvSpPr txBox="1"/>
      </cdr:nvSpPr>
      <cdr:spPr>
        <a:xfrm xmlns:a="http://schemas.openxmlformats.org/drawingml/2006/main">
          <a:off x="47625" y="0"/>
          <a:ext cx="504824" cy="238125"/>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rtlCol="0"/>
        <a:lstStyle xmlns:a="http://schemas.openxmlformats.org/drawingml/2006/main"/>
        <a:p xmlns:a="http://schemas.openxmlformats.org/drawingml/2006/main">
          <a:r>
            <a:rPr lang="ru-RU" sz="1000"/>
            <a:t>кВт.ч.</a:t>
          </a:r>
        </a:p>
      </cdr:txBody>
    </cdr:sp>
  </cdr:relSizeAnchor>
  <cdr:relSizeAnchor xmlns:cdr="http://schemas.openxmlformats.org/drawingml/2006/chartDrawing">
    <cdr:from>
      <cdr:x>0.86318</cdr:x>
      <cdr:y>0.5692</cdr:y>
    </cdr:from>
    <cdr:to>
      <cdr:x>0.89535</cdr:x>
      <cdr:y>0.88551</cdr:y>
    </cdr:to>
    <cdr:sp macro="" textlink="">
      <cdr:nvSpPr>
        <cdr:cNvPr id="7" name="Овал 6"/>
        <cdr:cNvSpPr/>
      </cdr:nvSpPr>
      <cdr:spPr>
        <a:xfrm xmlns:a="http://schemas.openxmlformats.org/drawingml/2006/main">
          <a:off x="6023857" y="2320469"/>
          <a:ext cx="224503" cy="1289501"/>
        </a:xfrm>
        <a:prstGeom xmlns:a="http://schemas.openxmlformats.org/drawingml/2006/main" prst="ellipse">
          <a:avLst/>
        </a:prstGeom>
        <a:noFill xmlns:a="http://schemas.openxmlformats.org/drawingml/2006/main"/>
        <a:ln xmlns:a="http://schemas.openxmlformats.org/drawingml/2006/main" w="25400" cap="flat" cmpd="sng" algn="ctr">
          <a:solidFill>
            <a:srgbClr val="FF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0.09008</cdr:x>
      <cdr:y>0.16355</cdr:y>
    </cdr:from>
    <cdr:to>
      <cdr:x>0.13376</cdr:x>
      <cdr:y>0.84919</cdr:y>
    </cdr:to>
    <cdr:sp macro="" textlink="">
      <cdr:nvSpPr>
        <cdr:cNvPr id="8" name="Овал 7"/>
        <cdr:cNvSpPr/>
      </cdr:nvSpPr>
      <cdr:spPr>
        <a:xfrm xmlns:a="http://schemas.openxmlformats.org/drawingml/2006/main">
          <a:off x="628650" y="666750"/>
          <a:ext cx="304799" cy="279514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3.xml><?xml version="1.0" encoding="utf-8"?>
<c:userShapes xmlns:c="http://schemas.openxmlformats.org/drawingml/2006/chart">
  <cdr:relSizeAnchor xmlns:cdr="http://schemas.openxmlformats.org/drawingml/2006/chartDrawing">
    <cdr:from>
      <cdr:x>0.04032</cdr:x>
      <cdr:y>2.71284E-7</cdr:y>
    </cdr:from>
    <cdr:to>
      <cdr:x>0.08468</cdr:x>
      <cdr:y>0.96899</cdr:y>
    </cdr:to>
    <cdr:sp macro="" textlink="">
      <cdr:nvSpPr>
        <cdr:cNvPr id="2" name="Овал 1"/>
        <cdr:cNvSpPr/>
      </cdr:nvSpPr>
      <cdr:spPr>
        <a:xfrm xmlns:a="http://schemas.openxmlformats.org/drawingml/2006/main">
          <a:off x="285750" y="1"/>
          <a:ext cx="314325" cy="357187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0.14516</cdr:x>
      <cdr:y>0.04651</cdr:y>
    </cdr:from>
    <cdr:to>
      <cdr:x>0.18683</cdr:x>
      <cdr:y>0.98191</cdr:y>
    </cdr:to>
    <cdr:sp macro="" textlink="">
      <cdr:nvSpPr>
        <cdr:cNvPr id="6" name="Овал 5"/>
        <cdr:cNvSpPr/>
      </cdr:nvSpPr>
      <cdr:spPr>
        <a:xfrm xmlns:a="http://schemas.openxmlformats.org/drawingml/2006/main">
          <a:off x="1028700" y="171450"/>
          <a:ext cx="295275" cy="3448049"/>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0.87519</cdr:x>
      <cdr:y>0.24065</cdr:y>
    </cdr:from>
    <cdr:to>
      <cdr:x>0.90248</cdr:x>
      <cdr:y>0.75364</cdr:y>
    </cdr:to>
    <cdr:sp macro="" textlink="">
      <cdr:nvSpPr>
        <cdr:cNvPr id="8" name="Овал 7"/>
        <cdr:cNvSpPr/>
      </cdr:nvSpPr>
      <cdr:spPr>
        <a:xfrm xmlns:a="http://schemas.openxmlformats.org/drawingml/2006/main">
          <a:off x="6202134" y="887090"/>
          <a:ext cx="193394" cy="1890971"/>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userShapes>
</file>

<file path=word/drawings/drawing54.xml><?xml version="1.0" encoding="utf-8"?>
<c:userShapes xmlns:c="http://schemas.openxmlformats.org/drawingml/2006/chart">
  <cdr:relSizeAnchor xmlns:cdr="http://schemas.openxmlformats.org/drawingml/2006/chartDrawing">
    <cdr:from>
      <cdr:x>0.10479</cdr:x>
      <cdr:y>0.01458</cdr:y>
    </cdr:from>
    <cdr:to>
      <cdr:x>0.21371</cdr:x>
      <cdr:y>0.08448</cdr:y>
    </cdr:to>
    <cdr:sp macro="" textlink="">
      <cdr:nvSpPr>
        <cdr:cNvPr id="15361" name="Text Box 1"/>
        <cdr:cNvSpPr txBox="1">
          <a:spLocks xmlns:a="http://schemas.openxmlformats.org/drawingml/2006/main" noChangeArrowheads="1"/>
        </cdr:cNvSpPr>
      </cdr:nvSpPr>
      <cdr:spPr bwMode="auto">
        <a:xfrm xmlns:a="http://schemas.openxmlformats.org/drawingml/2006/main">
          <a:off x="536184" y="50800"/>
          <a:ext cx="554013" cy="228371"/>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ru-RU" sz="1000" b="0" i="0" strike="noStrike">
              <a:solidFill>
                <a:srgbClr val="000000"/>
              </a:solidFill>
              <a:latin typeface="Calibri"/>
            </a:rPr>
            <a:t>€ ЦБ</a:t>
          </a:r>
        </a:p>
      </cdr:txBody>
    </cdr:sp>
  </cdr:relSizeAnchor>
</c:userShapes>
</file>

<file path=word/drawings/drawing55.xml><?xml version="1.0" encoding="utf-8"?>
<c:userShapes xmlns:c="http://schemas.openxmlformats.org/drawingml/2006/chart">
  <cdr:relSizeAnchor xmlns:cdr="http://schemas.openxmlformats.org/drawingml/2006/chartDrawing">
    <cdr:from>
      <cdr:x>0.00743</cdr:x>
      <cdr:y>0.03758</cdr:y>
    </cdr:from>
    <cdr:to>
      <cdr:x>0.00876</cdr:x>
      <cdr:y>0.14376</cdr:y>
    </cdr:to>
    <cdr:sp macro="" textlink="">
      <cdr:nvSpPr>
        <cdr:cNvPr id="210002" name="Text Box 3"/>
        <cdr:cNvSpPr txBox="1">
          <a:spLocks xmlns:a="http://schemas.openxmlformats.org/drawingml/2006/main" noChangeArrowheads="1"/>
        </cdr:cNvSpPr>
      </cdr:nvSpPr>
      <cdr:spPr bwMode="auto">
        <a:xfrm xmlns:a="http://schemas.openxmlformats.org/drawingml/2006/main">
          <a:off x="133806" y="471965"/>
          <a:ext cx="1003223" cy="1315754"/>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endParaRPr lang="ru-RU"/>
        </a:p>
      </cdr:txBody>
    </cdr:sp>
  </cdr:relSizeAnchor>
  <cdr:relSizeAnchor xmlns:cdr="http://schemas.openxmlformats.org/drawingml/2006/chartDrawing">
    <cdr:from>
      <cdr:x>0.35108</cdr:x>
      <cdr:y>0.01869</cdr:y>
    </cdr:from>
    <cdr:to>
      <cdr:x>0.36288</cdr:x>
      <cdr:y>0.92316</cdr:y>
    </cdr:to>
    <cdr:sp macro="" textlink="">
      <cdr:nvSpPr>
        <cdr:cNvPr id="210018" name="Rectangle 1" descr="Светлый диагональный 2"/>
        <cdr:cNvSpPr>
          <a:spLocks xmlns:a="http://schemas.openxmlformats.org/drawingml/2006/main" noChangeArrowheads="1"/>
        </cdr:cNvSpPr>
      </cdr:nvSpPr>
      <cdr:spPr bwMode="auto">
        <a:xfrm xmlns:a="http://schemas.openxmlformats.org/drawingml/2006/main" rot="5400000">
          <a:off x="-1536034" y="3667495"/>
          <a:ext cx="7107941" cy="66706"/>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cdr:x>
      <cdr:y>0.92614</cdr:y>
    </cdr:from>
    <cdr:to>
      <cdr:x>0.09899</cdr:x>
      <cdr:y>0.96533</cdr:y>
    </cdr:to>
    <cdr:sp macro="" textlink="">
      <cdr:nvSpPr>
        <cdr:cNvPr id="210019" name="Text Box 2"/>
        <cdr:cNvSpPr txBox="1">
          <a:spLocks xmlns:a="http://schemas.openxmlformats.org/drawingml/2006/main" noChangeArrowheads="1"/>
        </cdr:cNvSpPr>
      </cdr:nvSpPr>
      <cdr:spPr bwMode="auto">
        <a:xfrm xmlns:a="http://schemas.openxmlformats.org/drawingml/2006/main">
          <a:off x="0" y="6926732"/>
          <a:ext cx="535255" cy="293078"/>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vertOverflow="clip" wrap="square" lIns="36576" tIns="32004" rIns="0" bIns="0" anchor="t" upright="1"/>
        <a:lstStyle xmlns:a="http://schemas.openxmlformats.org/drawingml/2006/main"/>
        <a:p xmlns:a="http://schemas.openxmlformats.org/drawingml/2006/main">
          <a:pPr algn="l" rtl="0">
            <a:defRPr sz="1000"/>
          </a:pPr>
          <a:r>
            <a:rPr lang="ru-RU" sz="1100" b="1" i="0" u="none" strike="noStrike" baseline="0">
              <a:solidFill>
                <a:srgbClr val="000000"/>
              </a:solidFill>
              <a:latin typeface="Arial Cyr"/>
              <a:cs typeface="Arial Cyr"/>
            </a:rPr>
            <a:t>€  ЦБ</a:t>
          </a:r>
        </a:p>
      </cdr:txBody>
    </cdr:sp>
  </cdr:relSizeAnchor>
  <cdr:relSizeAnchor xmlns:cdr="http://schemas.openxmlformats.org/drawingml/2006/chartDrawing">
    <cdr:from>
      <cdr:x>0.58538</cdr:x>
      <cdr:y>0.01968</cdr:y>
    </cdr:from>
    <cdr:to>
      <cdr:x>0.59789</cdr:x>
      <cdr:y>0.92097</cdr:y>
    </cdr:to>
    <cdr:sp macro="" textlink="">
      <cdr:nvSpPr>
        <cdr:cNvPr id="6" name="Rectangle 1" descr="Светлый диагональный 2"/>
        <cdr:cNvSpPr>
          <a:spLocks xmlns:a="http://schemas.openxmlformats.org/drawingml/2006/main" noChangeArrowheads="1"/>
        </cdr:cNvSpPr>
      </cdr:nvSpPr>
      <cdr:spPr bwMode="auto">
        <a:xfrm xmlns:a="http://schemas.openxmlformats.org/drawingml/2006/main" rot="5400000">
          <a:off x="-197058" y="3660750"/>
          <a:ext cx="7082906" cy="70725"/>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0.40219</cdr:x>
      <cdr:y>0.02076</cdr:y>
    </cdr:from>
    <cdr:to>
      <cdr:x>0.41477</cdr:x>
      <cdr:y>0.92097</cdr:y>
    </cdr:to>
    <cdr:sp macro="" textlink="">
      <cdr:nvSpPr>
        <cdr:cNvPr id="7" name="Rectangle 1" descr="Светлый диагональный 2"/>
        <cdr:cNvSpPr>
          <a:spLocks xmlns:a="http://schemas.openxmlformats.org/drawingml/2006/main" noChangeArrowheads="1"/>
        </cdr:cNvSpPr>
      </cdr:nvSpPr>
      <cdr:spPr bwMode="auto">
        <a:xfrm xmlns:a="http://schemas.openxmlformats.org/drawingml/2006/main" rot="5400000">
          <a:off x="-1228167" y="3664811"/>
          <a:ext cx="7074419" cy="71091"/>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0.00709</cdr:x>
      <cdr:y>0.43641</cdr:y>
    </cdr:from>
    <cdr:to>
      <cdr:x>0.02836</cdr:x>
      <cdr:y>0.47145</cdr:y>
    </cdr:to>
    <cdr:sp macro="" textlink="">
      <cdr:nvSpPr>
        <cdr:cNvPr id="8" name="Прямоугольник 7"/>
        <cdr:cNvSpPr/>
      </cdr:nvSpPr>
      <cdr:spPr>
        <a:xfrm xmlns:a="http://schemas.openxmlformats.org/drawingml/2006/main">
          <a:off x="43132" y="3761117"/>
          <a:ext cx="129396" cy="301925"/>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6.xml><?xml version="1.0" encoding="utf-8"?>
<c:userShapes xmlns:c="http://schemas.openxmlformats.org/drawingml/2006/chart">
  <cdr:relSizeAnchor xmlns:cdr="http://schemas.openxmlformats.org/drawingml/2006/chartDrawing">
    <cdr:from>
      <cdr:x>0.32313</cdr:x>
      <cdr:y>0.00745</cdr:y>
    </cdr:from>
    <cdr:to>
      <cdr:x>0.33369</cdr:x>
      <cdr:y>0.94483</cdr:y>
    </cdr:to>
    <cdr:sp macro="" textlink="">
      <cdr:nvSpPr>
        <cdr:cNvPr id="208897" name="Rectangle 1" descr="Светлый диагональный 2"/>
        <cdr:cNvSpPr>
          <a:spLocks xmlns:a="http://schemas.openxmlformats.org/drawingml/2006/main" noChangeArrowheads="1"/>
        </cdr:cNvSpPr>
      </cdr:nvSpPr>
      <cdr:spPr bwMode="auto">
        <a:xfrm xmlns:a="http://schemas.openxmlformats.org/drawingml/2006/main" rot="5400000">
          <a:off x="-2028930" y="4071197"/>
          <a:ext cx="8078547" cy="64641"/>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0.49546</cdr:x>
      <cdr:y>0.00685</cdr:y>
    </cdr:from>
    <cdr:to>
      <cdr:x>0.50616</cdr:x>
      <cdr:y>0.94176</cdr:y>
    </cdr:to>
    <cdr:sp macro="" textlink="">
      <cdr:nvSpPr>
        <cdr:cNvPr id="3" name="Rectangle 1" descr="Светлый диагональный 2"/>
        <cdr:cNvSpPr>
          <a:spLocks xmlns:a="http://schemas.openxmlformats.org/drawingml/2006/main" noChangeArrowheads="1"/>
        </cdr:cNvSpPr>
      </cdr:nvSpPr>
      <cdr:spPr bwMode="auto">
        <a:xfrm xmlns:a="http://schemas.openxmlformats.org/drawingml/2006/main" rot="5400000">
          <a:off x="-962967" y="4054952"/>
          <a:ext cx="8057260" cy="65499"/>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0.39649</cdr:x>
      <cdr:y>0.00701</cdr:y>
    </cdr:from>
    <cdr:to>
      <cdr:x>0.40851</cdr:x>
      <cdr:y>0.93803</cdr:y>
    </cdr:to>
    <cdr:sp macro="" textlink="">
      <cdr:nvSpPr>
        <cdr:cNvPr id="4" name="Rectangle 1" descr="Светлый диагональный 2"/>
        <cdr:cNvSpPr>
          <a:spLocks xmlns:a="http://schemas.openxmlformats.org/drawingml/2006/main" noChangeArrowheads="1"/>
        </cdr:cNvSpPr>
      </cdr:nvSpPr>
      <cdr:spPr bwMode="auto">
        <a:xfrm xmlns:a="http://schemas.openxmlformats.org/drawingml/2006/main" rot="5400000">
          <a:off x="-1548000" y="4035463"/>
          <a:ext cx="8023735" cy="73579"/>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0.00986</cdr:x>
      <cdr:y>0.45643</cdr:y>
    </cdr:from>
    <cdr:to>
      <cdr:x>0.03523</cdr:x>
      <cdr:y>0.48746</cdr:y>
    </cdr:to>
    <cdr:sp macro="" textlink="">
      <cdr:nvSpPr>
        <cdr:cNvPr id="5" name="Прямоугольник 4"/>
        <cdr:cNvSpPr/>
      </cdr:nvSpPr>
      <cdr:spPr>
        <a:xfrm xmlns:a="http://schemas.openxmlformats.org/drawingml/2006/main">
          <a:off x="60385" y="3933614"/>
          <a:ext cx="155300" cy="26742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7.xml><?xml version="1.0" encoding="utf-8"?>
<c:userShapes xmlns:c="http://schemas.openxmlformats.org/drawingml/2006/chart">
  <cdr:relSizeAnchor xmlns:cdr="http://schemas.openxmlformats.org/drawingml/2006/chartDrawing">
    <cdr:from>
      <cdr:x>0.0074</cdr:x>
      <cdr:y>0.41664</cdr:y>
    </cdr:from>
    <cdr:to>
      <cdr:x>0.01036</cdr:x>
      <cdr:y>0.43933</cdr:y>
    </cdr:to>
    <cdr:sp macro="" textlink="">
      <cdr:nvSpPr>
        <cdr:cNvPr id="202755" name="Rectangle 3"/>
        <cdr:cNvSpPr>
          <a:spLocks xmlns:a="http://schemas.openxmlformats.org/drawingml/2006/main" noChangeArrowheads="1"/>
        </cdr:cNvSpPr>
      </cdr:nvSpPr>
      <cdr:spPr bwMode="auto">
        <a:xfrm xmlns:a="http://schemas.openxmlformats.org/drawingml/2006/main">
          <a:off x="82690" y="2943833"/>
          <a:ext cx="79724" cy="1601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0.0074</cdr:x>
      <cdr:y>0.41664</cdr:y>
    </cdr:from>
    <cdr:to>
      <cdr:x>0.01036</cdr:x>
      <cdr:y>0.43933</cdr:y>
    </cdr:to>
    <cdr:sp macro="" textlink="">
      <cdr:nvSpPr>
        <cdr:cNvPr id="2" name="Rectangle 3"/>
        <cdr:cNvSpPr>
          <a:spLocks xmlns:a="http://schemas.openxmlformats.org/drawingml/2006/main" noChangeArrowheads="1"/>
        </cdr:cNvSpPr>
      </cdr:nvSpPr>
      <cdr:spPr bwMode="auto">
        <a:xfrm xmlns:a="http://schemas.openxmlformats.org/drawingml/2006/main">
          <a:off x="82690" y="2943833"/>
          <a:ext cx="79724" cy="16014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0.0899</cdr:x>
      <cdr:y>0.82066</cdr:y>
    </cdr:from>
    <cdr:to>
      <cdr:x>0.23467</cdr:x>
      <cdr:y>0.86506</cdr:y>
    </cdr:to>
    <cdr:sp macro="" textlink="">
      <cdr:nvSpPr>
        <cdr:cNvPr id="4" name="TextBox 3"/>
        <cdr:cNvSpPr txBox="1"/>
      </cdr:nvSpPr>
      <cdr:spPr>
        <a:xfrm xmlns:a="http://schemas.openxmlformats.org/drawingml/2006/main">
          <a:off x="553123" y="6262787"/>
          <a:ext cx="890699" cy="3388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600" b="1">
              <a:solidFill>
                <a:schemeClr val="tx1"/>
              </a:solidFill>
            </a:rPr>
            <a:t>ЦФО</a:t>
          </a:r>
        </a:p>
      </cdr:txBody>
    </cdr:sp>
  </cdr:relSizeAnchor>
  <cdr:relSizeAnchor xmlns:cdr="http://schemas.openxmlformats.org/drawingml/2006/chartDrawing">
    <cdr:from>
      <cdr:x>0.00981</cdr:x>
      <cdr:y>0.44311</cdr:y>
    </cdr:from>
    <cdr:to>
      <cdr:x>0.02354</cdr:x>
      <cdr:y>0.47363</cdr:y>
    </cdr:to>
    <cdr:sp macro="" textlink="">
      <cdr:nvSpPr>
        <cdr:cNvPr id="5" name="Прямоугольник 4"/>
        <cdr:cNvSpPr/>
      </cdr:nvSpPr>
      <cdr:spPr>
        <a:xfrm xmlns:a="http://schemas.openxmlformats.org/drawingml/2006/main">
          <a:off x="60385" y="3381553"/>
          <a:ext cx="84467" cy="232913"/>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58.xml><?xml version="1.0" encoding="utf-8"?>
<c:userShapes xmlns:c="http://schemas.openxmlformats.org/drawingml/2006/chart">
  <cdr:relSizeAnchor xmlns:cdr="http://schemas.openxmlformats.org/drawingml/2006/chartDrawing">
    <cdr:from>
      <cdr:x>0.32736</cdr:x>
      <cdr:y>0.01346</cdr:y>
    </cdr:from>
    <cdr:to>
      <cdr:x>0.33684</cdr:x>
      <cdr:y>0.95084</cdr:y>
    </cdr:to>
    <cdr:sp macro="" textlink="">
      <cdr:nvSpPr>
        <cdr:cNvPr id="208897" name="Rectangle 1" descr="Светлый диагональный 2"/>
        <cdr:cNvSpPr>
          <a:spLocks xmlns:a="http://schemas.openxmlformats.org/drawingml/2006/main" noChangeArrowheads="1"/>
        </cdr:cNvSpPr>
      </cdr:nvSpPr>
      <cdr:spPr bwMode="auto">
        <a:xfrm xmlns:a="http://schemas.openxmlformats.org/drawingml/2006/main" rot="5400000">
          <a:off x="-1984522" y="4240114"/>
          <a:ext cx="8303548" cy="61865"/>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0.50901</cdr:x>
      <cdr:y>0.01408</cdr:y>
    </cdr:from>
    <cdr:to>
      <cdr:x>0.52144</cdr:x>
      <cdr:y>0.94924</cdr:y>
    </cdr:to>
    <cdr:sp macro="" textlink="">
      <cdr:nvSpPr>
        <cdr:cNvPr id="3" name="Rectangle 1" descr="Светлый диагональный 2"/>
        <cdr:cNvSpPr>
          <a:spLocks xmlns:a="http://schemas.openxmlformats.org/drawingml/2006/main" noChangeArrowheads="1"/>
        </cdr:cNvSpPr>
      </cdr:nvSpPr>
      <cdr:spPr bwMode="auto">
        <a:xfrm xmlns:a="http://schemas.openxmlformats.org/drawingml/2006/main" rot="5400000">
          <a:off x="-1271542" y="4830566"/>
          <a:ext cx="9459658" cy="83407"/>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0.41119</cdr:x>
      <cdr:y>0.01497</cdr:y>
    </cdr:from>
    <cdr:to>
      <cdr:x>0.42444</cdr:x>
      <cdr:y>0.94624</cdr:y>
    </cdr:to>
    <cdr:sp macro="" textlink="">
      <cdr:nvSpPr>
        <cdr:cNvPr id="4" name="Rectangle 1" descr="Светлый диагональный 2"/>
        <cdr:cNvSpPr>
          <a:spLocks xmlns:a="http://schemas.openxmlformats.org/drawingml/2006/main" noChangeArrowheads="1"/>
        </cdr:cNvSpPr>
      </cdr:nvSpPr>
      <cdr:spPr bwMode="auto">
        <a:xfrm xmlns:a="http://schemas.openxmlformats.org/drawingml/2006/main" rot="5400000">
          <a:off x="-1531035" y="4223971"/>
          <a:ext cx="8247205" cy="68851"/>
        </a:xfrm>
        <a:prstGeom xmlns:a="http://schemas.openxmlformats.org/drawingml/2006/main" prst="rect">
          <a:avLst/>
        </a:prstGeom>
        <a:pattFill xmlns:a="http://schemas.openxmlformats.org/drawingml/2006/main" prst="ltUpDiag">
          <a:fgClr>
            <a:srgbClr val="000000">
              <a:alpha val="70000"/>
            </a:srgbClr>
          </a:fgClr>
          <a:bgClr>
            <a:srgbClr val="FFFFFF">
              <a:alpha val="70000"/>
            </a:srgbClr>
          </a:bgClr>
        </a:pattFill>
        <a:ln xmlns:a="http://schemas.openxmlformats.org/drawingml/2006/main" w="9525">
          <a:solidFill>
            <a:srgbClr val="000000"/>
          </a:solidFill>
          <a:prstDash val="sysDot"/>
          <a:miter lim="800000"/>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0.0972</cdr:x>
      <cdr:y>0.59505</cdr:y>
    </cdr:from>
    <cdr:to>
      <cdr:x>0.23791</cdr:x>
      <cdr:y>0.63184</cdr:y>
    </cdr:to>
    <cdr:sp macro="" textlink="">
      <cdr:nvSpPr>
        <cdr:cNvPr id="5" name="TextBox 4"/>
        <cdr:cNvSpPr txBox="1"/>
      </cdr:nvSpPr>
      <cdr:spPr>
        <a:xfrm xmlns:a="http://schemas.openxmlformats.org/drawingml/2006/main">
          <a:off x="555783" y="5078425"/>
          <a:ext cx="804605" cy="3139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2000" b="1"/>
            <a:t>ЦФО</a:t>
          </a:r>
        </a:p>
      </cdr:txBody>
    </cdr:sp>
  </cdr:relSizeAnchor>
</c:userShapes>
</file>

<file path=word/drawings/drawing6.xml><?xml version="1.0" encoding="utf-8"?>
<c:userShapes xmlns:c="http://schemas.openxmlformats.org/drawingml/2006/chart">
  <cdr:relSizeAnchor xmlns:cdr="http://schemas.openxmlformats.org/drawingml/2006/chartDrawing">
    <cdr:from>
      <cdr:x>0.01875</cdr:x>
      <cdr:y>0.13194</cdr:y>
    </cdr:from>
    <cdr:to>
      <cdr:x>0.09375</cdr:x>
      <cdr:y>0.24653</cdr:y>
    </cdr:to>
    <cdr:sp macro="" textlink="">
      <cdr:nvSpPr>
        <cdr:cNvPr id="2" name="TextBox 1"/>
        <cdr:cNvSpPr txBox="1"/>
      </cdr:nvSpPr>
      <cdr:spPr>
        <a:xfrm xmlns:a="http://schemas.openxmlformats.org/drawingml/2006/main">
          <a:off x="85725" y="361950"/>
          <a:ext cx="342900" cy="3143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0.07917</cdr:x>
      <cdr:y>0.19444</cdr:y>
    </cdr:from>
    <cdr:to>
      <cdr:x>0.17292</cdr:x>
      <cdr:y>0.29514</cdr:y>
    </cdr:to>
    <cdr:sp macro="" textlink="">
      <cdr:nvSpPr>
        <cdr:cNvPr id="3" name="TextBox 2"/>
        <cdr:cNvSpPr txBox="1"/>
      </cdr:nvSpPr>
      <cdr:spPr>
        <a:xfrm xmlns:a="http://schemas.openxmlformats.org/drawingml/2006/main">
          <a:off x="361950" y="533400"/>
          <a:ext cx="428625" cy="27622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t>6,74</a:t>
          </a:r>
        </a:p>
      </cdr:txBody>
    </cdr:sp>
  </cdr:relSizeAnchor>
  <cdr:relSizeAnchor xmlns:cdr="http://schemas.openxmlformats.org/drawingml/2006/chartDrawing">
    <cdr:from>
      <cdr:x>0.15912</cdr:x>
      <cdr:y>0.10318</cdr:y>
    </cdr:from>
    <cdr:to>
      <cdr:x>0.25287</cdr:x>
      <cdr:y>0.20387</cdr:y>
    </cdr:to>
    <cdr:sp macro="" textlink="">
      <cdr:nvSpPr>
        <cdr:cNvPr id="4" name="TextBox 1"/>
        <cdr:cNvSpPr txBox="1"/>
      </cdr:nvSpPr>
      <cdr:spPr>
        <a:xfrm xmlns:a="http://schemas.openxmlformats.org/drawingml/2006/main">
          <a:off x="803292" y="330204"/>
          <a:ext cx="473273" cy="32224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b="1"/>
            <a:t>9,33</a:t>
          </a:r>
        </a:p>
      </cdr:txBody>
    </cdr:sp>
  </cdr:relSizeAnchor>
  <cdr:relSizeAnchor xmlns:cdr="http://schemas.openxmlformats.org/drawingml/2006/chartDrawing">
    <cdr:from>
      <cdr:x>0.26875</cdr:x>
      <cdr:y>0.05903</cdr:y>
    </cdr:from>
    <cdr:to>
      <cdr:x>0.3625</cdr:x>
      <cdr:y>0.15972</cdr:y>
    </cdr:to>
    <cdr:sp macro="" textlink="">
      <cdr:nvSpPr>
        <cdr:cNvPr id="5" name="TextBox 1"/>
        <cdr:cNvSpPr txBox="1"/>
      </cdr:nvSpPr>
      <cdr:spPr>
        <a:xfrm xmlns:a="http://schemas.openxmlformats.org/drawingml/2006/main">
          <a:off x="1228725" y="161925"/>
          <a:ext cx="428625"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t>8,51</a:t>
          </a:r>
        </a:p>
      </cdr:txBody>
    </cdr:sp>
  </cdr:relSizeAnchor>
  <cdr:relSizeAnchor xmlns:cdr="http://schemas.openxmlformats.org/drawingml/2006/chartDrawing">
    <cdr:from>
      <cdr:x>0.32292</cdr:x>
      <cdr:y>0.50694</cdr:y>
    </cdr:from>
    <cdr:to>
      <cdr:x>0.41667</cdr:x>
      <cdr:y>0.60764</cdr:y>
    </cdr:to>
    <cdr:sp macro="" textlink="">
      <cdr:nvSpPr>
        <cdr:cNvPr id="6" name="TextBox 1"/>
        <cdr:cNvSpPr txBox="1"/>
      </cdr:nvSpPr>
      <cdr:spPr>
        <a:xfrm xmlns:a="http://schemas.openxmlformats.org/drawingml/2006/main">
          <a:off x="1476375" y="1390650"/>
          <a:ext cx="428625"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t>3,02</a:t>
          </a:r>
        </a:p>
      </cdr:txBody>
    </cdr:sp>
  </cdr:relSizeAnchor>
  <cdr:relSizeAnchor xmlns:cdr="http://schemas.openxmlformats.org/drawingml/2006/chartDrawing">
    <cdr:from>
      <cdr:x>0.40833</cdr:x>
      <cdr:y>0.52083</cdr:y>
    </cdr:from>
    <cdr:to>
      <cdr:x>0.50208</cdr:x>
      <cdr:y>0.62153</cdr:y>
    </cdr:to>
    <cdr:sp macro="" textlink="">
      <cdr:nvSpPr>
        <cdr:cNvPr id="7" name="TextBox 1"/>
        <cdr:cNvSpPr txBox="1"/>
      </cdr:nvSpPr>
      <cdr:spPr>
        <a:xfrm xmlns:a="http://schemas.openxmlformats.org/drawingml/2006/main">
          <a:off x="1866900" y="1428750"/>
          <a:ext cx="428625"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t>2,79</a:t>
          </a:r>
        </a:p>
      </cdr:txBody>
    </cdr:sp>
  </cdr:relSizeAnchor>
  <cdr:relSizeAnchor xmlns:cdr="http://schemas.openxmlformats.org/drawingml/2006/chartDrawing">
    <cdr:from>
      <cdr:x>0.49583</cdr:x>
      <cdr:y>0.65278</cdr:y>
    </cdr:from>
    <cdr:to>
      <cdr:x>0.58958</cdr:x>
      <cdr:y>0.75347</cdr:y>
    </cdr:to>
    <cdr:sp macro="" textlink="">
      <cdr:nvSpPr>
        <cdr:cNvPr id="8" name="TextBox 1"/>
        <cdr:cNvSpPr txBox="1"/>
      </cdr:nvSpPr>
      <cdr:spPr>
        <a:xfrm xmlns:a="http://schemas.openxmlformats.org/drawingml/2006/main">
          <a:off x="2266950" y="1790700"/>
          <a:ext cx="428625"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t>1,59</a:t>
          </a:r>
        </a:p>
      </cdr:txBody>
    </cdr:sp>
  </cdr:relSizeAnchor>
  <cdr:relSizeAnchor xmlns:cdr="http://schemas.openxmlformats.org/drawingml/2006/chartDrawing">
    <cdr:from>
      <cdr:x>0.59167</cdr:x>
      <cdr:y>0.6875</cdr:y>
    </cdr:from>
    <cdr:to>
      <cdr:x>0.68542</cdr:x>
      <cdr:y>0.78819</cdr:y>
    </cdr:to>
    <cdr:sp macro="" textlink="">
      <cdr:nvSpPr>
        <cdr:cNvPr id="9" name="TextBox 1"/>
        <cdr:cNvSpPr txBox="1"/>
      </cdr:nvSpPr>
      <cdr:spPr>
        <a:xfrm xmlns:a="http://schemas.openxmlformats.org/drawingml/2006/main">
          <a:off x="2705100" y="1885950"/>
          <a:ext cx="428625" cy="27622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b="1"/>
            <a:t>1,15</a:t>
          </a:r>
        </a:p>
      </cdr:txBody>
    </cdr:sp>
  </cdr:relSizeAnchor>
  <cdr:relSizeAnchor xmlns:cdr="http://schemas.openxmlformats.org/drawingml/2006/chartDrawing">
    <cdr:from>
      <cdr:x>0.0707</cdr:x>
      <cdr:y>0.55949</cdr:y>
    </cdr:from>
    <cdr:to>
      <cdr:x>0.09424</cdr:x>
      <cdr:y>0.8973</cdr:y>
    </cdr:to>
    <cdr:sp macro="" textlink="">
      <cdr:nvSpPr>
        <cdr:cNvPr id="10" name="Прямоугольник 9"/>
        <cdr:cNvSpPr/>
      </cdr:nvSpPr>
      <cdr:spPr>
        <a:xfrm xmlns:a="http://schemas.openxmlformats.org/drawingml/2006/main">
          <a:off x="357602" y="1800431"/>
          <a:ext cx="119063" cy="1087093"/>
        </a:xfrm>
        <a:prstGeom xmlns:a="http://schemas.openxmlformats.org/drawingml/2006/main" prst="rect">
          <a:avLst/>
        </a:prstGeom>
        <a:solidFill xmlns:a="http://schemas.openxmlformats.org/drawingml/2006/main">
          <a:schemeClr val="accent4"/>
        </a:solidFill>
        <a:ln xmlns:a="http://schemas.openxmlformats.org/drawingml/2006/main">
          <a:solidFill>
            <a:schemeClr val="accent4"/>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0.05228</cdr:x>
      <cdr:y>0.59488</cdr:y>
    </cdr:from>
    <cdr:to>
      <cdr:x>0.13006</cdr:x>
      <cdr:y>0.67048</cdr:y>
    </cdr:to>
    <cdr:sp macro="" textlink="">
      <cdr:nvSpPr>
        <cdr:cNvPr id="11" name="TextBox 10"/>
        <cdr:cNvSpPr txBox="1"/>
      </cdr:nvSpPr>
      <cdr:spPr>
        <a:xfrm xmlns:a="http://schemas.openxmlformats.org/drawingml/2006/main">
          <a:off x="264423" y="1914317"/>
          <a:ext cx="393424" cy="2433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b="1"/>
            <a:t>4,0</a:t>
          </a:r>
        </a:p>
      </cdr:txBody>
    </cdr:sp>
  </cdr:relSizeAnchor>
</c:userShapes>
</file>

<file path=word/drawings/drawing7.xml><?xml version="1.0" encoding="utf-8"?>
<c:userShapes xmlns:c="http://schemas.openxmlformats.org/drawingml/2006/chart">
  <cdr:relSizeAnchor xmlns:cdr="http://schemas.openxmlformats.org/drawingml/2006/chartDrawing">
    <cdr:from>
      <cdr:x>0.05623</cdr:x>
      <cdr:y>0.47222</cdr:y>
    </cdr:from>
    <cdr:to>
      <cdr:x>0.09772</cdr:x>
      <cdr:y>0.54167</cdr:y>
    </cdr:to>
    <cdr:sp macro="" textlink="">
      <cdr:nvSpPr>
        <cdr:cNvPr id="2" name="Овал 1"/>
        <cdr:cNvSpPr/>
      </cdr:nvSpPr>
      <cdr:spPr>
        <a:xfrm xmlns:a="http://schemas.openxmlformats.org/drawingml/2006/main">
          <a:off x="400051" y="1943100"/>
          <a:ext cx="295275" cy="285750"/>
        </a:xfrm>
        <a:prstGeom xmlns:a="http://schemas.openxmlformats.org/drawingml/2006/main" prst="ellipse">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0.07764</cdr:x>
      <cdr:y>0.40741</cdr:y>
    </cdr:from>
    <cdr:to>
      <cdr:x>0.11914</cdr:x>
      <cdr:y>0.47685</cdr:y>
    </cdr:to>
    <cdr:sp macro="" textlink="">
      <cdr:nvSpPr>
        <cdr:cNvPr id="3" name="Овал 2"/>
        <cdr:cNvSpPr/>
      </cdr:nvSpPr>
      <cdr:spPr>
        <a:xfrm xmlns:a="http://schemas.openxmlformats.org/drawingml/2006/main">
          <a:off x="552450" y="1676400"/>
          <a:ext cx="295275" cy="285750"/>
        </a:xfrm>
        <a:prstGeom xmlns:a="http://schemas.openxmlformats.org/drawingml/2006/main" prst="ellipse">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0.16332</cdr:x>
      <cdr:y>0.3912</cdr:y>
    </cdr:from>
    <cdr:to>
      <cdr:x>0.20482</cdr:x>
      <cdr:y>0.46065</cdr:y>
    </cdr:to>
    <cdr:sp macro="" textlink="">
      <cdr:nvSpPr>
        <cdr:cNvPr id="4" name="Овал 3"/>
        <cdr:cNvSpPr/>
      </cdr:nvSpPr>
      <cdr:spPr>
        <a:xfrm xmlns:a="http://schemas.openxmlformats.org/drawingml/2006/main">
          <a:off x="1162050" y="1609725"/>
          <a:ext cx="295275"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0.19813</cdr:x>
      <cdr:y>0.28009</cdr:y>
    </cdr:from>
    <cdr:to>
      <cdr:x>0.23963</cdr:x>
      <cdr:y>0.34954</cdr:y>
    </cdr:to>
    <cdr:sp macro="" textlink="">
      <cdr:nvSpPr>
        <cdr:cNvPr id="5" name="Овал 4"/>
        <cdr:cNvSpPr/>
      </cdr:nvSpPr>
      <cdr:spPr>
        <a:xfrm xmlns:a="http://schemas.openxmlformats.org/drawingml/2006/main">
          <a:off x="1409700" y="1152525"/>
          <a:ext cx="295275" cy="285750"/>
        </a:xfrm>
        <a:prstGeom xmlns:a="http://schemas.openxmlformats.org/drawingml/2006/main" prst="ellipse">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0.21151</cdr:x>
      <cdr:y>0.14583</cdr:y>
    </cdr:from>
    <cdr:to>
      <cdr:x>0.28514</cdr:x>
      <cdr:y>0.21528</cdr:y>
    </cdr:to>
    <cdr:sp macro="" textlink="">
      <cdr:nvSpPr>
        <cdr:cNvPr id="6" name="Овал 5"/>
        <cdr:cNvSpPr/>
      </cdr:nvSpPr>
      <cdr:spPr>
        <a:xfrm xmlns:a="http://schemas.openxmlformats.org/drawingml/2006/main">
          <a:off x="1504950" y="600075"/>
          <a:ext cx="5238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0.04552</cdr:x>
      <cdr:y>0.16667</cdr:y>
    </cdr:from>
    <cdr:to>
      <cdr:x>0.11379</cdr:x>
      <cdr:y>0.23611</cdr:y>
    </cdr:to>
    <cdr:sp macro="" textlink="">
      <cdr:nvSpPr>
        <cdr:cNvPr id="7" name="Овал 6"/>
        <cdr:cNvSpPr/>
      </cdr:nvSpPr>
      <cdr:spPr>
        <a:xfrm xmlns:a="http://schemas.openxmlformats.org/drawingml/2006/main">
          <a:off x="323850" y="685800"/>
          <a:ext cx="485776" cy="285750"/>
        </a:xfrm>
        <a:prstGeom xmlns:a="http://schemas.openxmlformats.org/drawingml/2006/main" prst="ellipse">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0.05917</cdr:x>
      <cdr:y>0.22917</cdr:y>
    </cdr:from>
    <cdr:to>
      <cdr:x>0.0656</cdr:x>
      <cdr:y>0.49074</cdr:y>
    </cdr:to>
    <cdr:sp macro="" textlink="">
      <cdr:nvSpPr>
        <cdr:cNvPr id="9" name="Прямая со стрелкой 8"/>
        <cdr:cNvSpPr/>
      </cdr:nvSpPr>
      <cdr:spPr>
        <a:xfrm xmlns:a="http://schemas.openxmlformats.org/drawingml/2006/main" flipV="1">
          <a:off x="421006" y="942975"/>
          <a:ext cx="45719" cy="107632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0.08568</cdr:x>
      <cdr:y>0.22685</cdr:y>
    </cdr:from>
    <cdr:to>
      <cdr:x>0.10308</cdr:x>
      <cdr:y>0.41204</cdr:y>
    </cdr:to>
    <cdr:sp macro="" textlink="">
      <cdr:nvSpPr>
        <cdr:cNvPr id="10" name="Прямая со стрелкой 9"/>
        <cdr:cNvSpPr/>
      </cdr:nvSpPr>
      <cdr:spPr>
        <a:xfrm xmlns:a="http://schemas.openxmlformats.org/drawingml/2006/main" flipH="1" flipV="1">
          <a:off x="609599" y="933448"/>
          <a:ext cx="123826" cy="762001"/>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0.16734</cdr:x>
      <cdr:y>0.20833</cdr:y>
    </cdr:from>
    <cdr:to>
      <cdr:x>0.23025</cdr:x>
      <cdr:y>0.40509</cdr:y>
    </cdr:to>
    <cdr:sp macro="" textlink="">
      <cdr:nvSpPr>
        <cdr:cNvPr id="11" name="Прямая со стрелкой 10"/>
        <cdr:cNvSpPr/>
      </cdr:nvSpPr>
      <cdr:spPr>
        <a:xfrm xmlns:a="http://schemas.openxmlformats.org/drawingml/2006/main" flipV="1">
          <a:off x="1190625" y="857250"/>
          <a:ext cx="447675" cy="809624"/>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0.23159</cdr:x>
      <cdr:y>0.20833</cdr:y>
    </cdr:from>
    <cdr:to>
      <cdr:x>0.25569</cdr:x>
      <cdr:y>0.28935</cdr:y>
    </cdr:to>
    <cdr:sp macro="" textlink="">
      <cdr:nvSpPr>
        <cdr:cNvPr id="12" name="Прямая со стрелкой 11"/>
        <cdr:cNvSpPr/>
      </cdr:nvSpPr>
      <cdr:spPr>
        <a:xfrm xmlns:a="http://schemas.openxmlformats.org/drawingml/2006/main" flipV="1">
          <a:off x="1647824" y="857249"/>
          <a:ext cx="171451" cy="333375"/>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0.03748</cdr:x>
      <cdr:y>0.16667</cdr:y>
    </cdr:from>
    <cdr:to>
      <cdr:x>0.13253</cdr:x>
      <cdr:y>0.23148</cdr:y>
    </cdr:to>
    <cdr:sp macro="" textlink="">
      <cdr:nvSpPr>
        <cdr:cNvPr id="13" name="TextBox 12"/>
        <cdr:cNvSpPr txBox="1"/>
      </cdr:nvSpPr>
      <cdr:spPr>
        <a:xfrm xmlns:a="http://schemas.openxmlformats.org/drawingml/2006/main">
          <a:off x="266701" y="685800"/>
          <a:ext cx="676275"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-31%</a:t>
          </a:r>
        </a:p>
      </cdr:txBody>
    </cdr:sp>
  </cdr:relSizeAnchor>
  <cdr:relSizeAnchor xmlns:cdr="http://schemas.openxmlformats.org/drawingml/2006/chartDrawing">
    <cdr:from>
      <cdr:x>0.21954</cdr:x>
      <cdr:y>0.15278</cdr:y>
    </cdr:from>
    <cdr:to>
      <cdr:x>0.31325</cdr:x>
      <cdr:y>0.21759</cdr:y>
    </cdr:to>
    <cdr:sp macro="" textlink="">
      <cdr:nvSpPr>
        <cdr:cNvPr id="14" name="TextBox 1"/>
        <cdr:cNvSpPr txBox="1"/>
      </cdr:nvSpPr>
      <cdr:spPr>
        <a:xfrm xmlns:a="http://schemas.openxmlformats.org/drawingml/2006/main">
          <a:off x="1562099" y="628650"/>
          <a:ext cx="666751"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-33%</a:t>
          </a:r>
        </a:p>
      </cdr:txBody>
    </cdr:sp>
  </cdr:relSizeAnchor>
  <cdr:relSizeAnchor xmlns:cdr="http://schemas.openxmlformats.org/drawingml/2006/chartDrawing">
    <cdr:from>
      <cdr:x>0.17537</cdr:x>
      <cdr:y>0.21296</cdr:y>
    </cdr:from>
    <cdr:to>
      <cdr:x>0.21687</cdr:x>
      <cdr:y>0.28241</cdr:y>
    </cdr:to>
    <cdr:sp macro="" textlink="">
      <cdr:nvSpPr>
        <cdr:cNvPr id="15" name="Овал 14"/>
        <cdr:cNvSpPr/>
      </cdr:nvSpPr>
      <cdr:spPr>
        <a:xfrm xmlns:a="http://schemas.openxmlformats.org/drawingml/2006/main">
          <a:off x="1247775" y="876300"/>
          <a:ext cx="295275" cy="285750"/>
        </a:xfrm>
        <a:prstGeom xmlns:a="http://schemas.openxmlformats.org/drawingml/2006/main" prst="ellipse">
          <a:avLst/>
        </a:prstGeom>
        <a:noFill xmlns:a="http://schemas.openxmlformats.org/drawingml/2006/main"/>
        <a:ln xmlns:a="http://schemas.openxmlformats.org/drawingml/2006/main" w="12700">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0.13521</cdr:x>
      <cdr:y>0.07176</cdr:y>
    </cdr:from>
    <cdr:to>
      <cdr:x>0.20884</cdr:x>
      <cdr:y>0.1412</cdr:y>
    </cdr:to>
    <cdr:sp macro="" textlink="">
      <cdr:nvSpPr>
        <cdr:cNvPr id="16" name="Овал 15"/>
        <cdr:cNvSpPr/>
      </cdr:nvSpPr>
      <cdr:spPr>
        <a:xfrm xmlns:a="http://schemas.openxmlformats.org/drawingml/2006/main">
          <a:off x="962025" y="295275"/>
          <a:ext cx="5238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0.15556</cdr:x>
      <cdr:y>0.12963</cdr:y>
    </cdr:from>
    <cdr:to>
      <cdr:x>0.16198</cdr:x>
      <cdr:y>0.41667</cdr:y>
    </cdr:to>
    <cdr:sp macro="" textlink="">
      <cdr:nvSpPr>
        <cdr:cNvPr id="17" name="Прямая со стрелкой 16"/>
        <cdr:cNvSpPr/>
      </cdr:nvSpPr>
      <cdr:spPr>
        <a:xfrm xmlns:a="http://schemas.openxmlformats.org/drawingml/2006/main" flipH="1" flipV="1">
          <a:off x="1106806" y="533400"/>
          <a:ext cx="45719" cy="1181099"/>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0.18876</cdr:x>
      <cdr:y>0.12963</cdr:y>
    </cdr:from>
    <cdr:to>
      <cdr:x>0.21017</cdr:x>
      <cdr:y>0.22685</cdr:y>
    </cdr:to>
    <cdr:sp macro="" textlink="">
      <cdr:nvSpPr>
        <cdr:cNvPr id="18" name="Прямая со стрелкой 17"/>
        <cdr:cNvSpPr/>
      </cdr:nvSpPr>
      <cdr:spPr>
        <a:xfrm xmlns:a="http://schemas.openxmlformats.org/drawingml/2006/main" flipH="1" flipV="1">
          <a:off x="1343027" y="533399"/>
          <a:ext cx="152398" cy="400049"/>
        </a:xfrm>
        <a:prstGeom xmlns:a="http://schemas.openxmlformats.org/drawingml/2006/main" prst="straightConnector1">
          <a:avLst/>
        </a:prstGeom>
        <a:ln xmlns:a="http://schemas.openxmlformats.org/drawingml/2006/main" w="12700">
          <a:solidFill>
            <a:schemeClr val="tx1"/>
          </a:solidFill>
          <a:tailEnd type="arrow"/>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0.13788</cdr:x>
      <cdr:y>0.07176</cdr:y>
    </cdr:from>
    <cdr:to>
      <cdr:x>0.23159</cdr:x>
      <cdr:y>0.13657</cdr:y>
    </cdr:to>
    <cdr:sp macro="" textlink="">
      <cdr:nvSpPr>
        <cdr:cNvPr id="19" name="TextBox 1"/>
        <cdr:cNvSpPr txBox="1"/>
      </cdr:nvSpPr>
      <cdr:spPr>
        <a:xfrm xmlns:a="http://schemas.openxmlformats.org/drawingml/2006/main">
          <a:off x="981075" y="295275"/>
          <a:ext cx="666751"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-42%</a:t>
          </a:r>
        </a:p>
      </cdr:txBody>
    </cdr:sp>
  </cdr:relSizeAnchor>
</c:userShapes>
</file>

<file path=word/drawings/drawing8.xml><?xml version="1.0" encoding="utf-8"?>
<c:userShapes xmlns:c="http://schemas.openxmlformats.org/drawingml/2006/chart">
  <cdr:relSizeAnchor xmlns:cdr="http://schemas.openxmlformats.org/drawingml/2006/chartDrawing">
    <cdr:from>
      <cdr:x>0.05898</cdr:x>
      <cdr:y>0.35837</cdr:y>
    </cdr:from>
    <cdr:to>
      <cdr:x>0.09961</cdr:x>
      <cdr:y>0.42275</cdr:y>
    </cdr:to>
    <cdr:sp macro="" textlink="">
      <cdr:nvSpPr>
        <cdr:cNvPr id="2" name="Овал 1"/>
        <cdr:cNvSpPr/>
      </cdr:nvSpPr>
      <cdr:spPr>
        <a:xfrm xmlns:a="http://schemas.openxmlformats.org/drawingml/2006/main">
          <a:off x="428626" y="1590675"/>
          <a:ext cx="295275"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0.07339</cdr:x>
      <cdr:y>0.24034</cdr:y>
    </cdr:from>
    <cdr:to>
      <cdr:x>0.11402</cdr:x>
      <cdr:y>0.30472</cdr:y>
    </cdr:to>
    <cdr:sp macro="" textlink="">
      <cdr:nvSpPr>
        <cdr:cNvPr id="3" name="Овал 2"/>
        <cdr:cNvSpPr/>
      </cdr:nvSpPr>
      <cdr:spPr>
        <a:xfrm xmlns:a="http://schemas.openxmlformats.org/drawingml/2006/main">
          <a:off x="533400" y="1066800"/>
          <a:ext cx="295275"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0.05242</cdr:x>
      <cdr:y>0.03863</cdr:y>
    </cdr:from>
    <cdr:to>
      <cdr:x>0.11927</cdr:x>
      <cdr:y>0.103</cdr:y>
    </cdr:to>
    <cdr:sp macro="" textlink="">
      <cdr:nvSpPr>
        <cdr:cNvPr id="4" name="Овал 3"/>
        <cdr:cNvSpPr/>
      </cdr:nvSpPr>
      <cdr:spPr>
        <a:xfrm xmlns:a="http://schemas.openxmlformats.org/drawingml/2006/main">
          <a:off x="381000" y="171450"/>
          <a:ext cx="4857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0.05924</cdr:x>
      <cdr:y>0.09657</cdr:y>
    </cdr:from>
    <cdr:to>
      <cdr:x>0.07077</cdr:x>
      <cdr:y>0.38412</cdr:y>
    </cdr:to>
    <cdr:sp macro="" textlink="">
      <cdr:nvSpPr>
        <cdr:cNvPr id="5" name="Прямая со стрелкой 4"/>
        <cdr:cNvSpPr/>
      </cdr:nvSpPr>
      <cdr:spPr>
        <a:xfrm xmlns:a="http://schemas.openxmlformats.org/drawingml/2006/main" flipV="1">
          <a:off x="430531" y="428625"/>
          <a:ext cx="83820" cy="1276350"/>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0.09699</cdr:x>
      <cdr:y>0.09657</cdr:y>
    </cdr:from>
    <cdr:to>
      <cdr:x>0.11402</cdr:x>
      <cdr:y>0.26824</cdr:y>
    </cdr:to>
    <cdr:sp macro="" textlink="">
      <cdr:nvSpPr>
        <cdr:cNvPr id="6" name="Прямая со стрелкой 5"/>
        <cdr:cNvSpPr/>
      </cdr:nvSpPr>
      <cdr:spPr>
        <a:xfrm xmlns:a="http://schemas.openxmlformats.org/drawingml/2006/main" flipH="1" flipV="1">
          <a:off x="704849" y="428623"/>
          <a:ext cx="123826" cy="762001"/>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0.16252</cdr:x>
      <cdr:y>0.35193</cdr:y>
    </cdr:from>
    <cdr:to>
      <cdr:x>0.20315</cdr:x>
      <cdr:y>0.41631</cdr:y>
    </cdr:to>
    <cdr:sp macro="" textlink="">
      <cdr:nvSpPr>
        <cdr:cNvPr id="7" name="Овал 6"/>
        <cdr:cNvSpPr/>
      </cdr:nvSpPr>
      <cdr:spPr>
        <a:xfrm xmlns:a="http://schemas.openxmlformats.org/drawingml/2006/main">
          <a:off x="1181101" y="1562100"/>
          <a:ext cx="295275"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0.1848</cdr:x>
      <cdr:y>0.27897</cdr:y>
    </cdr:from>
    <cdr:to>
      <cdr:x>0.23591</cdr:x>
      <cdr:y>0.34335</cdr:y>
    </cdr:to>
    <cdr:sp macro="" textlink="">
      <cdr:nvSpPr>
        <cdr:cNvPr id="8" name="Овал 7"/>
        <cdr:cNvSpPr/>
      </cdr:nvSpPr>
      <cdr:spPr>
        <a:xfrm xmlns:a="http://schemas.openxmlformats.org/drawingml/2006/main">
          <a:off x="1343025" y="1238250"/>
          <a:ext cx="3714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0.20183</cdr:x>
      <cdr:y>0.12232</cdr:y>
    </cdr:from>
    <cdr:to>
      <cdr:x>0.26868</cdr:x>
      <cdr:y>0.1867</cdr:y>
    </cdr:to>
    <cdr:sp macro="" textlink="">
      <cdr:nvSpPr>
        <cdr:cNvPr id="9" name="Овал 8"/>
        <cdr:cNvSpPr/>
      </cdr:nvSpPr>
      <cdr:spPr>
        <a:xfrm xmlns:a="http://schemas.openxmlformats.org/drawingml/2006/main">
          <a:off x="1466850" y="542925"/>
          <a:ext cx="4857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endParaRPr lang="ru-RU"/>
        </a:p>
      </cdr:txBody>
    </cdr:sp>
  </cdr:relSizeAnchor>
  <cdr:relSizeAnchor xmlns:cdr="http://schemas.openxmlformats.org/drawingml/2006/chartDrawing">
    <cdr:from>
      <cdr:x>0.17064</cdr:x>
      <cdr:y>0.17597</cdr:y>
    </cdr:from>
    <cdr:to>
      <cdr:x>0.21494</cdr:x>
      <cdr:y>0.36481</cdr:y>
    </cdr:to>
    <cdr:sp macro="" textlink="">
      <cdr:nvSpPr>
        <cdr:cNvPr id="10" name="Прямая со стрелкой 9"/>
        <cdr:cNvSpPr/>
      </cdr:nvSpPr>
      <cdr:spPr>
        <a:xfrm xmlns:a="http://schemas.openxmlformats.org/drawingml/2006/main" flipV="1">
          <a:off x="1240156" y="781049"/>
          <a:ext cx="321945" cy="838200"/>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0.23067</cdr:x>
      <cdr:y>0.1824</cdr:y>
    </cdr:from>
    <cdr:to>
      <cdr:x>0.23984</cdr:x>
      <cdr:y>0.29185</cdr:y>
    </cdr:to>
    <cdr:sp macro="" textlink="">
      <cdr:nvSpPr>
        <cdr:cNvPr id="11" name="Прямая со стрелкой 10"/>
        <cdr:cNvSpPr/>
      </cdr:nvSpPr>
      <cdr:spPr>
        <a:xfrm xmlns:a="http://schemas.openxmlformats.org/drawingml/2006/main" flipV="1">
          <a:off x="1676400" y="809624"/>
          <a:ext cx="66676" cy="485774"/>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endParaRPr lang="ru-RU"/>
        </a:p>
      </cdr:txBody>
    </cdr:sp>
  </cdr:relSizeAnchor>
  <cdr:relSizeAnchor xmlns:cdr="http://schemas.openxmlformats.org/drawingml/2006/chartDrawing">
    <cdr:from>
      <cdr:x>0.04849</cdr:x>
      <cdr:y>0.03648</cdr:y>
    </cdr:from>
    <cdr:to>
      <cdr:x>0.15334</cdr:x>
      <cdr:y>0.09657</cdr:y>
    </cdr:to>
    <cdr:sp macro="" textlink="">
      <cdr:nvSpPr>
        <cdr:cNvPr id="12" name="TextBox 1"/>
        <cdr:cNvSpPr txBox="1"/>
      </cdr:nvSpPr>
      <cdr:spPr>
        <a:xfrm xmlns:a="http://schemas.openxmlformats.org/drawingml/2006/main">
          <a:off x="352425" y="161925"/>
          <a:ext cx="762001"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-27%</a:t>
          </a:r>
        </a:p>
      </cdr:txBody>
    </cdr:sp>
  </cdr:relSizeAnchor>
  <cdr:relSizeAnchor xmlns:cdr="http://schemas.openxmlformats.org/drawingml/2006/chartDrawing">
    <cdr:from>
      <cdr:x>0.20446</cdr:x>
      <cdr:y>0.12661</cdr:y>
    </cdr:from>
    <cdr:to>
      <cdr:x>0.32765</cdr:x>
      <cdr:y>0.1867</cdr:y>
    </cdr:to>
    <cdr:sp macro="" textlink="">
      <cdr:nvSpPr>
        <cdr:cNvPr id="13" name="TextBox 1"/>
        <cdr:cNvSpPr txBox="1"/>
      </cdr:nvSpPr>
      <cdr:spPr>
        <a:xfrm xmlns:a="http://schemas.openxmlformats.org/drawingml/2006/main">
          <a:off x="1485900" y="561975"/>
          <a:ext cx="895351"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-19%</a:t>
          </a:r>
        </a:p>
      </cdr:txBody>
    </cdr:sp>
  </cdr:relSizeAnchor>
  <cdr:relSizeAnchor xmlns:cdr="http://schemas.openxmlformats.org/drawingml/2006/chartDrawing">
    <cdr:from>
      <cdr:x>0.16514</cdr:x>
      <cdr:y>0.21245</cdr:y>
    </cdr:from>
    <cdr:to>
      <cdr:x>0.21625</cdr:x>
      <cdr:y>0.27682</cdr:y>
    </cdr:to>
    <cdr:sp macro="" textlink="">
      <cdr:nvSpPr>
        <cdr:cNvPr id="14" name="Овал 13"/>
        <cdr:cNvSpPr/>
      </cdr:nvSpPr>
      <cdr:spPr>
        <a:xfrm xmlns:a="http://schemas.openxmlformats.org/drawingml/2006/main">
          <a:off x="1200150" y="942975"/>
          <a:ext cx="3714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0.15754</cdr:x>
      <cdr:y>0.1309</cdr:y>
    </cdr:from>
    <cdr:to>
      <cdr:x>0.16383</cdr:x>
      <cdr:y>0.3691</cdr:y>
    </cdr:to>
    <cdr:sp macro="" textlink="">
      <cdr:nvSpPr>
        <cdr:cNvPr id="15" name="Прямая со стрелкой 14"/>
        <cdr:cNvSpPr/>
      </cdr:nvSpPr>
      <cdr:spPr>
        <a:xfrm xmlns:a="http://schemas.openxmlformats.org/drawingml/2006/main" flipH="1" flipV="1">
          <a:off x="1144906" y="581025"/>
          <a:ext cx="45719" cy="1057275"/>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0.18218</cdr:x>
      <cdr:y>0.12446</cdr:y>
    </cdr:from>
    <cdr:to>
      <cdr:x>0.18978</cdr:x>
      <cdr:y>0.21674</cdr:y>
    </cdr:to>
    <cdr:sp macro="" textlink="">
      <cdr:nvSpPr>
        <cdr:cNvPr id="16" name="Прямая со стрелкой 15"/>
        <cdr:cNvSpPr/>
      </cdr:nvSpPr>
      <cdr:spPr>
        <a:xfrm xmlns:a="http://schemas.openxmlformats.org/drawingml/2006/main" flipH="1" flipV="1">
          <a:off x="1323976" y="552450"/>
          <a:ext cx="55243" cy="409574"/>
        </a:xfrm>
        <a:prstGeom xmlns:a="http://schemas.openxmlformats.org/drawingml/2006/main" prst="straightConnector1">
          <a:avLst/>
        </a:prstGeom>
        <a:noFill xmlns:a="http://schemas.openxmlformats.org/drawingml/2006/main"/>
        <a:ln xmlns:a="http://schemas.openxmlformats.org/drawingml/2006/main" w="12700" cap="flat" cmpd="sng" algn="ctr">
          <a:solidFill>
            <a:sysClr val="windowText" lastClr="000000"/>
          </a:solidFill>
          <a:prstDash val="solid"/>
          <a:tailEnd type="arrow"/>
        </a:ln>
        <a:effec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0.12844</cdr:x>
      <cdr:y>0.06652</cdr:y>
    </cdr:from>
    <cdr:to>
      <cdr:x>0.19528</cdr:x>
      <cdr:y>0.1309</cdr:y>
    </cdr:to>
    <cdr:sp macro="" textlink="">
      <cdr:nvSpPr>
        <cdr:cNvPr id="17" name="Овал 16"/>
        <cdr:cNvSpPr/>
      </cdr:nvSpPr>
      <cdr:spPr>
        <a:xfrm xmlns:a="http://schemas.openxmlformats.org/drawingml/2006/main">
          <a:off x="933450" y="295275"/>
          <a:ext cx="485776" cy="285750"/>
        </a:xfrm>
        <a:prstGeom xmlns:a="http://schemas.openxmlformats.org/drawingml/2006/main" prst="ellipse">
          <a:avLst/>
        </a:prstGeom>
        <a:noFill xmlns:a="http://schemas.openxmlformats.org/drawingml/2006/main"/>
        <a:ln xmlns:a="http://schemas.openxmlformats.org/drawingml/2006/main" w="12700" cap="flat" cmpd="sng" algn="ctr">
          <a:solidFill>
            <a:sysClr val="windowText" lastClr="000000"/>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ru-RU"/>
        </a:p>
      </cdr:txBody>
    </cdr:sp>
  </cdr:relSizeAnchor>
  <cdr:relSizeAnchor xmlns:cdr="http://schemas.openxmlformats.org/drawingml/2006/chartDrawing">
    <cdr:from>
      <cdr:x>0.13368</cdr:x>
      <cdr:y>0.06867</cdr:y>
    </cdr:from>
    <cdr:to>
      <cdr:x>0.25688</cdr:x>
      <cdr:y>0.12876</cdr:y>
    </cdr:to>
    <cdr:sp macro="" textlink="">
      <cdr:nvSpPr>
        <cdr:cNvPr id="18" name="TextBox 1"/>
        <cdr:cNvSpPr txBox="1"/>
      </cdr:nvSpPr>
      <cdr:spPr>
        <a:xfrm xmlns:a="http://schemas.openxmlformats.org/drawingml/2006/main">
          <a:off x="971550" y="304800"/>
          <a:ext cx="895351" cy="2667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-30%</a:t>
          </a:r>
        </a:p>
      </cdr:txBody>
    </cdr:sp>
  </cdr:relSizeAnchor>
</c:userShapes>
</file>

<file path=word/drawings/drawing9.xml><?xml version="1.0" encoding="utf-8"?>
<c:userShapes xmlns:c="http://schemas.openxmlformats.org/drawingml/2006/chart">
  <cdr:relSizeAnchor xmlns:cdr="http://schemas.openxmlformats.org/drawingml/2006/chartDrawing">
    <cdr:from>
      <cdr:x>0.25334</cdr:x>
      <cdr:y>0.04683</cdr:y>
    </cdr:from>
    <cdr:to>
      <cdr:x>0.25494</cdr:x>
      <cdr:y>0.91994</cdr:y>
    </cdr:to>
    <cdr:sp macro="" textlink="">
      <cdr:nvSpPr>
        <cdr:cNvPr id="366593" name="Line 1"/>
        <cdr:cNvSpPr>
          <a:spLocks xmlns:a="http://schemas.openxmlformats.org/drawingml/2006/main" noChangeShapeType="1"/>
        </cdr:cNvSpPr>
      </cdr:nvSpPr>
      <cdr:spPr bwMode="auto">
        <a:xfrm xmlns:a="http://schemas.openxmlformats.org/drawingml/2006/main" flipV="1">
          <a:off x="1504961" y="295275"/>
          <a:ext cx="9514" cy="5505464"/>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0.60289</cdr:x>
      <cdr:y>0.0423</cdr:y>
    </cdr:from>
    <cdr:to>
      <cdr:x>0.60289</cdr:x>
      <cdr:y>0.91994</cdr:y>
    </cdr:to>
    <cdr:sp macro="" textlink="">
      <cdr:nvSpPr>
        <cdr:cNvPr id="4" name="Прямая соединительная линия 3"/>
        <cdr:cNvSpPr/>
      </cdr:nvSpPr>
      <cdr:spPr>
        <a:xfrm xmlns:a="http://schemas.openxmlformats.org/drawingml/2006/main" flipV="1">
          <a:off x="3581400" y="266700"/>
          <a:ext cx="0" cy="553402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9BEE41-51FF-4AB7-8E15-31EFFA1A4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2080</TotalTime>
  <Pages>1</Pages>
  <Words>35973</Words>
  <Characters>205050</Characters>
  <Application>Microsoft Office Word</Application>
  <DocSecurity>0</DocSecurity>
  <Lines>1708</Lines>
  <Paragraphs>481</Paragraphs>
  <ScaleCrop>false</ScaleCrop>
  <HeadingPairs>
    <vt:vector size="2" baseType="variant">
      <vt:variant>
        <vt:lpstr>Название</vt:lpstr>
      </vt:variant>
      <vt:variant>
        <vt:i4>1</vt:i4>
      </vt:variant>
    </vt:vector>
  </HeadingPairs>
  <TitlesOfParts>
    <vt:vector size="1" baseType="lpstr">
      <vt:lpstr>Институт проблем естественных монополий (ИПЕМ)</vt:lpstr>
    </vt:vector>
  </TitlesOfParts>
  <Company>Grizli777</Company>
  <LinksUpToDate>false</LinksUpToDate>
  <CharactersWithSpaces>240542</CharactersWithSpaces>
  <SharedDoc>false</SharedDoc>
  <HLinks>
    <vt:vector size="456" baseType="variant">
      <vt:variant>
        <vt:i4>6881289</vt:i4>
      </vt:variant>
      <vt:variant>
        <vt:i4>408</vt:i4>
      </vt:variant>
      <vt:variant>
        <vt:i4>0</vt:i4>
      </vt:variant>
      <vt:variant>
        <vt:i4>5</vt:i4>
      </vt:variant>
      <vt:variant>
        <vt:lpwstr>http://www.gks.ru/bgd/regl/b12_01/IssWWW.exe/Stg/d03/3-1-2.htm</vt:lpwstr>
      </vt:variant>
      <vt:variant>
        <vt:lpwstr/>
      </vt:variant>
      <vt:variant>
        <vt:i4>1441799</vt:i4>
      </vt:variant>
      <vt:variant>
        <vt:i4>405</vt:i4>
      </vt:variant>
      <vt:variant>
        <vt:i4>0</vt:i4>
      </vt:variant>
      <vt:variant>
        <vt:i4>5</vt:i4>
      </vt:variant>
      <vt:variant>
        <vt:lpwstr>http://www.newsbg.ru/ekonomika/100-ekonomika/5241-k-kontsu-2012-goda-rost-dohodov-bolgarskih-semej-obognal-rost-rashodov.html</vt:lpwstr>
      </vt:variant>
      <vt:variant>
        <vt:lpwstr/>
      </vt:variant>
      <vt:variant>
        <vt:i4>3604546</vt:i4>
      </vt:variant>
      <vt:variant>
        <vt:i4>402</vt:i4>
      </vt:variant>
      <vt:variant>
        <vt:i4>0</vt:i4>
      </vt:variant>
      <vt:variant>
        <vt:i4>5</vt:i4>
      </vt:variant>
      <vt:variant>
        <vt:lpwstr>http://www.gks.ru/wps/wcm/connect/rosstat_main/rosstat/ru/statistics/tariffs/</vt:lpwstr>
      </vt:variant>
      <vt:variant>
        <vt:lpwstr/>
      </vt:variant>
      <vt:variant>
        <vt:i4>852014</vt:i4>
      </vt:variant>
      <vt:variant>
        <vt:i4>399</vt:i4>
      </vt:variant>
      <vt:variant>
        <vt:i4>0</vt:i4>
      </vt:variant>
      <vt:variant>
        <vt:i4>5</vt:i4>
      </vt:variant>
      <vt:variant>
        <vt:lpwstr>http://realty.newsru.ru/article/08feb2012/vvod_zhilya</vt:lpwstr>
      </vt:variant>
      <vt:variant>
        <vt:lpwstr/>
      </vt:variant>
      <vt:variant>
        <vt:i4>4653068</vt:i4>
      </vt:variant>
      <vt:variant>
        <vt:i4>396</vt:i4>
      </vt:variant>
      <vt:variant>
        <vt:i4>0</vt:i4>
      </vt:variant>
      <vt:variant>
        <vt:i4>5</vt:i4>
      </vt:variant>
      <vt:variant>
        <vt:lpwstr>http://www.gdeetotdom.ru/living/articles/1854415/</vt:lpwstr>
      </vt:variant>
      <vt:variant>
        <vt:lpwstr/>
      </vt:variant>
      <vt:variant>
        <vt:i4>6619194</vt:i4>
      </vt:variant>
      <vt:variant>
        <vt:i4>393</vt:i4>
      </vt:variant>
      <vt:variant>
        <vt:i4>0</vt:i4>
      </vt:variant>
      <vt:variant>
        <vt:i4>5</vt:i4>
      </vt:variant>
      <vt:variant>
        <vt:lpwstr>http://realty.lenta.ru/news/2012/09/04/sdelki/</vt:lpwstr>
      </vt:variant>
      <vt:variant>
        <vt:lpwstr/>
      </vt:variant>
      <vt:variant>
        <vt:i4>3014773</vt:i4>
      </vt:variant>
      <vt:variant>
        <vt:i4>390</vt:i4>
      </vt:variant>
      <vt:variant>
        <vt:i4>0</vt:i4>
      </vt:variant>
      <vt:variant>
        <vt:i4>5</vt:i4>
      </vt:variant>
      <vt:variant>
        <vt:lpwstr>http://ru.wikipedia.org/wiki/%D0%A1%D0%B0%D0%BD%D0%BA%D1%82-%D0%9F%D0%B5%D1%82%D0%B5%D1%80%D0%B1%D1%83%D1%80%D0%B3</vt:lpwstr>
      </vt:variant>
      <vt:variant>
        <vt:lpwstr/>
      </vt:variant>
      <vt:variant>
        <vt:i4>458794</vt:i4>
      </vt:variant>
      <vt:variant>
        <vt:i4>387</vt:i4>
      </vt:variant>
      <vt:variant>
        <vt:i4>0</vt:i4>
      </vt:variant>
      <vt:variant>
        <vt:i4>5</vt:i4>
      </vt:variant>
      <vt:variant>
        <vt:lpwstr>http://ru.wikipedia.org/wiki/%D0%9F%D0%BB%D0%BE%D1%82%D0%BD%D0%BE%D1%81%D1%82%D1%8C_%D0%BD%D0%B0%D1%81%D0%B5%D0%BB%D0%B5%D0%BD%D0%B8%D1%8F</vt:lpwstr>
      </vt:variant>
      <vt:variant>
        <vt:lpwstr/>
      </vt:variant>
      <vt:variant>
        <vt:i4>7798860</vt:i4>
      </vt:variant>
      <vt:variant>
        <vt:i4>384</vt:i4>
      </vt:variant>
      <vt:variant>
        <vt:i4>0</vt:i4>
      </vt:variant>
      <vt:variant>
        <vt:i4>5</vt:i4>
      </vt:variant>
      <vt:variant>
        <vt:lpwstr>http://www.moduma.ru/index.php?option=com_content&amp;task=view&amp;id=6124&amp;Itemid=86</vt:lpwstr>
      </vt:variant>
      <vt:variant>
        <vt:lpwstr/>
      </vt:variant>
      <vt:variant>
        <vt:i4>7209011</vt:i4>
      </vt:variant>
      <vt:variant>
        <vt:i4>381</vt:i4>
      </vt:variant>
      <vt:variant>
        <vt:i4>0</vt:i4>
      </vt:variant>
      <vt:variant>
        <vt:i4>5</vt:i4>
      </vt:variant>
      <vt:variant>
        <vt:lpwstr>http://www.depir.ru/content/c384-page1.html</vt:lpwstr>
      </vt:variant>
      <vt:variant>
        <vt:lpwstr/>
      </vt:variant>
      <vt:variant>
        <vt:i4>7405666</vt:i4>
      </vt:variant>
      <vt:variant>
        <vt:i4>378</vt:i4>
      </vt:variant>
      <vt:variant>
        <vt:i4>0</vt:i4>
      </vt:variant>
      <vt:variant>
        <vt:i4>5</vt:i4>
      </vt:variant>
      <vt:variant>
        <vt:lpwstr>http://www.ruscable.ru/article/eepr/tag/%D0%AD%D0%AD%D0%9F%D0%A0 %E2%84%966, 2011/</vt:lpwstr>
      </vt:variant>
      <vt:variant>
        <vt:lpwstr/>
      </vt:variant>
      <vt:variant>
        <vt:i4>5570643</vt:i4>
      </vt:variant>
      <vt:variant>
        <vt:i4>375</vt:i4>
      </vt:variant>
      <vt:variant>
        <vt:i4>0</vt:i4>
      </vt:variant>
      <vt:variant>
        <vt:i4>5</vt:i4>
      </vt:variant>
      <vt:variant>
        <vt:lpwstr>http://www.ruscable.ru/article/eepr/</vt:lpwstr>
      </vt:variant>
      <vt:variant>
        <vt:lpwstr/>
      </vt:variant>
      <vt:variant>
        <vt:i4>7340151</vt:i4>
      </vt:variant>
      <vt:variant>
        <vt:i4>369</vt:i4>
      </vt:variant>
      <vt:variant>
        <vt:i4>0</vt:i4>
      </vt:variant>
      <vt:variant>
        <vt:i4>5</vt:i4>
      </vt:variant>
      <vt:variant>
        <vt:lpwstr>http://www.proatom.ru/</vt:lpwstr>
      </vt:variant>
      <vt:variant>
        <vt:lpwstr/>
      </vt:variant>
      <vt:variant>
        <vt:i4>3080218</vt:i4>
      </vt:variant>
      <vt:variant>
        <vt:i4>363</vt:i4>
      </vt:variant>
      <vt:variant>
        <vt:i4>0</vt:i4>
      </vt:variant>
      <vt:variant>
        <vt:i4>5</vt:i4>
      </vt:variant>
      <vt:variant>
        <vt:lpwstr>http://www.cbr.ru/statistics/credit_statistics/print.asp?file=capital.htm</vt:lpwstr>
      </vt:variant>
      <vt:variant>
        <vt:lpwstr/>
      </vt:variant>
      <vt:variant>
        <vt:i4>7077980</vt:i4>
      </vt:variant>
      <vt:variant>
        <vt:i4>360</vt:i4>
      </vt:variant>
      <vt:variant>
        <vt:i4>0</vt:i4>
      </vt:variant>
      <vt:variant>
        <vt:i4>5</vt:i4>
      </vt:variant>
      <vt:variant>
        <vt:lpwstr>http://ru.wikipedia.org/wiki/%C1%E5%E3%F1%F2%E2%EE_%EA%E0%EF%E8%F2%E0%EB%E0</vt:lpwstr>
      </vt:variant>
      <vt:variant>
        <vt:lpwstr/>
      </vt:variant>
      <vt:variant>
        <vt:i4>3604543</vt:i4>
      </vt:variant>
      <vt:variant>
        <vt:i4>354</vt:i4>
      </vt:variant>
      <vt:variant>
        <vt:i4>0</vt:i4>
      </vt:variant>
      <vt:variant>
        <vt:i4>5</vt:i4>
      </vt:variant>
      <vt:variant>
        <vt:lpwstr>http://www.garant.ru/products/ipo/prime/doc/98256/</vt:lpwstr>
      </vt:variant>
      <vt:variant>
        <vt:lpwstr/>
      </vt:variant>
      <vt:variant>
        <vt:i4>3342378</vt:i4>
      </vt:variant>
      <vt:variant>
        <vt:i4>351</vt:i4>
      </vt:variant>
      <vt:variant>
        <vt:i4>0</vt:i4>
      </vt:variant>
      <vt:variant>
        <vt:i4>5</vt:i4>
      </vt:variant>
      <vt:variant>
        <vt:lpwstr>http://base.garant.ru/12172853/</vt:lpwstr>
      </vt:variant>
      <vt:variant>
        <vt:lpwstr/>
      </vt:variant>
      <vt:variant>
        <vt:i4>7995445</vt:i4>
      </vt:variant>
      <vt:variant>
        <vt:i4>348</vt:i4>
      </vt:variant>
      <vt:variant>
        <vt:i4>0</vt:i4>
      </vt:variant>
      <vt:variant>
        <vt:i4>5</vt:i4>
      </vt:variant>
      <vt:variant>
        <vt:lpwstr>http://www.rg.ru/2009/11/27/energo-dok.html</vt:lpwstr>
      </vt:variant>
      <vt:variant>
        <vt:lpwstr/>
      </vt:variant>
      <vt:variant>
        <vt:i4>3014781</vt:i4>
      </vt:variant>
      <vt:variant>
        <vt:i4>345</vt:i4>
      </vt:variant>
      <vt:variant>
        <vt:i4>0</vt:i4>
      </vt:variant>
      <vt:variant>
        <vt:i4>5</vt:i4>
      </vt:variant>
      <vt:variant>
        <vt:lpwstr>http://theeconomiccollapseblog.com/wp-content/uploads/2010/12/Price-Of-Oil.png</vt:lpwstr>
      </vt:variant>
      <vt:variant>
        <vt:lpwstr/>
      </vt:variant>
      <vt:variant>
        <vt:i4>2228253</vt:i4>
      </vt:variant>
      <vt:variant>
        <vt:i4>339</vt:i4>
      </vt:variant>
      <vt:variant>
        <vt:i4>0</vt:i4>
      </vt:variant>
      <vt:variant>
        <vt:i4>5</vt:i4>
      </vt:variant>
      <vt:variant>
        <vt:lpwstr>http://www.economy.gov.ru/minec/activity/sections/macro/prognoz/doc20120428_0010</vt:lpwstr>
      </vt:variant>
      <vt:variant>
        <vt:lpwstr/>
      </vt:variant>
      <vt:variant>
        <vt:i4>2031678</vt:i4>
      </vt:variant>
      <vt:variant>
        <vt:i4>332</vt:i4>
      </vt:variant>
      <vt:variant>
        <vt:i4>0</vt:i4>
      </vt:variant>
      <vt:variant>
        <vt:i4>5</vt:i4>
      </vt:variant>
      <vt:variant>
        <vt:lpwstr/>
      </vt:variant>
      <vt:variant>
        <vt:lpwstr>_Toc370759813</vt:lpwstr>
      </vt:variant>
      <vt:variant>
        <vt:i4>2031678</vt:i4>
      </vt:variant>
      <vt:variant>
        <vt:i4>326</vt:i4>
      </vt:variant>
      <vt:variant>
        <vt:i4>0</vt:i4>
      </vt:variant>
      <vt:variant>
        <vt:i4>5</vt:i4>
      </vt:variant>
      <vt:variant>
        <vt:lpwstr/>
      </vt:variant>
      <vt:variant>
        <vt:lpwstr>_Toc370759812</vt:lpwstr>
      </vt:variant>
      <vt:variant>
        <vt:i4>2031678</vt:i4>
      </vt:variant>
      <vt:variant>
        <vt:i4>320</vt:i4>
      </vt:variant>
      <vt:variant>
        <vt:i4>0</vt:i4>
      </vt:variant>
      <vt:variant>
        <vt:i4>5</vt:i4>
      </vt:variant>
      <vt:variant>
        <vt:lpwstr/>
      </vt:variant>
      <vt:variant>
        <vt:lpwstr>_Toc370759811</vt:lpwstr>
      </vt:variant>
      <vt:variant>
        <vt:i4>2031678</vt:i4>
      </vt:variant>
      <vt:variant>
        <vt:i4>314</vt:i4>
      </vt:variant>
      <vt:variant>
        <vt:i4>0</vt:i4>
      </vt:variant>
      <vt:variant>
        <vt:i4>5</vt:i4>
      </vt:variant>
      <vt:variant>
        <vt:lpwstr/>
      </vt:variant>
      <vt:variant>
        <vt:lpwstr>_Toc370759810</vt:lpwstr>
      </vt:variant>
      <vt:variant>
        <vt:i4>1966142</vt:i4>
      </vt:variant>
      <vt:variant>
        <vt:i4>308</vt:i4>
      </vt:variant>
      <vt:variant>
        <vt:i4>0</vt:i4>
      </vt:variant>
      <vt:variant>
        <vt:i4>5</vt:i4>
      </vt:variant>
      <vt:variant>
        <vt:lpwstr/>
      </vt:variant>
      <vt:variant>
        <vt:lpwstr>_Toc370759809</vt:lpwstr>
      </vt:variant>
      <vt:variant>
        <vt:i4>1966142</vt:i4>
      </vt:variant>
      <vt:variant>
        <vt:i4>302</vt:i4>
      </vt:variant>
      <vt:variant>
        <vt:i4>0</vt:i4>
      </vt:variant>
      <vt:variant>
        <vt:i4>5</vt:i4>
      </vt:variant>
      <vt:variant>
        <vt:lpwstr/>
      </vt:variant>
      <vt:variant>
        <vt:lpwstr>_Toc370759808</vt:lpwstr>
      </vt:variant>
      <vt:variant>
        <vt:i4>1966142</vt:i4>
      </vt:variant>
      <vt:variant>
        <vt:i4>296</vt:i4>
      </vt:variant>
      <vt:variant>
        <vt:i4>0</vt:i4>
      </vt:variant>
      <vt:variant>
        <vt:i4>5</vt:i4>
      </vt:variant>
      <vt:variant>
        <vt:lpwstr/>
      </vt:variant>
      <vt:variant>
        <vt:lpwstr>_Toc370759807</vt:lpwstr>
      </vt:variant>
      <vt:variant>
        <vt:i4>1966142</vt:i4>
      </vt:variant>
      <vt:variant>
        <vt:i4>290</vt:i4>
      </vt:variant>
      <vt:variant>
        <vt:i4>0</vt:i4>
      </vt:variant>
      <vt:variant>
        <vt:i4>5</vt:i4>
      </vt:variant>
      <vt:variant>
        <vt:lpwstr/>
      </vt:variant>
      <vt:variant>
        <vt:lpwstr>_Toc370759806</vt:lpwstr>
      </vt:variant>
      <vt:variant>
        <vt:i4>1966142</vt:i4>
      </vt:variant>
      <vt:variant>
        <vt:i4>284</vt:i4>
      </vt:variant>
      <vt:variant>
        <vt:i4>0</vt:i4>
      </vt:variant>
      <vt:variant>
        <vt:i4>5</vt:i4>
      </vt:variant>
      <vt:variant>
        <vt:lpwstr/>
      </vt:variant>
      <vt:variant>
        <vt:lpwstr>_Toc370759805</vt:lpwstr>
      </vt:variant>
      <vt:variant>
        <vt:i4>1966142</vt:i4>
      </vt:variant>
      <vt:variant>
        <vt:i4>278</vt:i4>
      </vt:variant>
      <vt:variant>
        <vt:i4>0</vt:i4>
      </vt:variant>
      <vt:variant>
        <vt:i4>5</vt:i4>
      </vt:variant>
      <vt:variant>
        <vt:lpwstr/>
      </vt:variant>
      <vt:variant>
        <vt:lpwstr>_Toc370759804</vt:lpwstr>
      </vt:variant>
      <vt:variant>
        <vt:i4>1966142</vt:i4>
      </vt:variant>
      <vt:variant>
        <vt:i4>272</vt:i4>
      </vt:variant>
      <vt:variant>
        <vt:i4>0</vt:i4>
      </vt:variant>
      <vt:variant>
        <vt:i4>5</vt:i4>
      </vt:variant>
      <vt:variant>
        <vt:lpwstr/>
      </vt:variant>
      <vt:variant>
        <vt:lpwstr>_Toc370759803</vt:lpwstr>
      </vt:variant>
      <vt:variant>
        <vt:i4>1966142</vt:i4>
      </vt:variant>
      <vt:variant>
        <vt:i4>266</vt:i4>
      </vt:variant>
      <vt:variant>
        <vt:i4>0</vt:i4>
      </vt:variant>
      <vt:variant>
        <vt:i4>5</vt:i4>
      </vt:variant>
      <vt:variant>
        <vt:lpwstr/>
      </vt:variant>
      <vt:variant>
        <vt:lpwstr>_Toc370759802</vt:lpwstr>
      </vt:variant>
      <vt:variant>
        <vt:i4>1966142</vt:i4>
      </vt:variant>
      <vt:variant>
        <vt:i4>260</vt:i4>
      </vt:variant>
      <vt:variant>
        <vt:i4>0</vt:i4>
      </vt:variant>
      <vt:variant>
        <vt:i4>5</vt:i4>
      </vt:variant>
      <vt:variant>
        <vt:lpwstr/>
      </vt:variant>
      <vt:variant>
        <vt:lpwstr>_Toc370759801</vt:lpwstr>
      </vt:variant>
      <vt:variant>
        <vt:i4>1966142</vt:i4>
      </vt:variant>
      <vt:variant>
        <vt:i4>254</vt:i4>
      </vt:variant>
      <vt:variant>
        <vt:i4>0</vt:i4>
      </vt:variant>
      <vt:variant>
        <vt:i4>5</vt:i4>
      </vt:variant>
      <vt:variant>
        <vt:lpwstr/>
      </vt:variant>
      <vt:variant>
        <vt:lpwstr>_Toc370759800</vt:lpwstr>
      </vt:variant>
      <vt:variant>
        <vt:i4>1507377</vt:i4>
      </vt:variant>
      <vt:variant>
        <vt:i4>248</vt:i4>
      </vt:variant>
      <vt:variant>
        <vt:i4>0</vt:i4>
      </vt:variant>
      <vt:variant>
        <vt:i4>5</vt:i4>
      </vt:variant>
      <vt:variant>
        <vt:lpwstr/>
      </vt:variant>
      <vt:variant>
        <vt:lpwstr>_Toc370759799</vt:lpwstr>
      </vt:variant>
      <vt:variant>
        <vt:i4>1507377</vt:i4>
      </vt:variant>
      <vt:variant>
        <vt:i4>242</vt:i4>
      </vt:variant>
      <vt:variant>
        <vt:i4>0</vt:i4>
      </vt:variant>
      <vt:variant>
        <vt:i4>5</vt:i4>
      </vt:variant>
      <vt:variant>
        <vt:lpwstr/>
      </vt:variant>
      <vt:variant>
        <vt:lpwstr>_Toc370759798</vt:lpwstr>
      </vt:variant>
      <vt:variant>
        <vt:i4>1507377</vt:i4>
      </vt:variant>
      <vt:variant>
        <vt:i4>236</vt:i4>
      </vt:variant>
      <vt:variant>
        <vt:i4>0</vt:i4>
      </vt:variant>
      <vt:variant>
        <vt:i4>5</vt:i4>
      </vt:variant>
      <vt:variant>
        <vt:lpwstr/>
      </vt:variant>
      <vt:variant>
        <vt:lpwstr>_Toc370759797</vt:lpwstr>
      </vt:variant>
      <vt:variant>
        <vt:i4>1507377</vt:i4>
      </vt:variant>
      <vt:variant>
        <vt:i4>230</vt:i4>
      </vt:variant>
      <vt:variant>
        <vt:i4>0</vt:i4>
      </vt:variant>
      <vt:variant>
        <vt:i4>5</vt:i4>
      </vt:variant>
      <vt:variant>
        <vt:lpwstr/>
      </vt:variant>
      <vt:variant>
        <vt:lpwstr>_Toc370759796</vt:lpwstr>
      </vt:variant>
      <vt:variant>
        <vt:i4>1507377</vt:i4>
      </vt:variant>
      <vt:variant>
        <vt:i4>224</vt:i4>
      </vt:variant>
      <vt:variant>
        <vt:i4>0</vt:i4>
      </vt:variant>
      <vt:variant>
        <vt:i4>5</vt:i4>
      </vt:variant>
      <vt:variant>
        <vt:lpwstr/>
      </vt:variant>
      <vt:variant>
        <vt:lpwstr>_Toc370759795</vt:lpwstr>
      </vt:variant>
      <vt:variant>
        <vt:i4>1507377</vt:i4>
      </vt:variant>
      <vt:variant>
        <vt:i4>218</vt:i4>
      </vt:variant>
      <vt:variant>
        <vt:i4>0</vt:i4>
      </vt:variant>
      <vt:variant>
        <vt:i4>5</vt:i4>
      </vt:variant>
      <vt:variant>
        <vt:lpwstr/>
      </vt:variant>
      <vt:variant>
        <vt:lpwstr>_Toc370759794</vt:lpwstr>
      </vt:variant>
      <vt:variant>
        <vt:i4>1507377</vt:i4>
      </vt:variant>
      <vt:variant>
        <vt:i4>212</vt:i4>
      </vt:variant>
      <vt:variant>
        <vt:i4>0</vt:i4>
      </vt:variant>
      <vt:variant>
        <vt:i4>5</vt:i4>
      </vt:variant>
      <vt:variant>
        <vt:lpwstr/>
      </vt:variant>
      <vt:variant>
        <vt:lpwstr>_Toc370759793</vt:lpwstr>
      </vt:variant>
      <vt:variant>
        <vt:i4>1507377</vt:i4>
      </vt:variant>
      <vt:variant>
        <vt:i4>206</vt:i4>
      </vt:variant>
      <vt:variant>
        <vt:i4>0</vt:i4>
      </vt:variant>
      <vt:variant>
        <vt:i4>5</vt:i4>
      </vt:variant>
      <vt:variant>
        <vt:lpwstr/>
      </vt:variant>
      <vt:variant>
        <vt:lpwstr>_Toc370759792</vt:lpwstr>
      </vt:variant>
      <vt:variant>
        <vt:i4>1507377</vt:i4>
      </vt:variant>
      <vt:variant>
        <vt:i4>200</vt:i4>
      </vt:variant>
      <vt:variant>
        <vt:i4>0</vt:i4>
      </vt:variant>
      <vt:variant>
        <vt:i4>5</vt:i4>
      </vt:variant>
      <vt:variant>
        <vt:lpwstr/>
      </vt:variant>
      <vt:variant>
        <vt:lpwstr>_Toc370759791</vt:lpwstr>
      </vt:variant>
      <vt:variant>
        <vt:i4>1507377</vt:i4>
      </vt:variant>
      <vt:variant>
        <vt:i4>194</vt:i4>
      </vt:variant>
      <vt:variant>
        <vt:i4>0</vt:i4>
      </vt:variant>
      <vt:variant>
        <vt:i4>5</vt:i4>
      </vt:variant>
      <vt:variant>
        <vt:lpwstr/>
      </vt:variant>
      <vt:variant>
        <vt:lpwstr>_Toc370759790</vt:lpwstr>
      </vt:variant>
      <vt:variant>
        <vt:i4>1441841</vt:i4>
      </vt:variant>
      <vt:variant>
        <vt:i4>188</vt:i4>
      </vt:variant>
      <vt:variant>
        <vt:i4>0</vt:i4>
      </vt:variant>
      <vt:variant>
        <vt:i4>5</vt:i4>
      </vt:variant>
      <vt:variant>
        <vt:lpwstr/>
      </vt:variant>
      <vt:variant>
        <vt:lpwstr>_Toc370759789</vt:lpwstr>
      </vt:variant>
      <vt:variant>
        <vt:i4>1441841</vt:i4>
      </vt:variant>
      <vt:variant>
        <vt:i4>182</vt:i4>
      </vt:variant>
      <vt:variant>
        <vt:i4>0</vt:i4>
      </vt:variant>
      <vt:variant>
        <vt:i4>5</vt:i4>
      </vt:variant>
      <vt:variant>
        <vt:lpwstr/>
      </vt:variant>
      <vt:variant>
        <vt:lpwstr>_Toc370759788</vt:lpwstr>
      </vt:variant>
      <vt:variant>
        <vt:i4>1441841</vt:i4>
      </vt:variant>
      <vt:variant>
        <vt:i4>176</vt:i4>
      </vt:variant>
      <vt:variant>
        <vt:i4>0</vt:i4>
      </vt:variant>
      <vt:variant>
        <vt:i4>5</vt:i4>
      </vt:variant>
      <vt:variant>
        <vt:lpwstr/>
      </vt:variant>
      <vt:variant>
        <vt:lpwstr>_Toc370759787</vt:lpwstr>
      </vt:variant>
      <vt:variant>
        <vt:i4>1441841</vt:i4>
      </vt:variant>
      <vt:variant>
        <vt:i4>170</vt:i4>
      </vt:variant>
      <vt:variant>
        <vt:i4>0</vt:i4>
      </vt:variant>
      <vt:variant>
        <vt:i4>5</vt:i4>
      </vt:variant>
      <vt:variant>
        <vt:lpwstr/>
      </vt:variant>
      <vt:variant>
        <vt:lpwstr>_Toc370759786</vt:lpwstr>
      </vt:variant>
      <vt:variant>
        <vt:i4>1441841</vt:i4>
      </vt:variant>
      <vt:variant>
        <vt:i4>164</vt:i4>
      </vt:variant>
      <vt:variant>
        <vt:i4>0</vt:i4>
      </vt:variant>
      <vt:variant>
        <vt:i4>5</vt:i4>
      </vt:variant>
      <vt:variant>
        <vt:lpwstr/>
      </vt:variant>
      <vt:variant>
        <vt:lpwstr>_Toc370759785</vt:lpwstr>
      </vt:variant>
      <vt:variant>
        <vt:i4>1441841</vt:i4>
      </vt:variant>
      <vt:variant>
        <vt:i4>158</vt:i4>
      </vt:variant>
      <vt:variant>
        <vt:i4>0</vt:i4>
      </vt:variant>
      <vt:variant>
        <vt:i4>5</vt:i4>
      </vt:variant>
      <vt:variant>
        <vt:lpwstr/>
      </vt:variant>
      <vt:variant>
        <vt:lpwstr>_Toc370759784</vt:lpwstr>
      </vt:variant>
      <vt:variant>
        <vt:i4>1441841</vt:i4>
      </vt:variant>
      <vt:variant>
        <vt:i4>152</vt:i4>
      </vt:variant>
      <vt:variant>
        <vt:i4>0</vt:i4>
      </vt:variant>
      <vt:variant>
        <vt:i4>5</vt:i4>
      </vt:variant>
      <vt:variant>
        <vt:lpwstr/>
      </vt:variant>
      <vt:variant>
        <vt:lpwstr>_Toc370759783</vt:lpwstr>
      </vt:variant>
      <vt:variant>
        <vt:i4>1441841</vt:i4>
      </vt:variant>
      <vt:variant>
        <vt:i4>146</vt:i4>
      </vt:variant>
      <vt:variant>
        <vt:i4>0</vt:i4>
      </vt:variant>
      <vt:variant>
        <vt:i4>5</vt:i4>
      </vt:variant>
      <vt:variant>
        <vt:lpwstr/>
      </vt:variant>
      <vt:variant>
        <vt:lpwstr>_Toc370759782</vt:lpwstr>
      </vt:variant>
      <vt:variant>
        <vt:i4>1441841</vt:i4>
      </vt:variant>
      <vt:variant>
        <vt:i4>140</vt:i4>
      </vt:variant>
      <vt:variant>
        <vt:i4>0</vt:i4>
      </vt:variant>
      <vt:variant>
        <vt:i4>5</vt:i4>
      </vt:variant>
      <vt:variant>
        <vt:lpwstr/>
      </vt:variant>
      <vt:variant>
        <vt:lpwstr>_Toc370759781</vt:lpwstr>
      </vt:variant>
      <vt:variant>
        <vt:i4>1441841</vt:i4>
      </vt:variant>
      <vt:variant>
        <vt:i4>134</vt:i4>
      </vt:variant>
      <vt:variant>
        <vt:i4>0</vt:i4>
      </vt:variant>
      <vt:variant>
        <vt:i4>5</vt:i4>
      </vt:variant>
      <vt:variant>
        <vt:lpwstr/>
      </vt:variant>
      <vt:variant>
        <vt:lpwstr>_Toc370759780</vt:lpwstr>
      </vt:variant>
      <vt:variant>
        <vt:i4>1638449</vt:i4>
      </vt:variant>
      <vt:variant>
        <vt:i4>128</vt:i4>
      </vt:variant>
      <vt:variant>
        <vt:i4>0</vt:i4>
      </vt:variant>
      <vt:variant>
        <vt:i4>5</vt:i4>
      </vt:variant>
      <vt:variant>
        <vt:lpwstr/>
      </vt:variant>
      <vt:variant>
        <vt:lpwstr>_Toc370759779</vt:lpwstr>
      </vt:variant>
      <vt:variant>
        <vt:i4>1638449</vt:i4>
      </vt:variant>
      <vt:variant>
        <vt:i4>122</vt:i4>
      </vt:variant>
      <vt:variant>
        <vt:i4>0</vt:i4>
      </vt:variant>
      <vt:variant>
        <vt:i4>5</vt:i4>
      </vt:variant>
      <vt:variant>
        <vt:lpwstr/>
      </vt:variant>
      <vt:variant>
        <vt:lpwstr>_Toc370759778</vt:lpwstr>
      </vt:variant>
      <vt:variant>
        <vt:i4>1638449</vt:i4>
      </vt:variant>
      <vt:variant>
        <vt:i4>116</vt:i4>
      </vt:variant>
      <vt:variant>
        <vt:i4>0</vt:i4>
      </vt:variant>
      <vt:variant>
        <vt:i4>5</vt:i4>
      </vt:variant>
      <vt:variant>
        <vt:lpwstr/>
      </vt:variant>
      <vt:variant>
        <vt:lpwstr>_Toc370759777</vt:lpwstr>
      </vt:variant>
      <vt:variant>
        <vt:i4>1638449</vt:i4>
      </vt:variant>
      <vt:variant>
        <vt:i4>110</vt:i4>
      </vt:variant>
      <vt:variant>
        <vt:i4>0</vt:i4>
      </vt:variant>
      <vt:variant>
        <vt:i4>5</vt:i4>
      </vt:variant>
      <vt:variant>
        <vt:lpwstr/>
      </vt:variant>
      <vt:variant>
        <vt:lpwstr>_Toc370759776</vt:lpwstr>
      </vt:variant>
      <vt:variant>
        <vt:i4>1638449</vt:i4>
      </vt:variant>
      <vt:variant>
        <vt:i4>104</vt:i4>
      </vt:variant>
      <vt:variant>
        <vt:i4>0</vt:i4>
      </vt:variant>
      <vt:variant>
        <vt:i4>5</vt:i4>
      </vt:variant>
      <vt:variant>
        <vt:lpwstr/>
      </vt:variant>
      <vt:variant>
        <vt:lpwstr>_Toc370759775</vt:lpwstr>
      </vt:variant>
      <vt:variant>
        <vt:i4>1638449</vt:i4>
      </vt:variant>
      <vt:variant>
        <vt:i4>98</vt:i4>
      </vt:variant>
      <vt:variant>
        <vt:i4>0</vt:i4>
      </vt:variant>
      <vt:variant>
        <vt:i4>5</vt:i4>
      </vt:variant>
      <vt:variant>
        <vt:lpwstr/>
      </vt:variant>
      <vt:variant>
        <vt:lpwstr>_Toc370759774</vt:lpwstr>
      </vt:variant>
      <vt:variant>
        <vt:i4>1638449</vt:i4>
      </vt:variant>
      <vt:variant>
        <vt:i4>92</vt:i4>
      </vt:variant>
      <vt:variant>
        <vt:i4>0</vt:i4>
      </vt:variant>
      <vt:variant>
        <vt:i4>5</vt:i4>
      </vt:variant>
      <vt:variant>
        <vt:lpwstr/>
      </vt:variant>
      <vt:variant>
        <vt:lpwstr>_Toc370759773</vt:lpwstr>
      </vt:variant>
      <vt:variant>
        <vt:i4>1638449</vt:i4>
      </vt:variant>
      <vt:variant>
        <vt:i4>86</vt:i4>
      </vt:variant>
      <vt:variant>
        <vt:i4>0</vt:i4>
      </vt:variant>
      <vt:variant>
        <vt:i4>5</vt:i4>
      </vt:variant>
      <vt:variant>
        <vt:lpwstr/>
      </vt:variant>
      <vt:variant>
        <vt:lpwstr>_Toc370759772</vt:lpwstr>
      </vt:variant>
      <vt:variant>
        <vt:i4>1638449</vt:i4>
      </vt:variant>
      <vt:variant>
        <vt:i4>80</vt:i4>
      </vt:variant>
      <vt:variant>
        <vt:i4>0</vt:i4>
      </vt:variant>
      <vt:variant>
        <vt:i4>5</vt:i4>
      </vt:variant>
      <vt:variant>
        <vt:lpwstr/>
      </vt:variant>
      <vt:variant>
        <vt:lpwstr>_Toc370759771</vt:lpwstr>
      </vt:variant>
      <vt:variant>
        <vt:i4>1638449</vt:i4>
      </vt:variant>
      <vt:variant>
        <vt:i4>74</vt:i4>
      </vt:variant>
      <vt:variant>
        <vt:i4>0</vt:i4>
      </vt:variant>
      <vt:variant>
        <vt:i4>5</vt:i4>
      </vt:variant>
      <vt:variant>
        <vt:lpwstr/>
      </vt:variant>
      <vt:variant>
        <vt:lpwstr>_Toc370759770</vt:lpwstr>
      </vt:variant>
      <vt:variant>
        <vt:i4>1572913</vt:i4>
      </vt:variant>
      <vt:variant>
        <vt:i4>68</vt:i4>
      </vt:variant>
      <vt:variant>
        <vt:i4>0</vt:i4>
      </vt:variant>
      <vt:variant>
        <vt:i4>5</vt:i4>
      </vt:variant>
      <vt:variant>
        <vt:lpwstr/>
      </vt:variant>
      <vt:variant>
        <vt:lpwstr>_Toc370759769</vt:lpwstr>
      </vt:variant>
      <vt:variant>
        <vt:i4>1572913</vt:i4>
      </vt:variant>
      <vt:variant>
        <vt:i4>62</vt:i4>
      </vt:variant>
      <vt:variant>
        <vt:i4>0</vt:i4>
      </vt:variant>
      <vt:variant>
        <vt:i4>5</vt:i4>
      </vt:variant>
      <vt:variant>
        <vt:lpwstr/>
      </vt:variant>
      <vt:variant>
        <vt:lpwstr>_Toc370759768</vt:lpwstr>
      </vt:variant>
      <vt:variant>
        <vt:i4>1572913</vt:i4>
      </vt:variant>
      <vt:variant>
        <vt:i4>56</vt:i4>
      </vt:variant>
      <vt:variant>
        <vt:i4>0</vt:i4>
      </vt:variant>
      <vt:variant>
        <vt:i4>5</vt:i4>
      </vt:variant>
      <vt:variant>
        <vt:lpwstr/>
      </vt:variant>
      <vt:variant>
        <vt:lpwstr>_Toc370759767</vt:lpwstr>
      </vt:variant>
      <vt:variant>
        <vt:i4>1572913</vt:i4>
      </vt:variant>
      <vt:variant>
        <vt:i4>50</vt:i4>
      </vt:variant>
      <vt:variant>
        <vt:i4>0</vt:i4>
      </vt:variant>
      <vt:variant>
        <vt:i4>5</vt:i4>
      </vt:variant>
      <vt:variant>
        <vt:lpwstr/>
      </vt:variant>
      <vt:variant>
        <vt:lpwstr>_Toc370759766</vt:lpwstr>
      </vt:variant>
      <vt:variant>
        <vt:i4>1572913</vt:i4>
      </vt:variant>
      <vt:variant>
        <vt:i4>44</vt:i4>
      </vt:variant>
      <vt:variant>
        <vt:i4>0</vt:i4>
      </vt:variant>
      <vt:variant>
        <vt:i4>5</vt:i4>
      </vt:variant>
      <vt:variant>
        <vt:lpwstr/>
      </vt:variant>
      <vt:variant>
        <vt:lpwstr>_Toc370759765</vt:lpwstr>
      </vt:variant>
      <vt:variant>
        <vt:i4>1572913</vt:i4>
      </vt:variant>
      <vt:variant>
        <vt:i4>38</vt:i4>
      </vt:variant>
      <vt:variant>
        <vt:i4>0</vt:i4>
      </vt:variant>
      <vt:variant>
        <vt:i4>5</vt:i4>
      </vt:variant>
      <vt:variant>
        <vt:lpwstr/>
      </vt:variant>
      <vt:variant>
        <vt:lpwstr>_Toc370759764</vt:lpwstr>
      </vt:variant>
      <vt:variant>
        <vt:i4>1572913</vt:i4>
      </vt:variant>
      <vt:variant>
        <vt:i4>32</vt:i4>
      </vt:variant>
      <vt:variant>
        <vt:i4>0</vt:i4>
      </vt:variant>
      <vt:variant>
        <vt:i4>5</vt:i4>
      </vt:variant>
      <vt:variant>
        <vt:lpwstr/>
      </vt:variant>
      <vt:variant>
        <vt:lpwstr>_Toc370759763</vt:lpwstr>
      </vt:variant>
      <vt:variant>
        <vt:i4>1572913</vt:i4>
      </vt:variant>
      <vt:variant>
        <vt:i4>26</vt:i4>
      </vt:variant>
      <vt:variant>
        <vt:i4>0</vt:i4>
      </vt:variant>
      <vt:variant>
        <vt:i4>5</vt:i4>
      </vt:variant>
      <vt:variant>
        <vt:lpwstr/>
      </vt:variant>
      <vt:variant>
        <vt:lpwstr>_Toc370759762</vt:lpwstr>
      </vt:variant>
      <vt:variant>
        <vt:i4>1572913</vt:i4>
      </vt:variant>
      <vt:variant>
        <vt:i4>20</vt:i4>
      </vt:variant>
      <vt:variant>
        <vt:i4>0</vt:i4>
      </vt:variant>
      <vt:variant>
        <vt:i4>5</vt:i4>
      </vt:variant>
      <vt:variant>
        <vt:lpwstr/>
      </vt:variant>
      <vt:variant>
        <vt:lpwstr>_Toc370759761</vt:lpwstr>
      </vt:variant>
      <vt:variant>
        <vt:i4>1572913</vt:i4>
      </vt:variant>
      <vt:variant>
        <vt:i4>14</vt:i4>
      </vt:variant>
      <vt:variant>
        <vt:i4>0</vt:i4>
      </vt:variant>
      <vt:variant>
        <vt:i4>5</vt:i4>
      </vt:variant>
      <vt:variant>
        <vt:lpwstr/>
      </vt:variant>
      <vt:variant>
        <vt:lpwstr>_Toc370759760</vt:lpwstr>
      </vt:variant>
      <vt:variant>
        <vt:i4>1769521</vt:i4>
      </vt:variant>
      <vt:variant>
        <vt:i4>8</vt:i4>
      </vt:variant>
      <vt:variant>
        <vt:i4>0</vt:i4>
      </vt:variant>
      <vt:variant>
        <vt:i4>5</vt:i4>
      </vt:variant>
      <vt:variant>
        <vt:lpwstr/>
      </vt:variant>
      <vt:variant>
        <vt:lpwstr>_Toc370759759</vt:lpwstr>
      </vt:variant>
      <vt:variant>
        <vt:i4>1769521</vt:i4>
      </vt:variant>
      <vt:variant>
        <vt:i4>2</vt:i4>
      </vt:variant>
      <vt:variant>
        <vt:i4>0</vt:i4>
      </vt:variant>
      <vt:variant>
        <vt:i4>5</vt:i4>
      </vt:variant>
      <vt:variant>
        <vt:lpwstr/>
      </vt:variant>
      <vt:variant>
        <vt:lpwstr>_Toc370759758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Институт проблем естественных монополий (ИПЕМ)</dc:title>
  <dc:creator>Suhanova</dc:creator>
  <cp:lastModifiedBy>Secretary-Nbi</cp:lastModifiedBy>
  <cp:revision>59</cp:revision>
  <cp:lastPrinted>2013-12-12T14:12:00Z</cp:lastPrinted>
  <dcterms:created xsi:type="dcterms:W3CDTF">2013-12-07T08:24:00Z</dcterms:created>
  <dcterms:modified xsi:type="dcterms:W3CDTF">2013-12-12T14:00:00Z</dcterms:modified>
</cp:coreProperties>
</file>